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2F8C43">
      <w:pPr>
        <w:adjustRightInd w:val="0"/>
        <w:snapToGrid w:val="0"/>
        <w:jc w:val="center"/>
        <w:outlineLvl w:val="0"/>
        <w:rPr>
          <w:rFonts w:eastAsia="仿宋_GB2312"/>
          <w:color w:val="auto"/>
          <w:sz w:val="36"/>
          <w:szCs w:val="36"/>
        </w:rPr>
      </w:pPr>
      <w:r>
        <w:rPr>
          <w:rFonts w:eastAsia="方正小标宋_GBK"/>
          <w:bCs/>
          <w:color w:val="auto"/>
          <w:sz w:val="72"/>
          <w:szCs w:val="72"/>
        </w:rPr>
        <w:t>建设项目环境影响报告表</w:t>
      </w:r>
    </w:p>
    <w:p w14:paraId="1694A72E">
      <w:pPr>
        <w:rPr>
          <w:rFonts w:eastAsia="仿宋_GB2312"/>
          <w:color w:val="auto"/>
          <w:sz w:val="36"/>
          <w:szCs w:val="36"/>
        </w:rPr>
      </w:pPr>
    </w:p>
    <w:p w14:paraId="64D9E43A">
      <w:pPr>
        <w:jc w:val="center"/>
        <w:rPr>
          <w:rFonts w:eastAsia="仿宋"/>
          <w:color w:val="auto"/>
          <w:sz w:val="48"/>
          <w:szCs w:val="48"/>
        </w:rPr>
      </w:pPr>
      <w:bookmarkStart w:id="0" w:name="_Hlk57884087"/>
      <w:r>
        <w:rPr>
          <w:rFonts w:eastAsia="仿宋"/>
          <w:color w:val="auto"/>
          <w:sz w:val="48"/>
          <w:szCs w:val="48"/>
        </w:rPr>
        <w:t>（污染影响类）</w:t>
      </w:r>
    </w:p>
    <w:p w14:paraId="18910985">
      <w:pPr>
        <w:jc w:val="center"/>
        <w:rPr>
          <w:rFonts w:eastAsia="仿宋"/>
          <w:color w:val="auto"/>
          <w:sz w:val="28"/>
          <w:szCs w:val="28"/>
        </w:rPr>
      </w:pPr>
      <w:r>
        <w:rPr>
          <w:rFonts w:eastAsia="仿宋"/>
          <w:color w:val="auto"/>
          <w:sz w:val="28"/>
          <w:szCs w:val="28"/>
        </w:rPr>
        <w:t>（</w:t>
      </w:r>
      <w:r>
        <w:rPr>
          <w:rFonts w:hint="eastAsia" w:eastAsia="仿宋"/>
          <w:color w:val="auto"/>
          <w:sz w:val="28"/>
          <w:szCs w:val="28"/>
          <w:lang w:val="en-US" w:eastAsia="zh-CN"/>
        </w:rPr>
        <w:t>报批</w:t>
      </w:r>
      <w:r>
        <w:rPr>
          <w:rFonts w:eastAsia="仿宋"/>
          <w:color w:val="auto"/>
          <w:sz w:val="28"/>
          <w:szCs w:val="28"/>
        </w:rPr>
        <w:t>稿）</w:t>
      </w:r>
    </w:p>
    <w:p w14:paraId="6483509D">
      <w:pPr>
        <w:jc w:val="center"/>
        <w:rPr>
          <w:rFonts w:eastAsia="仿宋"/>
          <w:color w:val="auto"/>
          <w:sz w:val="52"/>
          <w:szCs w:val="52"/>
        </w:rPr>
      </w:pPr>
    </w:p>
    <w:p w14:paraId="7575A1A6">
      <w:pPr>
        <w:jc w:val="center"/>
        <w:rPr>
          <w:rFonts w:eastAsia="仿宋"/>
          <w:color w:val="auto"/>
          <w:sz w:val="44"/>
          <w:szCs w:val="44"/>
        </w:rPr>
      </w:pPr>
    </w:p>
    <w:p w14:paraId="18CA9AE4">
      <w:pPr>
        <w:jc w:val="center"/>
        <w:rPr>
          <w:rFonts w:eastAsia="仿宋"/>
          <w:color w:val="auto"/>
          <w:sz w:val="44"/>
          <w:szCs w:val="44"/>
        </w:rPr>
      </w:pPr>
    </w:p>
    <w:p w14:paraId="776842AE">
      <w:pPr>
        <w:jc w:val="center"/>
        <w:rPr>
          <w:rFonts w:eastAsia="仿宋"/>
          <w:color w:val="auto"/>
          <w:sz w:val="44"/>
          <w:szCs w:val="44"/>
        </w:rPr>
      </w:pPr>
    </w:p>
    <w:p w14:paraId="63211939">
      <w:pPr>
        <w:jc w:val="center"/>
        <w:rPr>
          <w:rFonts w:eastAsia="仿宋"/>
          <w:color w:val="auto"/>
          <w:sz w:val="44"/>
          <w:szCs w:val="44"/>
        </w:rPr>
      </w:pPr>
    </w:p>
    <w:p w14:paraId="2CCB88F4">
      <w:pPr>
        <w:adjustRightInd w:val="0"/>
        <w:snapToGrid w:val="0"/>
        <w:spacing w:line="288" w:lineRule="auto"/>
        <w:jc w:val="left"/>
        <w:rPr>
          <w:rFonts w:hint="eastAsia" w:ascii="Times New Roman" w:hAnsi="Times New Roman" w:eastAsia="仿宋_GB2312" w:cs="Times New Roman"/>
          <w:color w:val="auto"/>
          <w:sz w:val="36"/>
          <w:szCs w:val="36"/>
          <w:u w:val="single"/>
          <w:lang w:val="en-US" w:eastAsia="zh-CN" w:bidi="ar"/>
        </w:rPr>
      </w:pPr>
      <w:r>
        <w:rPr>
          <w:rFonts w:eastAsia="仿宋_GB2312"/>
          <w:color w:val="auto"/>
          <w:sz w:val="36"/>
          <w:szCs w:val="36"/>
          <w:lang w:bidi="ar"/>
        </w:rPr>
        <w:t>项目名称：</w:t>
      </w:r>
      <w:r>
        <w:rPr>
          <w:rFonts w:hint="default" w:ascii="Times New Roman" w:hAnsi="Times New Roman" w:eastAsia="仿宋_GB2312" w:cs="Times New Roman"/>
          <w:color w:val="auto"/>
          <w:sz w:val="36"/>
          <w:szCs w:val="36"/>
          <w:u w:val="single"/>
          <w:lang w:bidi="ar"/>
        </w:rPr>
        <w:t>高安市金峰彩印有限公司年印刷5000万米热封膜建设项目</w:t>
      </w:r>
    </w:p>
    <w:p w14:paraId="49108CE2">
      <w:pPr>
        <w:adjustRightInd w:val="0"/>
        <w:snapToGrid w:val="0"/>
        <w:spacing w:line="288" w:lineRule="auto"/>
        <w:jc w:val="left"/>
        <w:rPr>
          <w:rFonts w:eastAsia="仿宋_GB2312"/>
          <w:color w:val="auto"/>
          <w:sz w:val="36"/>
          <w:szCs w:val="36"/>
          <w:u w:val="single"/>
          <w:lang w:bidi="ar"/>
        </w:rPr>
      </w:pPr>
      <w:r>
        <w:rPr>
          <w:rFonts w:eastAsia="仿宋_GB2312"/>
          <w:color w:val="auto"/>
          <w:sz w:val="36"/>
          <w:szCs w:val="36"/>
          <w:lang w:bidi="ar"/>
        </w:rPr>
        <w:t>建设单位（盖章）：</w:t>
      </w:r>
      <w:r>
        <w:rPr>
          <w:rFonts w:hint="eastAsia" w:eastAsia="仿宋_GB2312" w:cs="Times New Roman"/>
          <w:color w:val="auto"/>
          <w:sz w:val="36"/>
          <w:szCs w:val="36"/>
          <w:u w:val="single"/>
          <w:lang w:val="en-US" w:eastAsia="zh-CN" w:bidi="ar"/>
        </w:rPr>
        <w:t>高安市金峰彩印有限公司</w:t>
      </w:r>
    </w:p>
    <w:p w14:paraId="51D7CE81">
      <w:pPr>
        <w:jc w:val="left"/>
        <w:rPr>
          <w:color w:val="auto"/>
        </w:rPr>
      </w:pPr>
      <w:r>
        <w:rPr>
          <w:rFonts w:eastAsia="仿宋_GB2312"/>
          <w:color w:val="auto"/>
          <w:sz w:val="36"/>
          <w:szCs w:val="36"/>
          <w:lang w:bidi="ar"/>
        </w:rPr>
        <w:t>编制日期：</w:t>
      </w:r>
      <w:r>
        <w:rPr>
          <w:rFonts w:eastAsia="仿宋_GB2312"/>
          <w:color w:val="auto"/>
          <w:sz w:val="36"/>
          <w:szCs w:val="36"/>
          <w:u w:val="single"/>
          <w:lang w:bidi="ar"/>
        </w:rPr>
        <w:t xml:space="preserve">             202</w:t>
      </w:r>
      <w:r>
        <w:rPr>
          <w:rFonts w:hint="eastAsia" w:eastAsia="仿宋_GB2312"/>
          <w:color w:val="auto"/>
          <w:sz w:val="36"/>
          <w:szCs w:val="36"/>
          <w:u w:val="single"/>
          <w:lang w:val="en-US" w:eastAsia="zh-CN" w:bidi="ar"/>
        </w:rPr>
        <w:t>5</w:t>
      </w:r>
      <w:r>
        <w:rPr>
          <w:rFonts w:eastAsia="仿宋_GB2312"/>
          <w:color w:val="auto"/>
          <w:sz w:val="36"/>
          <w:szCs w:val="36"/>
          <w:u w:val="single"/>
          <w:lang w:bidi="ar"/>
        </w:rPr>
        <w:t>年</w:t>
      </w:r>
      <w:r>
        <w:rPr>
          <w:rFonts w:hint="eastAsia" w:eastAsia="仿宋_GB2312"/>
          <w:color w:val="auto"/>
          <w:sz w:val="36"/>
          <w:szCs w:val="36"/>
          <w:u w:val="single"/>
          <w:lang w:val="en-US" w:eastAsia="zh-CN" w:bidi="ar"/>
        </w:rPr>
        <w:t>12</w:t>
      </w:r>
      <w:r>
        <w:rPr>
          <w:rFonts w:eastAsia="仿宋_GB2312"/>
          <w:color w:val="auto"/>
          <w:sz w:val="36"/>
          <w:szCs w:val="36"/>
          <w:u w:val="single"/>
          <w:lang w:bidi="ar"/>
        </w:rPr>
        <w:t xml:space="preserve">月               </w:t>
      </w:r>
    </w:p>
    <w:p w14:paraId="0A36C4F3">
      <w:pPr>
        <w:adjustRightInd w:val="0"/>
        <w:snapToGrid w:val="0"/>
        <w:jc w:val="center"/>
        <w:rPr>
          <w:rFonts w:eastAsia="仿宋_GB2312"/>
          <w:color w:val="auto"/>
          <w:sz w:val="36"/>
          <w:szCs w:val="36"/>
        </w:rPr>
      </w:pPr>
    </w:p>
    <w:p w14:paraId="42E2AF93">
      <w:pPr>
        <w:adjustRightInd w:val="0"/>
        <w:snapToGrid w:val="0"/>
        <w:jc w:val="center"/>
        <w:rPr>
          <w:rFonts w:eastAsia="仿宋_GB2312"/>
          <w:color w:val="auto"/>
          <w:sz w:val="36"/>
          <w:szCs w:val="36"/>
        </w:rPr>
      </w:pPr>
    </w:p>
    <w:p w14:paraId="43C7B546">
      <w:pPr>
        <w:adjustRightInd w:val="0"/>
        <w:snapToGrid w:val="0"/>
        <w:jc w:val="center"/>
        <w:rPr>
          <w:rFonts w:eastAsia="仿宋_GB2312"/>
          <w:color w:val="auto"/>
          <w:sz w:val="36"/>
          <w:szCs w:val="36"/>
        </w:rPr>
      </w:pPr>
    </w:p>
    <w:p w14:paraId="61880001">
      <w:pPr>
        <w:adjustRightInd w:val="0"/>
        <w:snapToGrid w:val="0"/>
        <w:spacing w:line="288" w:lineRule="auto"/>
        <w:ind w:firstLine="1040"/>
        <w:rPr>
          <w:rFonts w:eastAsia="仿宋_GB2312"/>
          <w:color w:val="auto"/>
          <w:sz w:val="36"/>
          <w:szCs w:val="36"/>
        </w:rPr>
      </w:pPr>
    </w:p>
    <w:p w14:paraId="23F44C08">
      <w:pPr>
        <w:pStyle w:val="41"/>
        <w:ind w:left="0" w:leftChars="0" w:firstLine="0" w:firstLineChars="0"/>
        <w:rPr>
          <w:rFonts w:eastAsia="仿宋_GB2312" w:cs="Times New Roman"/>
          <w:color w:val="auto"/>
          <w:sz w:val="36"/>
          <w:szCs w:val="36"/>
        </w:rPr>
      </w:pPr>
    </w:p>
    <w:p w14:paraId="390D51F5">
      <w:pPr>
        <w:pStyle w:val="41"/>
        <w:ind w:left="67" w:firstLine="720"/>
        <w:rPr>
          <w:rFonts w:eastAsia="仿宋_GB2312" w:cs="Times New Roman"/>
          <w:color w:val="auto"/>
          <w:sz w:val="36"/>
          <w:szCs w:val="36"/>
        </w:rPr>
      </w:pPr>
    </w:p>
    <w:bookmarkEnd w:id="0"/>
    <w:p w14:paraId="53FF2553">
      <w:pPr>
        <w:adjustRightInd w:val="0"/>
        <w:snapToGrid w:val="0"/>
        <w:spacing w:line="288" w:lineRule="auto"/>
        <w:jc w:val="center"/>
        <w:rPr>
          <w:rFonts w:eastAsia="楷体_GB2312"/>
          <w:color w:val="auto"/>
          <w:sz w:val="36"/>
          <w:szCs w:val="36"/>
        </w:rPr>
        <w:sectPr>
          <w:footerReference r:id="rId3" w:type="default"/>
          <w:footerReference r:id="rId4" w:type="even"/>
          <w:pgSz w:w="11906" w:h="16838"/>
          <w:pgMar w:top="1701" w:right="1531" w:bottom="1701" w:left="1531" w:header="851" w:footer="1077" w:gutter="0"/>
          <w:pgNumType w:fmt="decimal" w:start="3"/>
          <w:cols w:space="720" w:num="1"/>
          <w:docGrid w:linePitch="312" w:charSpace="0"/>
        </w:sectPr>
      </w:pPr>
      <w:r>
        <w:rPr>
          <w:rFonts w:eastAsia="楷体_GB2312"/>
          <w:color w:val="auto"/>
          <w:sz w:val="36"/>
          <w:szCs w:val="36"/>
        </w:rPr>
        <w:t>中华人民共和国生态环境部制</w:t>
      </w:r>
    </w:p>
    <w:p w14:paraId="3CD5BA0B">
      <w:pPr>
        <w:pStyle w:val="24"/>
        <w:jc w:val="center"/>
        <w:rPr>
          <w:color w:val="auto"/>
        </w:rPr>
      </w:pPr>
    </w:p>
    <w:p w14:paraId="012DF33B">
      <w:pPr>
        <w:pStyle w:val="24"/>
        <w:jc w:val="center"/>
        <w:rPr>
          <w:color w:val="auto"/>
        </w:rPr>
      </w:pPr>
    </w:p>
    <w:p w14:paraId="72F641CE">
      <w:pPr>
        <w:pStyle w:val="24"/>
        <w:jc w:val="center"/>
        <w:rPr>
          <w:color w:val="auto"/>
        </w:rPr>
      </w:pPr>
    </w:p>
    <w:p w14:paraId="25929553">
      <w:pPr>
        <w:pStyle w:val="24"/>
        <w:jc w:val="center"/>
        <w:rPr>
          <w:color w:val="auto"/>
        </w:rPr>
      </w:pPr>
    </w:p>
    <w:p w14:paraId="0991E498">
      <w:pPr>
        <w:pStyle w:val="24"/>
        <w:jc w:val="center"/>
        <w:rPr>
          <w:color w:val="auto"/>
        </w:rPr>
      </w:pPr>
    </w:p>
    <w:p w14:paraId="579F5AB1">
      <w:pPr>
        <w:pStyle w:val="24"/>
        <w:jc w:val="center"/>
        <w:rPr>
          <w:color w:val="auto"/>
        </w:rPr>
      </w:pPr>
    </w:p>
    <w:p w14:paraId="484DDCFF">
      <w:pPr>
        <w:pStyle w:val="24"/>
        <w:jc w:val="center"/>
        <w:rPr>
          <w:color w:val="auto"/>
        </w:rPr>
      </w:pPr>
    </w:p>
    <w:p w14:paraId="2223D398">
      <w:pPr>
        <w:pStyle w:val="24"/>
        <w:jc w:val="center"/>
        <w:rPr>
          <w:color w:val="auto"/>
        </w:rPr>
      </w:pPr>
    </w:p>
    <w:p w14:paraId="718FA5B5">
      <w:pPr>
        <w:pStyle w:val="24"/>
        <w:jc w:val="center"/>
        <w:rPr>
          <w:color w:val="auto"/>
        </w:rPr>
      </w:pPr>
    </w:p>
    <w:p w14:paraId="092AD448">
      <w:pPr>
        <w:pStyle w:val="24"/>
        <w:jc w:val="center"/>
        <w:rPr>
          <w:color w:val="auto"/>
        </w:rPr>
      </w:pPr>
    </w:p>
    <w:p w14:paraId="1452B81A">
      <w:pPr>
        <w:pStyle w:val="24"/>
        <w:jc w:val="center"/>
        <w:rPr>
          <w:color w:val="auto"/>
        </w:rPr>
      </w:pPr>
    </w:p>
    <w:p w14:paraId="494087F5">
      <w:pPr>
        <w:pStyle w:val="24"/>
        <w:jc w:val="center"/>
        <w:rPr>
          <w:color w:val="auto"/>
        </w:rPr>
      </w:pPr>
    </w:p>
    <w:p w14:paraId="1792F7BC">
      <w:pPr>
        <w:pStyle w:val="24"/>
        <w:jc w:val="center"/>
        <w:rPr>
          <w:color w:val="auto"/>
        </w:rPr>
      </w:pPr>
    </w:p>
    <w:p w14:paraId="0B8FB58B">
      <w:pPr>
        <w:pStyle w:val="24"/>
        <w:jc w:val="center"/>
        <w:rPr>
          <w:color w:val="auto"/>
        </w:rPr>
      </w:pPr>
    </w:p>
    <w:p w14:paraId="5276E267">
      <w:pPr>
        <w:pStyle w:val="24"/>
        <w:jc w:val="center"/>
        <w:rPr>
          <w:color w:val="auto"/>
        </w:rPr>
      </w:pPr>
    </w:p>
    <w:p w14:paraId="44BA7E33">
      <w:pPr>
        <w:pStyle w:val="24"/>
        <w:jc w:val="center"/>
        <w:rPr>
          <w:color w:val="auto"/>
        </w:rPr>
      </w:pPr>
    </w:p>
    <w:p w14:paraId="05BC97D8">
      <w:pPr>
        <w:pStyle w:val="24"/>
        <w:jc w:val="center"/>
        <w:rPr>
          <w:color w:val="auto"/>
        </w:rPr>
      </w:pPr>
    </w:p>
    <w:p w14:paraId="3F83C1E0">
      <w:pPr>
        <w:pStyle w:val="24"/>
        <w:jc w:val="center"/>
        <w:rPr>
          <w:color w:val="auto"/>
        </w:rPr>
      </w:pPr>
    </w:p>
    <w:p w14:paraId="7DCF447B">
      <w:pPr>
        <w:pStyle w:val="24"/>
        <w:jc w:val="center"/>
        <w:rPr>
          <w:color w:val="auto"/>
        </w:rPr>
      </w:pPr>
    </w:p>
    <w:p w14:paraId="3DF2AA8C">
      <w:pPr>
        <w:pStyle w:val="24"/>
        <w:jc w:val="center"/>
        <w:rPr>
          <w:color w:val="auto"/>
        </w:rPr>
      </w:pPr>
    </w:p>
    <w:p w14:paraId="2BD13734">
      <w:pPr>
        <w:pStyle w:val="24"/>
        <w:jc w:val="center"/>
        <w:rPr>
          <w:color w:val="auto"/>
        </w:rPr>
      </w:pPr>
    </w:p>
    <w:p w14:paraId="1F66D7BD">
      <w:pPr>
        <w:pStyle w:val="24"/>
        <w:jc w:val="center"/>
        <w:rPr>
          <w:color w:val="auto"/>
        </w:rPr>
      </w:pPr>
    </w:p>
    <w:p w14:paraId="5D19AA21">
      <w:pPr>
        <w:spacing w:line="360" w:lineRule="auto"/>
        <w:rPr>
          <w:color w:val="auto"/>
          <w:sz w:val="32"/>
          <w:szCs w:val="40"/>
        </w:rPr>
      </w:pPr>
      <w:r>
        <w:rPr>
          <w:rFonts w:hint="eastAsia"/>
          <w:b/>
          <w:bCs/>
          <w:color w:val="auto"/>
          <w:sz w:val="32"/>
          <w:szCs w:val="40"/>
        </w:rPr>
        <w:t>附图：</w:t>
      </w:r>
    </w:p>
    <w:p w14:paraId="0B7F4955">
      <w:pPr>
        <w:spacing w:line="360" w:lineRule="auto"/>
        <w:rPr>
          <w:color w:val="auto"/>
          <w:sz w:val="24"/>
          <w:szCs w:val="32"/>
        </w:rPr>
      </w:pPr>
      <w:r>
        <w:rPr>
          <w:rFonts w:hint="eastAsia"/>
          <w:color w:val="auto"/>
          <w:sz w:val="24"/>
          <w:szCs w:val="32"/>
        </w:rPr>
        <w:t>附图1  项目地理位置图</w:t>
      </w:r>
    </w:p>
    <w:p w14:paraId="7536ABA0">
      <w:pPr>
        <w:spacing w:line="360" w:lineRule="auto"/>
        <w:rPr>
          <w:color w:val="auto"/>
          <w:sz w:val="24"/>
          <w:szCs w:val="32"/>
        </w:rPr>
      </w:pPr>
      <w:r>
        <w:rPr>
          <w:rFonts w:hint="eastAsia"/>
          <w:color w:val="auto"/>
          <w:sz w:val="24"/>
          <w:szCs w:val="32"/>
        </w:rPr>
        <w:t>附图2  项目</w:t>
      </w:r>
      <w:r>
        <w:rPr>
          <w:rFonts w:hint="eastAsia"/>
          <w:color w:val="auto"/>
          <w:sz w:val="24"/>
          <w:lang w:val="en-US" w:eastAsia="zh-CN"/>
        </w:rPr>
        <w:t>总</w:t>
      </w:r>
      <w:r>
        <w:rPr>
          <w:color w:val="auto"/>
          <w:sz w:val="24"/>
        </w:rPr>
        <w:t>平面布置图</w:t>
      </w:r>
    </w:p>
    <w:p w14:paraId="057499E5">
      <w:pPr>
        <w:spacing w:line="360" w:lineRule="auto"/>
        <w:rPr>
          <w:color w:val="auto"/>
          <w:sz w:val="24"/>
          <w:szCs w:val="32"/>
        </w:rPr>
      </w:pPr>
      <w:r>
        <w:rPr>
          <w:rFonts w:hint="eastAsia"/>
          <w:color w:val="auto"/>
          <w:sz w:val="24"/>
          <w:szCs w:val="32"/>
        </w:rPr>
        <w:t xml:space="preserve">附图3  </w:t>
      </w:r>
      <w:r>
        <w:rPr>
          <w:rFonts w:hint="eastAsia"/>
          <w:color w:val="auto"/>
          <w:sz w:val="24"/>
        </w:rPr>
        <w:t>项目周边敏感点分布图</w:t>
      </w:r>
    </w:p>
    <w:p w14:paraId="1845FB51">
      <w:pPr>
        <w:spacing w:line="360" w:lineRule="auto"/>
        <w:rPr>
          <w:rFonts w:eastAsia="新宋体"/>
          <w:color w:val="auto"/>
          <w:sz w:val="24"/>
        </w:rPr>
      </w:pPr>
      <w:r>
        <w:rPr>
          <w:rFonts w:hint="eastAsia"/>
          <w:color w:val="auto"/>
          <w:sz w:val="24"/>
          <w:szCs w:val="32"/>
        </w:rPr>
        <w:t xml:space="preserve">附图4  </w:t>
      </w:r>
      <w:r>
        <w:rPr>
          <w:rFonts w:hint="eastAsia"/>
          <w:color w:val="auto"/>
          <w:sz w:val="24"/>
        </w:rPr>
        <w:t>项目卫生防护距离图</w:t>
      </w:r>
    </w:p>
    <w:p w14:paraId="35509FA1">
      <w:pPr>
        <w:spacing w:line="360" w:lineRule="auto"/>
        <w:rPr>
          <w:color w:val="auto"/>
          <w:sz w:val="24"/>
          <w:szCs w:val="32"/>
        </w:rPr>
      </w:pPr>
      <w:r>
        <w:rPr>
          <w:rFonts w:hint="eastAsia"/>
          <w:color w:val="auto"/>
          <w:sz w:val="24"/>
          <w:szCs w:val="32"/>
        </w:rPr>
        <w:t xml:space="preserve">附图5  </w:t>
      </w:r>
      <w:r>
        <w:rPr>
          <w:rFonts w:eastAsia="新宋体"/>
          <w:color w:val="auto"/>
          <w:sz w:val="24"/>
        </w:rPr>
        <w:t>项目所在地生态红线图</w:t>
      </w:r>
    </w:p>
    <w:p w14:paraId="06CE2F21">
      <w:pPr>
        <w:spacing w:line="360" w:lineRule="auto"/>
        <w:rPr>
          <w:rFonts w:hint="default" w:ascii="Times New Roman" w:hAnsi="Times New Roman" w:eastAsia="新宋体" w:cs="Times New Roman"/>
          <w:b/>
          <w:bCs/>
          <w:color w:val="auto"/>
          <w:sz w:val="24"/>
          <w:highlight w:val="none"/>
          <w:lang w:val="en-US" w:eastAsia="zh-CN"/>
        </w:rPr>
      </w:pPr>
      <w:r>
        <w:rPr>
          <w:rFonts w:hint="eastAsia"/>
          <w:color w:val="auto"/>
          <w:sz w:val="24"/>
          <w:szCs w:val="32"/>
        </w:rPr>
        <w:t xml:space="preserve">附图6  </w:t>
      </w:r>
      <w:r>
        <w:rPr>
          <w:rFonts w:hint="eastAsia"/>
          <w:color w:val="auto"/>
          <w:sz w:val="24"/>
          <w:szCs w:val="32"/>
          <w:lang w:val="en-US" w:eastAsia="zh-CN"/>
        </w:rPr>
        <w:t>宜春市</w:t>
      </w:r>
      <w:r>
        <w:rPr>
          <w:rFonts w:hint="default" w:ascii="Times New Roman" w:hAnsi="Times New Roman" w:eastAsia="新宋体" w:cs="Times New Roman"/>
          <w:b w:val="0"/>
          <w:bCs w:val="0"/>
          <w:color w:val="auto"/>
          <w:sz w:val="24"/>
          <w:highlight w:val="none"/>
          <w:lang w:val="en-US" w:eastAsia="zh-CN"/>
        </w:rPr>
        <w:t>环境管控单元分布图</w:t>
      </w:r>
    </w:p>
    <w:p w14:paraId="4EA3A37A">
      <w:pPr>
        <w:spacing w:line="360" w:lineRule="auto"/>
        <w:rPr>
          <w:color w:val="auto"/>
          <w:sz w:val="24"/>
        </w:rPr>
      </w:pPr>
      <w:r>
        <w:rPr>
          <w:rFonts w:hint="eastAsia"/>
          <w:color w:val="auto"/>
          <w:sz w:val="24"/>
        </w:rPr>
        <w:t>附图7  江西省环境管控单元分布图</w:t>
      </w:r>
    </w:p>
    <w:p w14:paraId="33B094C2">
      <w:pPr>
        <w:spacing w:line="360" w:lineRule="auto"/>
        <w:rPr>
          <w:color w:val="auto"/>
          <w:sz w:val="24"/>
        </w:rPr>
      </w:pPr>
      <w:r>
        <w:rPr>
          <w:rFonts w:hint="eastAsia"/>
          <w:color w:val="auto"/>
          <w:sz w:val="24"/>
        </w:rPr>
        <w:t>附图8  项目所在地水系图</w:t>
      </w:r>
    </w:p>
    <w:p w14:paraId="6CE6AE5B">
      <w:pPr>
        <w:spacing w:line="360" w:lineRule="auto"/>
        <w:rPr>
          <w:color w:val="auto"/>
          <w:sz w:val="24"/>
        </w:rPr>
      </w:pPr>
      <w:r>
        <w:rPr>
          <w:rFonts w:hint="eastAsia"/>
          <w:color w:val="auto"/>
          <w:sz w:val="24"/>
        </w:rPr>
        <w:t xml:space="preserve">附图9  </w:t>
      </w:r>
      <w:r>
        <w:rPr>
          <w:color w:val="auto"/>
          <w:sz w:val="24"/>
        </w:rPr>
        <w:t>项目</w:t>
      </w:r>
      <w:r>
        <w:rPr>
          <w:rFonts w:hint="eastAsia"/>
          <w:color w:val="auto"/>
          <w:sz w:val="24"/>
        </w:rPr>
        <w:t>分区</w:t>
      </w:r>
      <w:r>
        <w:rPr>
          <w:color w:val="auto"/>
          <w:sz w:val="24"/>
        </w:rPr>
        <w:t>防渗图</w:t>
      </w:r>
    </w:p>
    <w:p w14:paraId="53AF5964">
      <w:pPr>
        <w:spacing w:line="360" w:lineRule="auto"/>
        <w:rPr>
          <w:rFonts w:hint="eastAsia"/>
          <w:color w:val="auto"/>
          <w:sz w:val="24"/>
          <w:lang w:val="en-US" w:eastAsia="zh-CN"/>
        </w:rPr>
      </w:pPr>
      <w:r>
        <w:rPr>
          <w:rFonts w:hint="eastAsia"/>
          <w:color w:val="auto"/>
          <w:sz w:val="24"/>
          <w:lang w:val="en-US" w:eastAsia="zh-CN"/>
        </w:rPr>
        <w:t xml:space="preserve">附图10 </w:t>
      </w:r>
      <w:r>
        <w:rPr>
          <w:rFonts w:hint="default"/>
          <w:color w:val="auto"/>
          <w:sz w:val="24"/>
          <w:lang w:val="en-US" w:eastAsia="zh-CN"/>
        </w:rPr>
        <w:t>项目</w:t>
      </w:r>
      <w:r>
        <w:rPr>
          <w:rFonts w:hint="eastAsia"/>
          <w:color w:val="auto"/>
          <w:sz w:val="24"/>
          <w:lang w:val="en-US" w:eastAsia="zh-CN"/>
        </w:rPr>
        <w:t>所在地三区三线图</w:t>
      </w:r>
    </w:p>
    <w:p w14:paraId="578FD324">
      <w:pPr>
        <w:spacing w:line="360" w:lineRule="auto"/>
        <w:rPr>
          <w:rFonts w:hint="default"/>
          <w:color w:val="auto"/>
          <w:sz w:val="24"/>
          <w:lang w:val="en-US" w:eastAsia="zh-CN"/>
        </w:rPr>
      </w:pPr>
      <w:r>
        <w:rPr>
          <w:rFonts w:hint="eastAsia"/>
          <w:color w:val="auto"/>
          <w:sz w:val="24"/>
          <w:lang w:val="en-US" w:eastAsia="zh-CN"/>
        </w:rPr>
        <w:t>附图11 项目噪声源分布图</w:t>
      </w:r>
    </w:p>
    <w:p w14:paraId="126A3617">
      <w:pPr>
        <w:spacing w:line="360" w:lineRule="auto"/>
        <w:rPr>
          <w:rFonts w:hint="default"/>
          <w:color w:val="auto"/>
          <w:sz w:val="24"/>
          <w:lang w:val="en-US" w:eastAsia="zh-CN"/>
        </w:rPr>
      </w:pPr>
      <w:r>
        <w:rPr>
          <w:rFonts w:hint="eastAsia"/>
          <w:color w:val="auto"/>
          <w:sz w:val="24"/>
          <w:lang w:val="en-US" w:eastAsia="zh-CN"/>
        </w:rPr>
        <w:t>附图12 江西省生态环境分区管控信息平台智能研判图</w:t>
      </w:r>
    </w:p>
    <w:p w14:paraId="523ED5BB">
      <w:pPr>
        <w:spacing w:line="360" w:lineRule="auto"/>
        <w:rPr>
          <w:b/>
          <w:bCs/>
          <w:color w:val="auto"/>
          <w:sz w:val="32"/>
          <w:szCs w:val="40"/>
        </w:rPr>
      </w:pPr>
      <w:r>
        <w:rPr>
          <w:rFonts w:hint="eastAsia"/>
          <w:b/>
          <w:bCs/>
          <w:color w:val="auto"/>
          <w:sz w:val="32"/>
          <w:szCs w:val="40"/>
        </w:rPr>
        <w:t>附件：</w:t>
      </w:r>
    </w:p>
    <w:p w14:paraId="4285A611">
      <w:pPr>
        <w:spacing w:line="360" w:lineRule="auto"/>
        <w:rPr>
          <w:color w:val="auto"/>
          <w:sz w:val="24"/>
          <w:szCs w:val="32"/>
        </w:rPr>
      </w:pPr>
      <w:r>
        <w:rPr>
          <w:rFonts w:hint="eastAsia"/>
          <w:color w:val="auto"/>
          <w:sz w:val="24"/>
          <w:szCs w:val="32"/>
        </w:rPr>
        <w:t>附件1 委托书</w:t>
      </w:r>
    </w:p>
    <w:p w14:paraId="36C19633">
      <w:pPr>
        <w:spacing w:line="360" w:lineRule="auto"/>
        <w:rPr>
          <w:color w:val="auto"/>
          <w:sz w:val="24"/>
          <w:szCs w:val="32"/>
        </w:rPr>
      </w:pPr>
      <w:r>
        <w:rPr>
          <w:rFonts w:hint="eastAsia"/>
          <w:color w:val="auto"/>
          <w:sz w:val="24"/>
          <w:szCs w:val="32"/>
        </w:rPr>
        <w:t>附件2 承诺书</w:t>
      </w:r>
    </w:p>
    <w:p w14:paraId="2C0AF033">
      <w:pPr>
        <w:spacing w:line="360" w:lineRule="auto"/>
        <w:rPr>
          <w:color w:val="auto"/>
          <w:sz w:val="24"/>
          <w:szCs w:val="32"/>
        </w:rPr>
      </w:pPr>
      <w:r>
        <w:rPr>
          <w:rFonts w:hint="eastAsia"/>
          <w:color w:val="auto"/>
          <w:sz w:val="24"/>
          <w:szCs w:val="32"/>
        </w:rPr>
        <w:t>附件3 项目备案通知书</w:t>
      </w:r>
    </w:p>
    <w:p w14:paraId="61CB2409">
      <w:pPr>
        <w:spacing w:line="360" w:lineRule="auto"/>
        <w:rPr>
          <w:rFonts w:hint="eastAsia"/>
          <w:color w:val="auto"/>
          <w:sz w:val="24"/>
          <w:szCs w:val="32"/>
          <w:lang w:val="en-US" w:eastAsia="zh-CN"/>
        </w:rPr>
      </w:pPr>
      <w:r>
        <w:rPr>
          <w:rFonts w:hint="eastAsia"/>
          <w:color w:val="auto"/>
          <w:sz w:val="24"/>
          <w:szCs w:val="32"/>
        </w:rPr>
        <w:t>附件</w:t>
      </w:r>
      <w:r>
        <w:rPr>
          <w:rFonts w:hint="eastAsia"/>
          <w:color w:val="auto"/>
          <w:sz w:val="24"/>
          <w:szCs w:val="32"/>
          <w:lang w:val="en-US" w:eastAsia="zh-CN"/>
        </w:rPr>
        <w:t>4</w:t>
      </w:r>
      <w:r>
        <w:rPr>
          <w:rFonts w:hint="eastAsia"/>
          <w:color w:val="auto"/>
          <w:sz w:val="24"/>
          <w:szCs w:val="32"/>
        </w:rPr>
        <w:t xml:space="preserve"> </w:t>
      </w:r>
      <w:r>
        <w:rPr>
          <w:rFonts w:hint="eastAsia"/>
          <w:color w:val="auto"/>
          <w:sz w:val="24"/>
          <w:szCs w:val="32"/>
          <w:lang w:val="en-US" w:eastAsia="zh-CN"/>
        </w:rPr>
        <w:t>房屋租赁合同</w:t>
      </w:r>
    </w:p>
    <w:p w14:paraId="766DC3FC">
      <w:pPr>
        <w:spacing w:line="360" w:lineRule="auto"/>
        <w:rPr>
          <w:rFonts w:hint="eastAsia"/>
          <w:color w:val="auto"/>
          <w:sz w:val="24"/>
          <w:szCs w:val="32"/>
          <w:lang w:val="en-US" w:eastAsia="zh-CN"/>
        </w:rPr>
      </w:pPr>
      <w:r>
        <w:rPr>
          <w:rFonts w:hint="eastAsia"/>
          <w:color w:val="auto"/>
          <w:sz w:val="24"/>
          <w:szCs w:val="32"/>
        </w:rPr>
        <w:t>附件</w:t>
      </w:r>
      <w:r>
        <w:rPr>
          <w:rFonts w:hint="eastAsia"/>
          <w:color w:val="auto"/>
          <w:sz w:val="24"/>
          <w:szCs w:val="32"/>
          <w:lang w:val="en-US" w:eastAsia="zh-CN"/>
        </w:rPr>
        <w:t>5</w:t>
      </w:r>
      <w:r>
        <w:rPr>
          <w:rFonts w:hint="eastAsia"/>
          <w:color w:val="auto"/>
          <w:sz w:val="24"/>
          <w:szCs w:val="32"/>
        </w:rPr>
        <w:t xml:space="preserve"> </w:t>
      </w:r>
      <w:r>
        <w:rPr>
          <w:rFonts w:hint="eastAsia"/>
          <w:color w:val="auto"/>
          <w:sz w:val="24"/>
          <w:szCs w:val="32"/>
          <w:lang w:val="en-US" w:eastAsia="zh-CN"/>
        </w:rPr>
        <w:t>房产证</w:t>
      </w:r>
    </w:p>
    <w:p w14:paraId="1F24855A">
      <w:pPr>
        <w:spacing w:line="360" w:lineRule="auto"/>
        <w:rPr>
          <w:rFonts w:hint="default"/>
          <w:color w:val="auto"/>
          <w:sz w:val="24"/>
          <w:szCs w:val="32"/>
          <w:highlight w:val="none"/>
          <w:lang w:val="en-US" w:eastAsia="zh-CN"/>
        </w:rPr>
      </w:pPr>
      <w:r>
        <w:rPr>
          <w:rFonts w:hint="eastAsia"/>
          <w:color w:val="auto"/>
          <w:sz w:val="24"/>
          <w:szCs w:val="32"/>
          <w:highlight w:val="none"/>
        </w:rPr>
        <w:t>附件</w:t>
      </w:r>
      <w:r>
        <w:rPr>
          <w:rFonts w:hint="eastAsia"/>
          <w:color w:val="auto"/>
          <w:sz w:val="24"/>
          <w:szCs w:val="32"/>
          <w:highlight w:val="none"/>
          <w:lang w:val="en-US" w:eastAsia="zh-CN"/>
        </w:rPr>
        <w:t>6 总量控制指标确认书</w:t>
      </w:r>
    </w:p>
    <w:p w14:paraId="16106DCE">
      <w:pPr>
        <w:spacing w:line="360" w:lineRule="auto"/>
        <w:rPr>
          <w:rFonts w:hint="eastAsia"/>
          <w:color w:val="auto"/>
          <w:sz w:val="24"/>
          <w:szCs w:val="32"/>
          <w:lang w:val="en-US" w:eastAsia="zh-CN"/>
        </w:rPr>
      </w:pPr>
      <w:r>
        <w:rPr>
          <w:rFonts w:hint="eastAsia"/>
          <w:color w:val="auto"/>
          <w:sz w:val="24"/>
          <w:szCs w:val="32"/>
        </w:rPr>
        <w:t>附件</w:t>
      </w:r>
      <w:r>
        <w:rPr>
          <w:rFonts w:hint="eastAsia"/>
          <w:color w:val="auto"/>
          <w:sz w:val="24"/>
          <w:szCs w:val="32"/>
          <w:lang w:val="en-US" w:eastAsia="zh-CN"/>
        </w:rPr>
        <w:t>7 物料MSDS报告</w:t>
      </w:r>
    </w:p>
    <w:p w14:paraId="24019704">
      <w:pPr>
        <w:spacing w:line="360" w:lineRule="auto"/>
        <w:rPr>
          <w:rFonts w:hint="default"/>
          <w:color w:val="auto"/>
          <w:sz w:val="24"/>
          <w:szCs w:val="32"/>
          <w:lang w:val="en-US" w:eastAsia="zh-CN"/>
        </w:rPr>
      </w:pPr>
      <w:r>
        <w:rPr>
          <w:rFonts w:hint="eastAsia"/>
          <w:color w:val="auto"/>
          <w:sz w:val="24"/>
          <w:szCs w:val="32"/>
          <w:lang w:val="en-US" w:eastAsia="zh-CN"/>
        </w:rPr>
        <w:t>附件8 初审表</w:t>
      </w:r>
    </w:p>
    <w:p w14:paraId="3EC7C23A">
      <w:pPr>
        <w:spacing w:line="360" w:lineRule="auto"/>
        <w:rPr>
          <w:rFonts w:hint="eastAsia"/>
          <w:color w:val="auto"/>
          <w:sz w:val="24"/>
          <w:szCs w:val="32"/>
          <w:lang w:val="en-US" w:eastAsia="zh-CN"/>
        </w:rPr>
      </w:pPr>
      <w:r>
        <w:rPr>
          <w:rFonts w:hint="eastAsia"/>
          <w:color w:val="auto"/>
          <w:sz w:val="24"/>
          <w:szCs w:val="32"/>
          <w:lang w:val="en-US" w:eastAsia="zh-CN"/>
        </w:rPr>
        <w:t>附件9 施肥证明</w:t>
      </w:r>
    </w:p>
    <w:p w14:paraId="299FE379">
      <w:pPr>
        <w:spacing w:line="360" w:lineRule="auto"/>
        <w:rPr>
          <w:rFonts w:hint="default"/>
          <w:color w:val="auto"/>
          <w:sz w:val="24"/>
          <w:szCs w:val="32"/>
          <w:lang w:val="en-US" w:eastAsia="zh-CN"/>
        </w:rPr>
      </w:pPr>
      <w:r>
        <w:rPr>
          <w:rFonts w:hint="eastAsia"/>
          <w:color w:val="auto"/>
          <w:sz w:val="24"/>
          <w:szCs w:val="32"/>
          <w:lang w:val="en-US" w:eastAsia="zh-CN"/>
        </w:rPr>
        <w:t>附件10 排污信息清单</w:t>
      </w:r>
    </w:p>
    <w:p w14:paraId="2C2DA7AE">
      <w:pPr>
        <w:spacing w:line="360" w:lineRule="auto"/>
        <w:rPr>
          <w:rFonts w:hint="default"/>
          <w:color w:val="auto"/>
          <w:sz w:val="24"/>
          <w:szCs w:val="32"/>
          <w:lang w:val="en-US" w:eastAsia="zh-CN"/>
        </w:rPr>
        <w:sectPr>
          <w:footerReference r:id="rId5" w:type="default"/>
          <w:pgSz w:w="11906" w:h="16838"/>
          <w:pgMar w:top="1701" w:right="1531" w:bottom="1701" w:left="1531" w:header="851" w:footer="1077" w:gutter="0"/>
          <w:pgNumType w:fmt="decimal"/>
          <w:cols w:space="720" w:num="1"/>
          <w:docGrid w:linePitch="312" w:charSpace="0"/>
        </w:sectPr>
      </w:pPr>
    </w:p>
    <w:p w14:paraId="76F9DF37">
      <w:pPr>
        <w:spacing w:line="360" w:lineRule="auto"/>
        <w:rPr>
          <w:rFonts w:hint="default"/>
          <w:color w:val="auto"/>
          <w:sz w:val="24"/>
          <w:szCs w:val="32"/>
          <w:lang w:val="en-US" w:eastAsia="zh-CN"/>
        </w:rPr>
        <w:sectPr>
          <w:footerReference r:id="rId6" w:type="default"/>
          <w:pgSz w:w="11906" w:h="16838"/>
          <w:pgMar w:top="1701" w:right="1531" w:bottom="1701" w:left="1531" w:header="851" w:footer="1077" w:gutter="0"/>
          <w:pgNumType w:fmt="decimal"/>
          <w:cols w:space="720" w:num="1"/>
          <w:docGrid w:linePitch="312" w:charSpace="0"/>
        </w:sectPr>
      </w:pPr>
    </w:p>
    <w:p w14:paraId="496F2F28">
      <w:pPr>
        <w:pStyle w:val="24"/>
        <w:spacing w:before="0" w:beforeAutospacing="0" w:after="0" w:afterAutospacing="0"/>
        <w:jc w:val="center"/>
        <w:outlineLvl w:val="0"/>
        <w:rPr>
          <w:rFonts w:ascii="Times New Roman" w:hAnsi="Times New Roman"/>
          <w:snapToGrid w:val="0"/>
          <w:color w:val="auto"/>
          <w:sz w:val="30"/>
          <w:szCs w:val="30"/>
        </w:rPr>
      </w:pPr>
      <w:r>
        <w:rPr>
          <w:rFonts w:hint="eastAsia" w:ascii="Times New Roman" w:hAnsi="Times New Roman"/>
          <w:snapToGrid w:val="0"/>
          <w:color w:val="auto"/>
          <w:sz w:val="30"/>
          <w:szCs w:val="30"/>
        </w:rPr>
        <w:t>一、建设项目基本情况</w:t>
      </w:r>
    </w:p>
    <w:tbl>
      <w:tblPr>
        <w:tblStyle w:val="28"/>
        <w:tblW w:w="494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659"/>
        <w:gridCol w:w="634"/>
        <w:gridCol w:w="1955"/>
        <w:gridCol w:w="2116"/>
        <w:gridCol w:w="3416"/>
      </w:tblGrid>
      <w:tr w14:paraId="468BB0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69" w:hRule="atLeast"/>
          <w:jc w:val="center"/>
        </w:trPr>
        <w:tc>
          <w:tcPr>
            <w:tcW w:w="1733" w:type="dxa"/>
            <w:gridSpan w:val="2"/>
            <w:tcMar>
              <w:top w:w="16" w:type="dxa"/>
              <w:left w:w="16" w:type="dxa"/>
              <w:right w:w="16" w:type="dxa"/>
            </w:tcMar>
            <w:vAlign w:val="center"/>
          </w:tcPr>
          <w:p w14:paraId="17741928">
            <w:pPr>
              <w:adjustRightInd w:val="0"/>
              <w:snapToGrid w:val="0"/>
              <w:jc w:val="center"/>
              <w:rPr>
                <w:b/>
                <w:bCs/>
                <w:color w:val="auto"/>
                <w:sz w:val="24"/>
              </w:rPr>
            </w:pPr>
            <w:r>
              <w:rPr>
                <w:color w:val="auto"/>
                <w:sz w:val="24"/>
              </w:rPr>
              <w:t>建设项目名称</w:t>
            </w:r>
          </w:p>
        </w:tc>
        <w:tc>
          <w:tcPr>
            <w:tcW w:w="7054" w:type="dxa"/>
            <w:gridSpan w:val="3"/>
            <w:vAlign w:val="center"/>
          </w:tcPr>
          <w:p w14:paraId="1BF43BAE">
            <w:pPr>
              <w:adjustRightInd w:val="0"/>
              <w:snapToGrid w:val="0"/>
              <w:jc w:val="center"/>
              <w:rPr>
                <w:rFonts w:hint="eastAsia" w:eastAsia="宋体"/>
                <w:color w:val="auto"/>
                <w:sz w:val="24"/>
                <w:highlight w:val="cyan"/>
                <w:lang w:val="en-US" w:eastAsia="zh-CN"/>
              </w:rPr>
            </w:pPr>
            <w:r>
              <w:rPr>
                <w:rFonts w:hint="eastAsia"/>
                <w:color w:val="auto"/>
                <w:sz w:val="24"/>
                <w:highlight w:val="none"/>
                <w:lang w:val="en-US" w:eastAsia="zh-CN"/>
              </w:rPr>
              <w:t>高安市金峰彩印有限公司年印刷5000万米热封膜建设项目</w:t>
            </w:r>
          </w:p>
        </w:tc>
      </w:tr>
      <w:tr w14:paraId="2F183F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33" w:type="dxa"/>
            <w:gridSpan w:val="2"/>
            <w:tcMar>
              <w:top w:w="16" w:type="dxa"/>
              <w:left w:w="16" w:type="dxa"/>
              <w:right w:w="16" w:type="dxa"/>
            </w:tcMar>
            <w:vAlign w:val="center"/>
          </w:tcPr>
          <w:p w14:paraId="7B9604C8">
            <w:pPr>
              <w:adjustRightInd w:val="0"/>
              <w:snapToGrid w:val="0"/>
              <w:jc w:val="center"/>
              <w:rPr>
                <w:b/>
                <w:bCs/>
                <w:color w:val="auto"/>
                <w:sz w:val="24"/>
              </w:rPr>
            </w:pPr>
            <w:r>
              <w:rPr>
                <w:color w:val="auto"/>
                <w:sz w:val="24"/>
              </w:rPr>
              <w:t>项目代码</w:t>
            </w:r>
          </w:p>
        </w:tc>
        <w:tc>
          <w:tcPr>
            <w:tcW w:w="7054" w:type="dxa"/>
            <w:gridSpan w:val="3"/>
            <w:vAlign w:val="center"/>
          </w:tcPr>
          <w:p w14:paraId="0021523E">
            <w:pPr>
              <w:adjustRightInd w:val="0"/>
              <w:snapToGrid w:val="0"/>
              <w:jc w:val="center"/>
              <w:rPr>
                <w:rFonts w:hint="eastAsia" w:eastAsia="宋体"/>
                <w:color w:val="auto"/>
                <w:sz w:val="24"/>
                <w:lang w:eastAsia="zh-CN"/>
              </w:rPr>
            </w:pPr>
            <w:r>
              <w:rPr>
                <w:rFonts w:hint="eastAsia"/>
                <w:color w:val="auto"/>
                <w:sz w:val="24"/>
                <w:highlight w:val="none"/>
                <w:lang w:val="en-US" w:eastAsia="zh-CN"/>
              </w:rPr>
              <w:t>2512-360983-04-05-871910</w:t>
            </w:r>
          </w:p>
        </w:tc>
      </w:tr>
      <w:tr w14:paraId="0E8D12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33" w:type="dxa"/>
            <w:gridSpan w:val="2"/>
            <w:tcMar>
              <w:top w:w="16" w:type="dxa"/>
              <w:left w:w="16" w:type="dxa"/>
              <w:right w:w="16" w:type="dxa"/>
            </w:tcMar>
            <w:vAlign w:val="center"/>
          </w:tcPr>
          <w:p w14:paraId="18C06BC2">
            <w:pPr>
              <w:adjustRightInd w:val="0"/>
              <w:snapToGrid w:val="0"/>
              <w:jc w:val="center"/>
              <w:rPr>
                <w:b/>
                <w:bCs/>
                <w:color w:val="auto"/>
                <w:sz w:val="24"/>
              </w:rPr>
            </w:pPr>
            <w:r>
              <w:rPr>
                <w:color w:val="auto"/>
                <w:sz w:val="24"/>
              </w:rPr>
              <w:t>建设单位联系人</w:t>
            </w:r>
          </w:p>
        </w:tc>
        <w:tc>
          <w:tcPr>
            <w:tcW w:w="1971" w:type="dxa"/>
            <w:vAlign w:val="center"/>
          </w:tcPr>
          <w:p w14:paraId="2487C71D">
            <w:pPr>
              <w:adjustRightInd w:val="0"/>
              <w:snapToGrid w:val="0"/>
              <w:jc w:val="center"/>
              <w:rPr>
                <w:rFonts w:hint="eastAsia" w:eastAsia="宋体"/>
                <w:color w:val="auto"/>
                <w:sz w:val="24"/>
                <w:lang w:val="en-US" w:eastAsia="zh-CN"/>
              </w:rPr>
            </w:pPr>
          </w:p>
        </w:tc>
        <w:tc>
          <w:tcPr>
            <w:tcW w:w="2135" w:type="dxa"/>
            <w:vAlign w:val="center"/>
          </w:tcPr>
          <w:p w14:paraId="61A0AE2E">
            <w:pPr>
              <w:adjustRightInd w:val="0"/>
              <w:snapToGrid w:val="0"/>
              <w:jc w:val="center"/>
              <w:rPr>
                <w:color w:val="auto"/>
              </w:rPr>
            </w:pPr>
            <w:r>
              <w:rPr>
                <w:color w:val="auto"/>
                <w:sz w:val="24"/>
              </w:rPr>
              <w:t>联系方式</w:t>
            </w:r>
          </w:p>
        </w:tc>
        <w:tc>
          <w:tcPr>
            <w:tcW w:w="2948" w:type="dxa"/>
            <w:vAlign w:val="center"/>
          </w:tcPr>
          <w:p w14:paraId="23E6115B">
            <w:pPr>
              <w:adjustRightInd w:val="0"/>
              <w:snapToGrid w:val="0"/>
              <w:jc w:val="center"/>
              <w:rPr>
                <w:rFonts w:hint="default" w:eastAsia="宋体"/>
                <w:color w:val="auto"/>
                <w:sz w:val="24"/>
                <w:lang w:val="en-US" w:eastAsia="zh-CN"/>
              </w:rPr>
            </w:pPr>
            <w:bookmarkStart w:id="15" w:name="_GoBack"/>
            <w:bookmarkEnd w:id="15"/>
          </w:p>
        </w:tc>
      </w:tr>
      <w:tr w14:paraId="31D9D0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33" w:type="dxa"/>
            <w:gridSpan w:val="2"/>
            <w:tcMar>
              <w:top w:w="16" w:type="dxa"/>
              <w:left w:w="16" w:type="dxa"/>
              <w:right w:w="16" w:type="dxa"/>
            </w:tcMar>
            <w:vAlign w:val="center"/>
          </w:tcPr>
          <w:p w14:paraId="03092C50">
            <w:pPr>
              <w:adjustRightInd w:val="0"/>
              <w:snapToGrid w:val="0"/>
              <w:jc w:val="center"/>
              <w:rPr>
                <w:b/>
                <w:bCs/>
                <w:color w:val="auto"/>
                <w:sz w:val="24"/>
              </w:rPr>
            </w:pPr>
            <w:r>
              <w:rPr>
                <w:color w:val="auto"/>
                <w:sz w:val="24"/>
              </w:rPr>
              <w:t>建设地点</w:t>
            </w:r>
          </w:p>
        </w:tc>
        <w:tc>
          <w:tcPr>
            <w:tcW w:w="7054" w:type="dxa"/>
            <w:gridSpan w:val="3"/>
            <w:vAlign w:val="center"/>
          </w:tcPr>
          <w:p w14:paraId="4040BA18">
            <w:pPr>
              <w:adjustRightInd w:val="0"/>
              <w:snapToGrid w:val="0"/>
              <w:jc w:val="center"/>
              <w:rPr>
                <w:rFonts w:hint="default" w:eastAsia="宋体"/>
                <w:color w:val="auto"/>
                <w:sz w:val="24"/>
                <w:lang w:val="en-US" w:eastAsia="zh-CN"/>
              </w:rPr>
            </w:pPr>
            <w:r>
              <w:rPr>
                <w:rFonts w:hint="eastAsia"/>
                <w:color w:val="auto"/>
                <w:sz w:val="24"/>
                <w:lang w:val="en-US" w:eastAsia="zh-CN"/>
              </w:rPr>
              <w:t>高安市蓝坊镇燕窝村</w:t>
            </w:r>
          </w:p>
        </w:tc>
      </w:tr>
      <w:tr w14:paraId="4A92A2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33" w:type="dxa"/>
            <w:gridSpan w:val="2"/>
            <w:tcMar>
              <w:top w:w="16" w:type="dxa"/>
              <w:left w:w="16" w:type="dxa"/>
              <w:right w:w="16" w:type="dxa"/>
            </w:tcMar>
            <w:vAlign w:val="center"/>
          </w:tcPr>
          <w:p w14:paraId="742377D0">
            <w:pPr>
              <w:adjustRightInd w:val="0"/>
              <w:snapToGrid w:val="0"/>
              <w:jc w:val="center"/>
              <w:rPr>
                <w:b/>
                <w:bCs/>
                <w:color w:val="auto"/>
                <w:sz w:val="24"/>
              </w:rPr>
            </w:pPr>
            <w:r>
              <w:rPr>
                <w:color w:val="auto"/>
                <w:sz w:val="24"/>
              </w:rPr>
              <w:t>地理坐标</w:t>
            </w:r>
          </w:p>
        </w:tc>
        <w:tc>
          <w:tcPr>
            <w:tcW w:w="7054" w:type="dxa"/>
            <w:gridSpan w:val="3"/>
            <w:vAlign w:val="center"/>
          </w:tcPr>
          <w:p w14:paraId="03E89269">
            <w:pPr>
              <w:jc w:val="center"/>
              <w:rPr>
                <w:color w:val="auto"/>
                <w:sz w:val="24"/>
              </w:rPr>
            </w:pPr>
            <w:r>
              <w:rPr>
                <w:color w:val="auto"/>
                <w:sz w:val="24"/>
              </w:rPr>
              <w:t>E</w:t>
            </w:r>
            <w:r>
              <w:rPr>
                <w:rFonts w:hint="eastAsia"/>
                <w:color w:val="auto"/>
                <w:sz w:val="24"/>
              </w:rPr>
              <w:t>115</w:t>
            </w:r>
            <w:r>
              <w:rPr>
                <w:color w:val="auto"/>
                <w:sz w:val="24"/>
              </w:rPr>
              <w:t>°</w:t>
            </w:r>
            <w:r>
              <w:rPr>
                <w:rFonts w:hint="eastAsia"/>
                <w:color w:val="auto"/>
                <w:sz w:val="24"/>
              </w:rPr>
              <w:t>25</w:t>
            </w:r>
            <w:r>
              <w:rPr>
                <w:color w:val="auto"/>
                <w:sz w:val="24"/>
              </w:rPr>
              <w:t>′</w:t>
            </w:r>
            <w:r>
              <w:rPr>
                <w:rFonts w:hint="eastAsia"/>
                <w:color w:val="auto"/>
                <w:sz w:val="24"/>
              </w:rPr>
              <w:t>32.382</w:t>
            </w:r>
            <w:r>
              <w:rPr>
                <w:color w:val="auto"/>
                <w:sz w:val="24"/>
              </w:rPr>
              <w:t>″</w:t>
            </w:r>
            <w:r>
              <w:rPr>
                <w:rFonts w:hint="eastAsia"/>
                <w:color w:val="auto"/>
                <w:sz w:val="24"/>
                <w:lang w:eastAsia="zh-CN"/>
              </w:rPr>
              <w:t>，</w:t>
            </w:r>
            <w:r>
              <w:rPr>
                <w:color w:val="auto"/>
                <w:sz w:val="24"/>
              </w:rPr>
              <w:t>N</w:t>
            </w:r>
            <w:r>
              <w:rPr>
                <w:rFonts w:hint="eastAsia"/>
                <w:color w:val="auto"/>
                <w:sz w:val="24"/>
              </w:rPr>
              <w:t>28</w:t>
            </w:r>
            <w:r>
              <w:rPr>
                <w:color w:val="auto"/>
                <w:sz w:val="24"/>
              </w:rPr>
              <w:t>°</w:t>
            </w:r>
            <w:r>
              <w:rPr>
                <w:rFonts w:hint="eastAsia"/>
                <w:color w:val="auto"/>
                <w:sz w:val="24"/>
              </w:rPr>
              <w:t>23</w:t>
            </w:r>
            <w:r>
              <w:rPr>
                <w:color w:val="auto"/>
                <w:sz w:val="24"/>
              </w:rPr>
              <w:t>′</w:t>
            </w:r>
            <w:r>
              <w:rPr>
                <w:rFonts w:hint="eastAsia"/>
                <w:color w:val="auto"/>
                <w:sz w:val="24"/>
              </w:rPr>
              <w:t>41.676</w:t>
            </w:r>
            <w:r>
              <w:rPr>
                <w:color w:val="auto"/>
                <w:sz w:val="24"/>
              </w:rPr>
              <w:t>″</w:t>
            </w:r>
          </w:p>
        </w:tc>
      </w:tr>
      <w:tr w14:paraId="0A3E76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34" w:hRule="atLeast"/>
          <w:jc w:val="center"/>
        </w:trPr>
        <w:tc>
          <w:tcPr>
            <w:tcW w:w="1733" w:type="dxa"/>
            <w:gridSpan w:val="2"/>
            <w:tcMar>
              <w:top w:w="16" w:type="dxa"/>
              <w:left w:w="16" w:type="dxa"/>
              <w:right w:w="16" w:type="dxa"/>
            </w:tcMar>
            <w:vAlign w:val="center"/>
          </w:tcPr>
          <w:p w14:paraId="3ED301ED">
            <w:pPr>
              <w:adjustRightInd w:val="0"/>
              <w:snapToGrid w:val="0"/>
              <w:jc w:val="center"/>
              <w:rPr>
                <w:color w:val="auto"/>
                <w:sz w:val="24"/>
              </w:rPr>
            </w:pPr>
            <w:r>
              <w:rPr>
                <w:color w:val="auto"/>
                <w:sz w:val="24"/>
              </w:rPr>
              <w:t>国民经济</w:t>
            </w:r>
          </w:p>
          <w:p w14:paraId="1ED396A9">
            <w:pPr>
              <w:adjustRightInd w:val="0"/>
              <w:snapToGrid w:val="0"/>
              <w:jc w:val="center"/>
              <w:rPr>
                <w:b/>
                <w:bCs/>
                <w:color w:val="auto"/>
                <w:sz w:val="24"/>
              </w:rPr>
            </w:pPr>
            <w:r>
              <w:rPr>
                <w:color w:val="auto"/>
                <w:sz w:val="24"/>
              </w:rPr>
              <w:t>行业类别</w:t>
            </w:r>
          </w:p>
        </w:tc>
        <w:tc>
          <w:tcPr>
            <w:tcW w:w="1971" w:type="dxa"/>
            <w:vAlign w:val="center"/>
          </w:tcPr>
          <w:p w14:paraId="1528425F">
            <w:pPr>
              <w:pStyle w:val="13"/>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default"/>
                <w:color w:val="auto"/>
                <w:sz w:val="24"/>
                <w:lang w:val="en-US"/>
              </w:rPr>
            </w:pPr>
            <w:r>
              <w:rPr>
                <w:rFonts w:hint="eastAsia" w:cs="Times New Roman"/>
                <w:color w:val="auto"/>
                <w:kern w:val="2"/>
                <w:sz w:val="24"/>
                <w:szCs w:val="24"/>
                <w:lang w:val="en-US" w:eastAsia="zh-CN" w:bidi="ar-SA"/>
              </w:rPr>
              <w:t>C2319包装装潢及其他印刷</w:t>
            </w:r>
          </w:p>
        </w:tc>
        <w:tc>
          <w:tcPr>
            <w:tcW w:w="2135" w:type="dxa"/>
            <w:vAlign w:val="center"/>
          </w:tcPr>
          <w:p w14:paraId="12E71AB1">
            <w:pPr>
              <w:adjustRightInd w:val="0"/>
              <w:snapToGrid w:val="0"/>
              <w:jc w:val="center"/>
              <w:rPr>
                <w:color w:val="auto"/>
                <w:sz w:val="24"/>
              </w:rPr>
            </w:pPr>
            <w:r>
              <w:rPr>
                <w:color w:val="auto"/>
                <w:sz w:val="24"/>
              </w:rPr>
              <w:t>建设项目</w:t>
            </w:r>
          </w:p>
          <w:p w14:paraId="7B1D43C7">
            <w:pPr>
              <w:adjustRightInd w:val="0"/>
              <w:snapToGrid w:val="0"/>
              <w:jc w:val="center"/>
              <w:rPr>
                <w:color w:val="auto"/>
                <w:sz w:val="24"/>
              </w:rPr>
            </w:pPr>
            <w:r>
              <w:rPr>
                <w:color w:val="auto"/>
                <w:sz w:val="24"/>
              </w:rPr>
              <w:t>行业类别</w:t>
            </w:r>
          </w:p>
        </w:tc>
        <w:tc>
          <w:tcPr>
            <w:tcW w:w="2948" w:type="dxa"/>
            <w:vAlign w:val="center"/>
          </w:tcPr>
          <w:p w14:paraId="764B9981">
            <w:pPr>
              <w:adjustRightInd w:val="0"/>
              <w:snapToGrid w:val="0"/>
              <w:jc w:val="both"/>
              <w:rPr>
                <w:rFonts w:hint="eastAsia" w:eastAsia="宋体"/>
                <w:color w:val="auto"/>
                <w:sz w:val="24"/>
                <w:lang w:val="en-US" w:eastAsia="zh-CN"/>
              </w:rPr>
            </w:pPr>
            <w:r>
              <w:rPr>
                <w:rFonts w:hint="default"/>
                <w:color w:val="auto"/>
                <w:sz w:val="24"/>
              </w:rPr>
              <w:t>二十、印刷和记录媒介复制业23</w:t>
            </w:r>
            <w:r>
              <w:rPr>
                <w:rFonts w:hint="eastAsia"/>
                <w:color w:val="auto"/>
                <w:sz w:val="24"/>
                <w:lang w:eastAsia="zh-CN"/>
              </w:rPr>
              <w:t>、</w:t>
            </w:r>
            <w:r>
              <w:rPr>
                <w:rFonts w:hint="default"/>
                <w:color w:val="auto"/>
                <w:sz w:val="24"/>
              </w:rPr>
              <w:t>39印刷231</w:t>
            </w:r>
            <w:r>
              <w:rPr>
                <w:rFonts w:hint="eastAsia"/>
                <w:color w:val="auto"/>
                <w:sz w:val="24"/>
                <w:lang w:eastAsia="zh-CN"/>
              </w:rPr>
              <w:t>、</w:t>
            </w:r>
            <w:r>
              <w:rPr>
                <w:rFonts w:hint="default"/>
                <w:color w:val="auto"/>
                <w:sz w:val="24"/>
              </w:rPr>
              <w:t>其他</w:t>
            </w:r>
            <w:r>
              <w:rPr>
                <w:rFonts w:hint="eastAsia"/>
                <w:color w:val="auto"/>
                <w:sz w:val="24"/>
                <w:lang w:eastAsia="zh-CN"/>
              </w:rPr>
              <w:t>（</w:t>
            </w:r>
            <w:r>
              <w:rPr>
                <w:rFonts w:hint="default"/>
                <w:color w:val="auto"/>
                <w:sz w:val="24"/>
              </w:rPr>
              <w:t>激光印刷除外</w:t>
            </w:r>
            <w:r>
              <w:rPr>
                <w:rFonts w:hint="eastAsia"/>
                <w:color w:val="auto"/>
                <w:sz w:val="24"/>
                <w:lang w:eastAsia="zh-CN"/>
              </w:rPr>
              <w:t>；</w:t>
            </w:r>
            <w:r>
              <w:rPr>
                <w:rFonts w:hint="default"/>
                <w:color w:val="auto"/>
                <w:sz w:val="24"/>
              </w:rPr>
              <w:t>年用低VOC</w:t>
            </w:r>
            <w:r>
              <w:rPr>
                <w:rFonts w:hint="eastAsia"/>
                <w:color w:val="auto"/>
                <w:sz w:val="24"/>
                <w:vertAlign w:val="subscript"/>
                <w:lang w:val="en-US" w:eastAsia="zh-CN"/>
              </w:rPr>
              <w:t>S</w:t>
            </w:r>
            <w:r>
              <w:rPr>
                <w:rFonts w:hint="default"/>
                <w:color w:val="auto"/>
                <w:sz w:val="24"/>
              </w:rPr>
              <w:t>含量油墨10吨以下的印刷除外</w:t>
            </w:r>
            <w:r>
              <w:rPr>
                <w:rFonts w:hint="eastAsia"/>
                <w:color w:val="auto"/>
                <w:sz w:val="24"/>
                <w:lang w:eastAsia="zh-CN"/>
              </w:rPr>
              <w:t>）</w:t>
            </w:r>
          </w:p>
        </w:tc>
      </w:tr>
      <w:tr w14:paraId="6CA8E0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97" w:hRule="atLeast"/>
          <w:jc w:val="center"/>
        </w:trPr>
        <w:tc>
          <w:tcPr>
            <w:tcW w:w="1733" w:type="dxa"/>
            <w:gridSpan w:val="2"/>
            <w:tcMar>
              <w:top w:w="16" w:type="dxa"/>
              <w:left w:w="16" w:type="dxa"/>
              <w:right w:w="16" w:type="dxa"/>
            </w:tcMar>
            <w:vAlign w:val="center"/>
          </w:tcPr>
          <w:p w14:paraId="70BB33CE">
            <w:pPr>
              <w:adjustRightInd w:val="0"/>
              <w:snapToGrid w:val="0"/>
              <w:jc w:val="center"/>
              <w:rPr>
                <w:b/>
                <w:bCs/>
                <w:color w:val="auto"/>
                <w:sz w:val="24"/>
              </w:rPr>
            </w:pPr>
            <w:r>
              <w:rPr>
                <w:color w:val="auto"/>
                <w:sz w:val="24"/>
              </w:rPr>
              <w:t>建设性质</w:t>
            </w:r>
          </w:p>
        </w:tc>
        <w:tc>
          <w:tcPr>
            <w:tcW w:w="1971" w:type="dxa"/>
            <w:vAlign w:val="center"/>
          </w:tcPr>
          <w:p w14:paraId="6C07DE6D">
            <w:pPr>
              <w:jc w:val="left"/>
              <w:rPr>
                <w:color w:val="auto"/>
                <w:sz w:val="24"/>
              </w:rPr>
            </w:pPr>
            <w:r>
              <w:rPr>
                <w:color w:val="auto"/>
                <w:sz w:val="24"/>
              </w:rPr>
              <w:sym w:font="Wingdings 2" w:char="0052"/>
            </w:r>
            <w:r>
              <w:rPr>
                <w:color w:val="auto"/>
                <w:sz w:val="24"/>
              </w:rPr>
              <w:t>新建（迁建）</w:t>
            </w:r>
          </w:p>
          <w:p w14:paraId="7C73DFEC">
            <w:pPr>
              <w:jc w:val="left"/>
              <w:rPr>
                <w:color w:val="auto"/>
                <w:sz w:val="24"/>
              </w:rPr>
            </w:pPr>
            <w:r>
              <w:rPr>
                <w:color w:val="auto"/>
                <w:sz w:val="24"/>
              </w:rPr>
              <w:sym w:font="Wingdings 2" w:char="00A3"/>
            </w:r>
            <w:r>
              <w:rPr>
                <w:color w:val="auto"/>
                <w:sz w:val="24"/>
              </w:rPr>
              <w:t>改建</w:t>
            </w:r>
          </w:p>
          <w:p w14:paraId="4A350536">
            <w:pPr>
              <w:jc w:val="left"/>
              <w:rPr>
                <w:color w:val="auto"/>
                <w:sz w:val="24"/>
              </w:rPr>
            </w:pPr>
            <w:r>
              <w:rPr>
                <w:color w:val="auto"/>
                <w:sz w:val="24"/>
              </w:rPr>
              <w:sym w:font="Wingdings 2" w:char="00A3"/>
            </w:r>
            <w:r>
              <w:rPr>
                <w:color w:val="auto"/>
                <w:sz w:val="24"/>
              </w:rPr>
              <w:t>扩建</w:t>
            </w:r>
          </w:p>
          <w:p w14:paraId="3F2D8684">
            <w:pPr>
              <w:jc w:val="left"/>
              <w:rPr>
                <w:color w:val="auto"/>
                <w:sz w:val="24"/>
              </w:rPr>
            </w:pPr>
            <w:r>
              <w:rPr>
                <w:color w:val="auto"/>
                <w:sz w:val="24"/>
              </w:rPr>
              <w:sym w:font="Wingdings 2" w:char="00A3"/>
            </w:r>
            <w:r>
              <w:rPr>
                <w:color w:val="auto"/>
                <w:sz w:val="24"/>
              </w:rPr>
              <w:t>技术改造</w:t>
            </w:r>
          </w:p>
        </w:tc>
        <w:tc>
          <w:tcPr>
            <w:tcW w:w="2135" w:type="dxa"/>
            <w:vAlign w:val="center"/>
          </w:tcPr>
          <w:p w14:paraId="5166C3DA">
            <w:pPr>
              <w:adjustRightInd w:val="0"/>
              <w:snapToGrid w:val="0"/>
              <w:jc w:val="center"/>
              <w:rPr>
                <w:color w:val="auto"/>
                <w:sz w:val="24"/>
              </w:rPr>
            </w:pPr>
            <w:r>
              <w:rPr>
                <w:color w:val="auto"/>
                <w:sz w:val="24"/>
              </w:rPr>
              <w:t>建设项目</w:t>
            </w:r>
          </w:p>
          <w:p w14:paraId="6FC93528">
            <w:pPr>
              <w:adjustRightInd w:val="0"/>
              <w:snapToGrid w:val="0"/>
              <w:jc w:val="center"/>
              <w:rPr>
                <w:color w:val="auto"/>
                <w:sz w:val="24"/>
              </w:rPr>
            </w:pPr>
            <w:r>
              <w:rPr>
                <w:color w:val="auto"/>
                <w:sz w:val="24"/>
              </w:rPr>
              <w:t>申报情形</w:t>
            </w:r>
          </w:p>
        </w:tc>
        <w:tc>
          <w:tcPr>
            <w:tcW w:w="2948" w:type="dxa"/>
            <w:vAlign w:val="center"/>
          </w:tcPr>
          <w:p w14:paraId="4EE80F26">
            <w:pPr>
              <w:jc w:val="left"/>
              <w:rPr>
                <w:color w:val="auto"/>
                <w:sz w:val="24"/>
              </w:rPr>
            </w:pPr>
            <w:r>
              <w:rPr>
                <w:color w:val="auto"/>
                <w:sz w:val="24"/>
              </w:rPr>
              <w:sym w:font="Wingdings 2" w:char="0052"/>
            </w:r>
            <w:r>
              <w:rPr>
                <w:color w:val="auto"/>
                <w:sz w:val="24"/>
              </w:rPr>
              <w:t>首次申报项目</w:t>
            </w:r>
          </w:p>
          <w:p w14:paraId="348ED97D">
            <w:pPr>
              <w:jc w:val="left"/>
              <w:rPr>
                <w:color w:val="auto"/>
                <w:sz w:val="24"/>
              </w:rPr>
            </w:pPr>
            <w:r>
              <w:rPr>
                <w:color w:val="auto"/>
                <w:sz w:val="24"/>
              </w:rPr>
              <w:sym w:font="Wingdings 2" w:char="00A3"/>
            </w:r>
            <w:r>
              <w:rPr>
                <w:color w:val="auto"/>
                <w:sz w:val="24"/>
              </w:rPr>
              <w:t>不予批准后再次申报项目</w:t>
            </w:r>
          </w:p>
          <w:p w14:paraId="6031969C">
            <w:pPr>
              <w:jc w:val="left"/>
              <w:rPr>
                <w:color w:val="auto"/>
                <w:sz w:val="24"/>
              </w:rPr>
            </w:pPr>
            <w:r>
              <w:rPr>
                <w:color w:val="auto"/>
                <w:sz w:val="24"/>
              </w:rPr>
              <w:sym w:font="Wingdings 2" w:char="00A3"/>
            </w:r>
            <w:r>
              <w:rPr>
                <w:color w:val="auto"/>
                <w:sz w:val="24"/>
              </w:rPr>
              <w:t>超五年重新审核项目</w:t>
            </w:r>
          </w:p>
          <w:p w14:paraId="4E4A375B">
            <w:pPr>
              <w:jc w:val="left"/>
              <w:rPr>
                <w:color w:val="auto"/>
                <w:sz w:val="24"/>
              </w:rPr>
            </w:pPr>
            <w:r>
              <w:rPr>
                <w:color w:val="auto"/>
                <w:sz w:val="24"/>
              </w:rPr>
              <w:sym w:font="Wingdings 2" w:char="00A3"/>
            </w:r>
            <w:r>
              <w:rPr>
                <w:color w:val="auto"/>
                <w:sz w:val="24"/>
              </w:rPr>
              <w:t>重大变动重新报批项目</w:t>
            </w:r>
          </w:p>
        </w:tc>
      </w:tr>
      <w:tr w14:paraId="022751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92" w:hRule="atLeast"/>
          <w:jc w:val="center"/>
        </w:trPr>
        <w:tc>
          <w:tcPr>
            <w:tcW w:w="1733" w:type="dxa"/>
            <w:gridSpan w:val="2"/>
            <w:tcMar>
              <w:top w:w="16" w:type="dxa"/>
              <w:left w:w="16" w:type="dxa"/>
              <w:right w:w="16" w:type="dxa"/>
            </w:tcMar>
            <w:vAlign w:val="center"/>
          </w:tcPr>
          <w:p w14:paraId="02D9198C">
            <w:pPr>
              <w:adjustRightInd w:val="0"/>
              <w:snapToGrid w:val="0"/>
              <w:jc w:val="center"/>
              <w:rPr>
                <w:b/>
                <w:bCs/>
                <w:color w:val="auto"/>
                <w:sz w:val="24"/>
              </w:rPr>
            </w:pPr>
            <w:r>
              <w:rPr>
                <w:color w:val="auto"/>
                <w:sz w:val="24"/>
              </w:rPr>
              <w:t>项目审批（核准/备案）部门（选填）</w:t>
            </w:r>
          </w:p>
        </w:tc>
        <w:tc>
          <w:tcPr>
            <w:tcW w:w="1971" w:type="dxa"/>
            <w:vAlign w:val="center"/>
          </w:tcPr>
          <w:p w14:paraId="4AB0454D">
            <w:pPr>
              <w:adjustRightInd w:val="0"/>
              <w:snapToGrid w:val="0"/>
              <w:jc w:val="center"/>
              <w:rPr>
                <w:rFonts w:hint="default"/>
                <w:color w:val="auto"/>
                <w:sz w:val="24"/>
                <w:lang w:val="en-US"/>
              </w:rPr>
            </w:pPr>
            <w:r>
              <w:rPr>
                <w:rFonts w:hint="eastAsia" w:cs="Times New Roman"/>
                <w:color w:val="auto"/>
                <w:sz w:val="24"/>
                <w:lang w:val="en-US" w:eastAsia="zh-CN"/>
              </w:rPr>
              <w:t>高安市行政审批</w:t>
            </w:r>
            <w:r>
              <w:rPr>
                <w:rFonts w:hint="eastAsia" w:cs="Times New Roman"/>
                <w:color w:val="auto"/>
                <w:sz w:val="24"/>
                <w:highlight w:val="none"/>
                <w:lang w:val="en-US" w:eastAsia="zh-CN"/>
              </w:rPr>
              <w:t>局</w:t>
            </w:r>
          </w:p>
        </w:tc>
        <w:tc>
          <w:tcPr>
            <w:tcW w:w="2135" w:type="dxa"/>
            <w:vAlign w:val="center"/>
          </w:tcPr>
          <w:p w14:paraId="7C64A96C">
            <w:pPr>
              <w:adjustRightInd w:val="0"/>
              <w:snapToGrid w:val="0"/>
              <w:jc w:val="center"/>
              <w:rPr>
                <w:color w:val="auto"/>
                <w:sz w:val="24"/>
              </w:rPr>
            </w:pPr>
            <w:r>
              <w:rPr>
                <w:color w:val="auto"/>
                <w:sz w:val="24"/>
              </w:rPr>
              <w:t>项目审批（核准/备案）文号（选填）</w:t>
            </w:r>
          </w:p>
        </w:tc>
        <w:tc>
          <w:tcPr>
            <w:tcW w:w="2948" w:type="dxa"/>
            <w:vAlign w:val="center"/>
          </w:tcPr>
          <w:p w14:paraId="66C3F123">
            <w:pPr>
              <w:adjustRightInd w:val="0"/>
              <w:snapToGrid w:val="0"/>
              <w:jc w:val="center"/>
              <w:rPr>
                <w:rFonts w:hint="eastAsia" w:eastAsia="宋体"/>
                <w:color w:val="auto"/>
                <w:sz w:val="24"/>
                <w:highlight w:val="none"/>
                <w:lang w:val="en-US" w:eastAsia="zh-CN"/>
              </w:rPr>
            </w:pPr>
            <w:r>
              <w:rPr>
                <w:rFonts w:hint="eastAsia"/>
                <w:color w:val="auto"/>
                <w:sz w:val="24"/>
                <w:highlight w:val="none"/>
                <w:lang w:val="en-US" w:eastAsia="zh-CN"/>
              </w:rPr>
              <w:t>2512-360983-04-05-871910</w:t>
            </w:r>
          </w:p>
        </w:tc>
      </w:tr>
      <w:tr w14:paraId="15AA7D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89" w:hRule="atLeast"/>
          <w:jc w:val="center"/>
        </w:trPr>
        <w:tc>
          <w:tcPr>
            <w:tcW w:w="1733" w:type="dxa"/>
            <w:gridSpan w:val="2"/>
            <w:tcMar>
              <w:top w:w="16" w:type="dxa"/>
              <w:left w:w="16" w:type="dxa"/>
              <w:right w:w="16" w:type="dxa"/>
            </w:tcMar>
            <w:vAlign w:val="center"/>
          </w:tcPr>
          <w:p w14:paraId="2FA6EC10">
            <w:pPr>
              <w:adjustRightInd w:val="0"/>
              <w:snapToGrid w:val="0"/>
              <w:jc w:val="center"/>
              <w:rPr>
                <w:b/>
                <w:bCs/>
                <w:color w:val="auto"/>
                <w:sz w:val="24"/>
              </w:rPr>
            </w:pPr>
            <w:r>
              <w:rPr>
                <w:color w:val="auto"/>
                <w:sz w:val="24"/>
              </w:rPr>
              <w:t>总投资（万元）</w:t>
            </w:r>
          </w:p>
        </w:tc>
        <w:tc>
          <w:tcPr>
            <w:tcW w:w="1971" w:type="dxa"/>
            <w:vAlign w:val="center"/>
          </w:tcPr>
          <w:p w14:paraId="1F54936B">
            <w:pPr>
              <w:adjustRightInd w:val="0"/>
              <w:snapToGrid w:val="0"/>
              <w:jc w:val="center"/>
              <w:rPr>
                <w:rFonts w:hint="default" w:eastAsia="宋体"/>
                <w:color w:val="auto"/>
                <w:sz w:val="24"/>
                <w:lang w:val="en-US" w:eastAsia="zh-CN"/>
              </w:rPr>
            </w:pPr>
            <w:r>
              <w:rPr>
                <w:rFonts w:hint="eastAsia"/>
                <w:color w:val="auto"/>
                <w:sz w:val="24"/>
                <w:lang w:val="en-US" w:eastAsia="zh-CN"/>
              </w:rPr>
              <w:t>600</w:t>
            </w:r>
          </w:p>
        </w:tc>
        <w:tc>
          <w:tcPr>
            <w:tcW w:w="2135" w:type="dxa"/>
            <w:tcMar>
              <w:top w:w="16" w:type="dxa"/>
              <w:left w:w="16" w:type="dxa"/>
              <w:right w:w="16" w:type="dxa"/>
            </w:tcMar>
            <w:vAlign w:val="center"/>
          </w:tcPr>
          <w:p w14:paraId="15E40F9E">
            <w:pPr>
              <w:adjustRightInd w:val="0"/>
              <w:snapToGrid w:val="0"/>
              <w:jc w:val="center"/>
              <w:rPr>
                <w:color w:val="auto"/>
                <w:sz w:val="24"/>
              </w:rPr>
            </w:pPr>
            <w:r>
              <w:rPr>
                <w:color w:val="auto"/>
                <w:sz w:val="24"/>
              </w:rPr>
              <w:t>环保投资（万元）</w:t>
            </w:r>
          </w:p>
        </w:tc>
        <w:tc>
          <w:tcPr>
            <w:tcW w:w="2948" w:type="dxa"/>
            <w:vAlign w:val="center"/>
          </w:tcPr>
          <w:p w14:paraId="16ED4911">
            <w:pPr>
              <w:adjustRightInd w:val="0"/>
              <w:snapToGrid w:val="0"/>
              <w:jc w:val="center"/>
              <w:rPr>
                <w:rFonts w:hint="default" w:eastAsia="宋体"/>
                <w:color w:val="auto"/>
                <w:sz w:val="24"/>
                <w:lang w:val="en-US" w:eastAsia="zh-CN"/>
              </w:rPr>
            </w:pPr>
            <w:r>
              <w:rPr>
                <w:rFonts w:hint="eastAsia"/>
                <w:color w:val="auto"/>
                <w:sz w:val="24"/>
                <w:lang w:val="en-US" w:eastAsia="zh-CN"/>
              </w:rPr>
              <w:t>20</w:t>
            </w:r>
          </w:p>
        </w:tc>
      </w:tr>
      <w:tr w14:paraId="03D941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05" w:hRule="atLeast"/>
          <w:jc w:val="center"/>
        </w:trPr>
        <w:tc>
          <w:tcPr>
            <w:tcW w:w="1733" w:type="dxa"/>
            <w:gridSpan w:val="2"/>
            <w:tcMar>
              <w:top w:w="16" w:type="dxa"/>
              <w:left w:w="16" w:type="dxa"/>
              <w:right w:w="16" w:type="dxa"/>
            </w:tcMar>
            <w:vAlign w:val="center"/>
          </w:tcPr>
          <w:p w14:paraId="11C3BC63">
            <w:pPr>
              <w:adjustRightInd w:val="0"/>
              <w:snapToGrid w:val="0"/>
              <w:jc w:val="center"/>
              <w:rPr>
                <w:b/>
                <w:bCs/>
                <w:color w:val="auto"/>
                <w:sz w:val="24"/>
              </w:rPr>
            </w:pPr>
            <w:r>
              <w:rPr>
                <w:color w:val="auto"/>
                <w:sz w:val="24"/>
              </w:rPr>
              <w:t>环保投资占比（%）</w:t>
            </w:r>
          </w:p>
        </w:tc>
        <w:tc>
          <w:tcPr>
            <w:tcW w:w="1971" w:type="dxa"/>
            <w:vAlign w:val="center"/>
          </w:tcPr>
          <w:p w14:paraId="7908EF5E">
            <w:pPr>
              <w:adjustRightInd w:val="0"/>
              <w:snapToGrid w:val="0"/>
              <w:jc w:val="center"/>
              <w:rPr>
                <w:rFonts w:hint="default" w:eastAsia="宋体"/>
                <w:color w:val="auto"/>
                <w:sz w:val="24"/>
                <w:lang w:val="en-US" w:eastAsia="zh-CN"/>
              </w:rPr>
            </w:pPr>
            <w:r>
              <w:rPr>
                <w:rFonts w:hint="eastAsia"/>
                <w:color w:val="auto"/>
                <w:sz w:val="24"/>
                <w:lang w:val="en-US" w:eastAsia="zh-CN"/>
              </w:rPr>
              <w:t>3.3</w:t>
            </w:r>
          </w:p>
        </w:tc>
        <w:tc>
          <w:tcPr>
            <w:tcW w:w="2135" w:type="dxa"/>
            <w:tcMar>
              <w:top w:w="16" w:type="dxa"/>
              <w:left w:w="16" w:type="dxa"/>
              <w:right w:w="16" w:type="dxa"/>
            </w:tcMar>
            <w:vAlign w:val="center"/>
          </w:tcPr>
          <w:p w14:paraId="4F1E6F56">
            <w:pPr>
              <w:adjustRightInd w:val="0"/>
              <w:snapToGrid w:val="0"/>
              <w:jc w:val="center"/>
              <w:rPr>
                <w:color w:val="auto"/>
                <w:sz w:val="24"/>
              </w:rPr>
            </w:pPr>
            <w:r>
              <w:rPr>
                <w:color w:val="auto"/>
                <w:sz w:val="24"/>
              </w:rPr>
              <w:t>施工工期</w:t>
            </w:r>
          </w:p>
        </w:tc>
        <w:tc>
          <w:tcPr>
            <w:tcW w:w="2948" w:type="dxa"/>
            <w:vAlign w:val="center"/>
          </w:tcPr>
          <w:p w14:paraId="16AAF0C2">
            <w:pPr>
              <w:adjustRightInd w:val="0"/>
              <w:snapToGrid w:val="0"/>
              <w:jc w:val="center"/>
              <w:rPr>
                <w:color w:val="auto"/>
                <w:sz w:val="24"/>
              </w:rPr>
            </w:pPr>
            <w:r>
              <w:rPr>
                <w:rFonts w:hint="eastAsia"/>
                <w:color w:val="auto"/>
                <w:sz w:val="24"/>
                <w:lang w:val="en-US" w:eastAsia="zh-CN"/>
              </w:rPr>
              <w:t>3</w:t>
            </w:r>
            <w:r>
              <w:rPr>
                <w:color w:val="auto"/>
                <w:sz w:val="24"/>
              </w:rPr>
              <w:t>个月</w:t>
            </w:r>
          </w:p>
        </w:tc>
      </w:tr>
      <w:tr w14:paraId="5B410D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29" w:hRule="atLeast"/>
          <w:jc w:val="center"/>
        </w:trPr>
        <w:tc>
          <w:tcPr>
            <w:tcW w:w="1733" w:type="dxa"/>
            <w:gridSpan w:val="2"/>
            <w:tcMar>
              <w:top w:w="16" w:type="dxa"/>
              <w:left w:w="16" w:type="dxa"/>
              <w:right w:w="16" w:type="dxa"/>
            </w:tcMar>
            <w:vAlign w:val="center"/>
          </w:tcPr>
          <w:p w14:paraId="4D264BFF">
            <w:pPr>
              <w:adjustRightInd w:val="0"/>
              <w:snapToGrid w:val="0"/>
              <w:jc w:val="center"/>
              <w:rPr>
                <w:b/>
                <w:bCs/>
                <w:color w:val="auto"/>
                <w:sz w:val="24"/>
              </w:rPr>
            </w:pPr>
            <w:r>
              <w:rPr>
                <w:color w:val="auto"/>
                <w:sz w:val="24"/>
              </w:rPr>
              <w:t>是否开工建设</w:t>
            </w:r>
          </w:p>
        </w:tc>
        <w:tc>
          <w:tcPr>
            <w:tcW w:w="1971" w:type="dxa"/>
            <w:vAlign w:val="center"/>
          </w:tcPr>
          <w:p w14:paraId="03D0C4D1">
            <w:pPr>
              <w:adjustRightInd w:val="0"/>
              <w:snapToGrid w:val="0"/>
              <w:rPr>
                <w:color w:val="auto"/>
                <w:sz w:val="24"/>
              </w:rPr>
            </w:pPr>
            <w:r>
              <w:rPr>
                <w:color w:val="auto"/>
                <w:sz w:val="24"/>
              </w:rPr>
              <w:sym w:font="Wingdings 2" w:char="0052"/>
            </w:r>
            <w:r>
              <w:rPr>
                <w:color w:val="auto"/>
                <w:sz w:val="24"/>
              </w:rPr>
              <w:t>否</w:t>
            </w:r>
          </w:p>
          <w:p w14:paraId="44D4AE92">
            <w:pPr>
              <w:adjustRightInd w:val="0"/>
              <w:snapToGrid w:val="0"/>
              <w:rPr>
                <w:color w:val="auto"/>
                <w:sz w:val="24"/>
                <w:u w:val="single"/>
              </w:rPr>
            </w:pPr>
            <w:r>
              <w:rPr>
                <w:color w:val="auto"/>
                <w:sz w:val="24"/>
              </w:rPr>
              <w:sym w:font="Wingdings 2" w:char="00A3"/>
            </w:r>
            <w:r>
              <w:rPr>
                <w:color w:val="auto"/>
                <w:sz w:val="24"/>
              </w:rPr>
              <w:t>是：</w:t>
            </w:r>
          </w:p>
        </w:tc>
        <w:tc>
          <w:tcPr>
            <w:tcW w:w="2135" w:type="dxa"/>
            <w:tcMar>
              <w:top w:w="16" w:type="dxa"/>
              <w:left w:w="16" w:type="dxa"/>
              <w:right w:w="16" w:type="dxa"/>
            </w:tcMar>
            <w:vAlign w:val="center"/>
          </w:tcPr>
          <w:p w14:paraId="227ABB9A">
            <w:pPr>
              <w:adjustRightInd w:val="0"/>
              <w:snapToGrid w:val="0"/>
              <w:jc w:val="center"/>
              <w:rPr>
                <w:color w:val="auto"/>
                <w:sz w:val="24"/>
              </w:rPr>
            </w:pPr>
            <w:r>
              <w:rPr>
                <w:color w:val="auto"/>
                <w:sz w:val="24"/>
              </w:rPr>
              <w:t>用地（用海）</w:t>
            </w:r>
          </w:p>
          <w:p w14:paraId="066D108A">
            <w:pPr>
              <w:adjustRightInd w:val="0"/>
              <w:snapToGrid w:val="0"/>
              <w:jc w:val="center"/>
              <w:rPr>
                <w:color w:val="auto"/>
                <w:sz w:val="24"/>
              </w:rPr>
            </w:pPr>
            <w:r>
              <w:rPr>
                <w:color w:val="auto"/>
                <w:sz w:val="24"/>
              </w:rPr>
              <w:t>面积（m</w:t>
            </w:r>
            <w:r>
              <w:rPr>
                <w:color w:val="auto"/>
                <w:sz w:val="24"/>
                <w:vertAlign w:val="superscript"/>
              </w:rPr>
              <w:t>2</w:t>
            </w:r>
            <w:r>
              <w:rPr>
                <w:color w:val="auto"/>
                <w:sz w:val="24"/>
              </w:rPr>
              <w:t>）</w:t>
            </w:r>
          </w:p>
        </w:tc>
        <w:tc>
          <w:tcPr>
            <w:tcW w:w="2948" w:type="dxa"/>
            <w:vAlign w:val="center"/>
          </w:tcPr>
          <w:p w14:paraId="70777F78">
            <w:pPr>
              <w:adjustRightInd w:val="0"/>
              <w:snapToGrid w:val="0"/>
              <w:jc w:val="center"/>
              <w:rPr>
                <w:rFonts w:hint="default" w:eastAsia="宋体"/>
                <w:color w:val="auto"/>
                <w:sz w:val="24"/>
                <w:lang w:val="en-US" w:eastAsia="zh-CN"/>
              </w:rPr>
            </w:pPr>
            <w:r>
              <w:rPr>
                <w:rFonts w:hint="eastAsia"/>
                <w:color w:val="auto"/>
                <w:sz w:val="24"/>
                <w:lang w:val="en-US" w:eastAsia="zh-CN"/>
              </w:rPr>
              <w:t>2000</w:t>
            </w:r>
          </w:p>
        </w:tc>
      </w:tr>
      <w:tr w14:paraId="578D94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9" w:type="dxa"/>
            <w:vAlign w:val="center"/>
          </w:tcPr>
          <w:p w14:paraId="79CD3FE5">
            <w:pPr>
              <w:autoSpaceDE w:val="0"/>
              <w:autoSpaceDN w:val="0"/>
              <w:adjustRightInd w:val="0"/>
              <w:snapToGrid w:val="0"/>
              <w:jc w:val="both"/>
              <w:rPr>
                <w:rFonts w:ascii="宋体" w:hAnsi="宋体" w:cs="宋体"/>
                <w:b/>
                <w:bCs/>
                <w:color w:val="auto"/>
                <w:kern w:val="0"/>
                <w:sz w:val="24"/>
              </w:rPr>
            </w:pPr>
            <w:r>
              <w:rPr>
                <w:rFonts w:hint="eastAsia" w:ascii="宋体" w:hAnsi="宋体" w:cs="宋体"/>
                <w:b w:val="0"/>
                <w:bCs w:val="0"/>
                <w:color w:val="auto"/>
                <w:kern w:val="0"/>
                <w:sz w:val="24"/>
              </w:rPr>
              <w:t>专项评价设置情况</w:t>
            </w:r>
          </w:p>
        </w:tc>
        <w:tc>
          <w:tcPr>
            <w:tcW w:w="8058" w:type="dxa"/>
            <w:gridSpan w:val="4"/>
            <w:vAlign w:val="center"/>
          </w:tcPr>
          <w:p w14:paraId="2B051AA8">
            <w:pPr>
              <w:pStyle w:val="70"/>
              <w:rPr>
                <w:color w:val="auto"/>
                <w:kern w:val="2"/>
                <w:sz w:val="24"/>
                <w:szCs w:val="24"/>
              </w:rPr>
            </w:pPr>
            <w:r>
              <w:rPr>
                <w:color w:val="auto"/>
                <w:kern w:val="2"/>
                <w:sz w:val="24"/>
                <w:szCs w:val="24"/>
              </w:rPr>
              <w:t>表1-1 专项评价设置原则表</w:t>
            </w:r>
          </w:p>
          <w:tbl>
            <w:tblPr>
              <w:tblStyle w:val="28"/>
              <w:tblW w:w="4998" w:type="pct"/>
              <w:jc w:val="center"/>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053"/>
              <w:gridCol w:w="3916"/>
              <w:gridCol w:w="2273"/>
              <w:gridCol w:w="660"/>
            </w:tblGrid>
            <w:tr w14:paraId="652BA05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66" w:type="pct"/>
                  <w:vAlign w:val="center"/>
                </w:tcPr>
                <w:p w14:paraId="7622840C">
                  <w:pPr>
                    <w:pStyle w:val="73"/>
                    <w:spacing w:line="240" w:lineRule="auto"/>
                    <w:rPr>
                      <w:rFonts w:ascii="Times New Roman" w:hAnsi="Times New Roman" w:cs="Times New Roman"/>
                      <w:b/>
                      <w:color w:val="auto"/>
                      <w:szCs w:val="21"/>
                    </w:rPr>
                  </w:pPr>
                  <w:r>
                    <w:rPr>
                      <w:rFonts w:ascii="Times New Roman" w:hAnsi="Times New Roman" w:cs="Times New Roman"/>
                      <w:b/>
                      <w:color w:val="auto"/>
                      <w:szCs w:val="21"/>
                    </w:rPr>
                    <w:t>专项评价的类别</w:t>
                  </w:r>
                </w:p>
              </w:tc>
              <w:tc>
                <w:tcPr>
                  <w:tcW w:w="2477" w:type="pct"/>
                  <w:vAlign w:val="center"/>
                </w:tcPr>
                <w:p w14:paraId="1D962A18">
                  <w:pPr>
                    <w:pStyle w:val="73"/>
                    <w:spacing w:line="240" w:lineRule="auto"/>
                    <w:rPr>
                      <w:rFonts w:ascii="Times New Roman" w:hAnsi="Times New Roman" w:cs="Times New Roman"/>
                      <w:b/>
                      <w:color w:val="auto"/>
                      <w:szCs w:val="21"/>
                    </w:rPr>
                  </w:pPr>
                  <w:r>
                    <w:rPr>
                      <w:rFonts w:ascii="Times New Roman" w:hAnsi="Times New Roman" w:cs="Times New Roman"/>
                      <w:b/>
                      <w:color w:val="auto"/>
                      <w:szCs w:val="21"/>
                    </w:rPr>
                    <w:t>设置原则</w:t>
                  </w:r>
                </w:p>
              </w:tc>
              <w:tc>
                <w:tcPr>
                  <w:tcW w:w="1438" w:type="pct"/>
                  <w:vAlign w:val="center"/>
                </w:tcPr>
                <w:p w14:paraId="635A5C4C">
                  <w:pPr>
                    <w:pStyle w:val="73"/>
                    <w:spacing w:line="240" w:lineRule="auto"/>
                    <w:rPr>
                      <w:rFonts w:ascii="Times New Roman" w:hAnsi="Times New Roman" w:cs="Times New Roman"/>
                      <w:b/>
                      <w:color w:val="auto"/>
                      <w:szCs w:val="21"/>
                    </w:rPr>
                  </w:pPr>
                  <w:r>
                    <w:rPr>
                      <w:rFonts w:ascii="Times New Roman" w:hAnsi="Times New Roman" w:cs="Times New Roman"/>
                      <w:b/>
                      <w:color w:val="auto"/>
                      <w:szCs w:val="21"/>
                    </w:rPr>
                    <w:t>本项目情况</w:t>
                  </w:r>
                </w:p>
              </w:tc>
              <w:tc>
                <w:tcPr>
                  <w:tcW w:w="417" w:type="pct"/>
                  <w:vAlign w:val="center"/>
                </w:tcPr>
                <w:p w14:paraId="5C70EC06">
                  <w:pPr>
                    <w:pStyle w:val="73"/>
                    <w:spacing w:line="240" w:lineRule="auto"/>
                    <w:rPr>
                      <w:rFonts w:ascii="Times New Roman" w:hAnsi="Times New Roman" w:cs="Times New Roman"/>
                      <w:b/>
                      <w:color w:val="auto"/>
                      <w:szCs w:val="21"/>
                    </w:rPr>
                  </w:pPr>
                  <w:r>
                    <w:rPr>
                      <w:rFonts w:ascii="Times New Roman" w:hAnsi="Times New Roman" w:cs="Times New Roman"/>
                      <w:b/>
                      <w:color w:val="auto"/>
                      <w:szCs w:val="21"/>
                    </w:rPr>
                    <w:t>设置情况</w:t>
                  </w:r>
                </w:p>
              </w:tc>
            </w:tr>
            <w:tr w14:paraId="003E135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47" w:hRule="atLeast"/>
                <w:jc w:val="center"/>
              </w:trPr>
              <w:tc>
                <w:tcPr>
                  <w:tcW w:w="666" w:type="pct"/>
                  <w:vAlign w:val="center"/>
                </w:tcPr>
                <w:p w14:paraId="5B3B68D5">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大气</w:t>
                  </w:r>
                </w:p>
              </w:tc>
              <w:tc>
                <w:tcPr>
                  <w:tcW w:w="2477" w:type="pct"/>
                  <w:vAlign w:val="center"/>
                </w:tcPr>
                <w:p w14:paraId="07CF5F2C">
                  <w:pPr>
                    <w:pStyle w:val="73"/>
                    <w:spacing w:line="240" w:lineRule="auto"/>
                    <w:jc w:val="left"/>
                    <w:rPr>
                      <w:rFonts w:hint="eastAsia" w:ascii="Times New Roman" w:hAnsi="Times New Roman" w:eastAsia="宋体" w:cs="Times New Roman"/>
                      <w:color w:val="auto"/>
                      <w:szCs w:val="21"/>
                      <w:lang w:eastAsia="zh-CN"/>
                    </w:rPr>
                  </w:pPr>
                  <w:r>
                    <w:rPr>
                      <w:rFonts w:ascii="Times New Roman" w:hAnsi="Times New Roman" w:cs="Times New Roman"/>
                      <w:color w:val="auto"/>
                    </w:rPr>
                    <w:t>排放废气含有毒有害污染物、二噁英、苯并[a]芘、氰化物、氯气且厂界外500米范围内有环境空气保护目标的建设项目</w:t>
                  </w:r>
                  <w:r>
                    <w:rPr>
                      <w:rFonts w:hint="eastAsia" w:ascii="Times New Roman" w:hAnsi="Times New Roman" w:cs="Times New Roman"/>
                      <w:color w:val="auto"/>
                      <w:lang w:eastAsia="zh-CN"/>
                    </w:rPr>
                    <w:t>。</w:t>
                  </w:r>
                </w:p>
              </w:tc>
              <w:tc>
                <w:tcPr>
                  <w:tcW w:w="1438" w:type="pct"/>
                  <w:vAlign w:val="center"/>
                </w:tcPr>
                <w:p w14:paraId="137AFDA0">
                  <w:pPr>
                    <w:pStyle w:val="73"/>
                    <w:spacing w:line="240" w:lineRule="auto"/>
                    <w:jc w:val="both"/>
                    <w:rPr>
                      <w:rFonts w:hint="eastAsia" w:ascii="Times New Roman" w:hAnsi="Times New Roman" w:eastAsia="宋体" w:cs="Times New Roman"/>
                      <w:color w:val="auto"/>
                      <w:szCs w:val="21"/>
                      <w:lang w:eastAsia="zh-CN"/>
                    </w:rPr>
                  </w:pPr>
                  <w:r>
                    <w:rPr>
                      <w:rFonts w:ascii="Times New Roman" w:hAnsi="Times New Roman" w:cs="Times New Roman"/>
                      <w:color w:val="auto"/>
                    </w:rPr>
                    <w:t>本项目排放废气不涉及二噁英、苯并[a]芘、氰化物、氯气等污染物</w:t>
                  </w:r>
                  <w:r>
                    <w:rPr>
                      <w:rFonts w:hint="eastAsia" w:ascii="Times New Roman" w:hAnsi="Times New Roman" w:cs="Times New Roman"/>
                      <w:color w:val="auto"/>
                      <w:lang w:eastAsia="zh-CN"/>
                    </w:rPr>
                    <w:t>。</w:t>
                  </w:r>
                </w:p>
              </w:tc>
              <w:tc>
                <w:tcPr>
                  <w:tcW w:w="417" w:type="pct"/>
                  <w:vAlign w:val="center"/>
                </w:tcPr>
                <w:p w14:paraId="0478AD9F">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不开展</w:t>
                  </w:r>
                </w:p>
              </w:tc>
            </w:tr>
            <w:tr w14:paraId="2975581B">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666" w:type="pct"/>
                  <w:vAlign w:val="center"/>
                </w:tcPr>
                <w:p w14:paraId="7BECEFC6">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地表水</w:t>
                  </w:r>
                </w:p>
              </w:tc>
              <w:tc>
                <w:tcPr>
                  <w:tcW w:w="2477" w:type="pct"/>
                  <w:vAlign w:val="center"/>
                </w:tcPr>
                <w:p w14:paraId="02251537">
                  <w:pPr>
                    <w:pStyle w:val="73"/>
                    <w:spacing w:line="240" w:lineRule="auto"/>
                    <w:jc w:val="left"/>
                    <w:rPr>
                      <w:rFonts w:hint="eastAsia" w:ascii="Times New Roman" w:hAnsi="Times New Roman" w:eastAsia="宋体" w:cs="Times New Roman"/>
                      <w:color w:val="auto"/>
                      <w:szCs w:val="21"/>
                      <w:lang w:eastAsia="zh-CN"/>
                    </w:rPr>
                  </w:pPr>
                  <w:r>
                    <w:rPr>
                      <w:rFonts w:ascii="Times New Roman" w:hAnsi="Times New Roman" w:cs="Times New Roman"/>
                      <w:color w:val="auto"/>
                    </w:rPr>
                    <w:t>新增工业废水直排建设项目（槽罐车外送污水处理厂的除外）；新增废水直排的污水集中处理厂</w:t>
                  </w:r>
                  <w:r>
                    <w:rPr>
                      <w:rFonts w:hint="eastAsia" w:ascii="Times New Roman" w:hAnsi="Times New Roman" w:cs="Times New Roman"/>
                      <w:color w:val="auto"/>
                      <w:lang w:eastAsia="zh-CN"/>
                    </w:rPr>
                    <w:t>。</w:t>
                  </w:r>
                </w:p>
              </w:tc>
              <w:tc>
                <w:tcPr>
                  <w:tcW w:w="1438" w:type="pct"/>
                  <w:vAlign w:val="center"/>
                </w:tcPr>
                <w:p w14:paraId="16FE9CD3">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不涉及</w:t>
                  </w:r>
                </w:p>
              </w:tc>
              <w:tc>
                <w:tcPr>
                  <w:tcW w:w="417" w:type="pct"/>
                  <w:vAlign w:val="center"/>
                </w:tcPr>
                <w:p w14:paraId="6B9D853D">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不开展</w:t>
                  </w:r>
                </w:p>
              </w:tc>
            </w:tr>
            <w:tr w14:paraId="3C8305EC">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5" w:hRule="atLeast"/>
                <w:jc w:val="center"/>
              </w:trPr>
              <w:tc>
                <w:tcPr>
                  <w:tcW w:w="666" w:type="pct"/>
                  <w:vAlign w:val="center"/>
                </w:tcPr>
                <w:p w14:paraId="34502497">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环境风险</w:t>
                  </w:r>
                </w:p>
              </w:tc>
              <w:tc>
                <w:tcPr>
                  <w:tcW w:w="2477" w:type="pct"/>
                  <w:vAlign w:val="center"/>
                </w:tcPr>
                <w:p w14:paraId="64318791">
                  <w:pPr>
                    <w:pStyle w:val="73"/>
                    <w:spacing w:line="240" w:lineRule="auto"/>
                    <w:jc w:val="left"/>
                    <w:rPr>
                      <w:rFonts w:hint="default" w:ascii="Times New Roman" w:hAnsi="Times New Roman" w:eastAsia="宋体" w:cs="Times New Roman"/>
                      <w:color w:val="auto"/>
                      <w:szCs w:val="21"/>
                      <w:lang w:val="en-US" w:eastAsia="zh-CN"/>
                    </w:rPr>
                  </w:pPr>
                  <w:r>
                    <w:rPr>
                      <w:rFonts w:ascii="Times New Roman" w:hAnsi="Times New Roman" w:cs="Times New Roman"/>
                      <w:color w:val="auto"/>
                      <w:szCs w:val="21"/>
                    </w:rPr>
                    <w:t>有毒有害和易燃易爆危险物质存储量超过临界量的建设项目</w:t>
                  </w:r>
                </w:p>
              </w:tc>
              <w:tc>
                <w:tcPr>
                  <w:tcW w:w="1438" w:type="pct"/>
                  <w:vAlign w:val="center"/>
                </w:tcPr>
                <w:p w14:paraId="0A59017A">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不涉及</w:t>
                  </w:r>
                </w:p>
              </w:tc>
              <w:tc>
                <w:tcPr>
                  <w:tcW w:w="417" w:type="pct"/>
                  <w:vAlign w:val="center"/>
                </w:tcPr>
                <w:p w14:paraId="1B5037CC">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不开展</w:t>
                  </w:r>
                </w:p>
              </w:tc>
            </w:tr>
            <w:tr w14:paraId="0B64BD58">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73" w:hRule="atLeast"/>
                <w:jc w:val="center"/>
              </w:trPr>
              <w:tc>
                <w:tcPr>
                  <w:tcW w:w="666" w:type="pct"/>
                  <w:vAlign w:val="center"/>
                </w:tcPr>
                <w:p w14:paraId="281C1240">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生态</w:t>
                  </w:r>
                </w:p>
              </w:tc>
              <w:tc>
                <w:tcPr>
                  <w:tcW w:w="2477" w:type="pct"/>
                  <w:vAlign w:val="center"/>
                </w:tcPr>
                <w:p w14:paraId="6E2E3804">
                  <w:pPr>
                    <w:pStyle w:val="73"/>
                    <w:spacing w:line="240" w:lineRule="auto"/>
                    <w:jc w:val="left"/>
                    <w:rPr>
                      <w:rFonts w:ascii="Times New Roman" w:hAnsi="Times New Roman" w:cs="Times New Roman"/>
                      <w:color w:val="auto"/>
                      <w:szCs w:val="21"/>
                    </w:rPr>
                  </w:pPr>
                  <w:r>
                    <w:rPr>
                      <w:rFonts w:ascii="Times New Roman" w:hAnsi="Times New Roman" w:cs="Times New Roman"/>
                      <w:color w:val="auto"/>
                      <w:szCs w:val="21"/>
                    </w:rPr>
                    <w:t>取水口下游500米范围内有重要水生生物的自然产卵场、索饵场、越冬场和洄游通道的新增河道取水的污染类建设项目。</w:t>
                  </w:r>
                </w:p>
              </w:tc>
              <w:tc>
                <w:tcPr>
                  <w:tcW w:w="1438" w:type="pct"/>
                  <w:vAlign w:val="center"/>
                </w:tcPr>
                <w:p w14:paraId="5DF770CD">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不涉及</w:t>
                  </w:r>
                </w:p>
              </w:tc>
              <w:tc>
                <w:tcPr>
                  <w:tcW w:w="417" w:type="pct"/>
                  <w:vAlign w:val="center"/>
                </w:tcPr>
                <w:p w14:paraId="792583CC">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不开展</w:t>
                  </w:r>
                </w:p>
              </w:tc>
            </w:tr>
            <w:tr w14:paraId="27AF8ECC">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9" w:hRule="atLeast"/>
                <w:jc w:val="center"/>
              </w:trPr>
              <w:tc>
                <w:tcPr>
                  <w:tcW w:w="666" w:type="pct"/>
                  <w:vAlign w:val="center"/>
                </w:tcPr>
                <w:p w14:paraId="5B62CE36">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海洋</w:t>
                  </w:r>
                </w:p>
              </w:tc>
              <w:tc>
                <w:tcPr>
                  <w:tcW w:w="2477" w:type="pct"/>
                  <w:vAlign w:val="center"/>
                </w:tcPr>
                <w:p w14:paraId="4224C82D">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直接向海排放污染物的海洋工程建设项目</w:t>
                  </w:r>
                </w:p>
              </w:tc>
              <w:tc>
                <w:tcPr>
                  <w:tcW w:w="1438" w:type="pct"/>
                  <w:vAlign w:val="center"/>
                </w:tcPr>
                <w:p w14:paraId="5F48F709">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不涉及</w:t>
                  </w:r>
                </w:p>
              </w:tc>
              <w:tc>
                <w:tcPr>
                  <w:tcW w:w="417" w:type="pct"/>
                  <w:vAlign w:val="center"/>
                </w:tcPr>
                <w:p w14:paraId="525E0618">
                  <w:pPr>
                    <w:pStyle w:val="73"/>
                    <w:spacing w:line="240" w:lineRule="auto"/>
                    <w:rPr>
                      <w:rFonts w:ascii="Times New Roman" w:hAnsi="Times New Roman" w:cs="Times New Roman"/>
                      <w:color w:val="auto"/>
                      <w:szCs w:val="21"/>
                    </w:rPr>
                  </w:pPr>
                  <w:r>
                    <w:rPr>
                      <w:rFonts w:ascii="Times New Roman" w:hAnsi="Times New Roman" w:cs="Times New Roman"/>
                      <w:color w:val="auto"/>
                      <w:szCs w:val="21"/>
                    </w:rPr>
                    <w:t>不开展</w:t>
                  </w:r>
                </w:p>
              </w:tc>
            </w:tr>
          </w:tbl>
          <w:p w14:paraId="09C37BEE">
            <w:pPr>
              <w:autoSpaceDE w:val="0"/>
              <w:autoSpaceDN w:val="0"/>
              <w:adjustRightInd w:val="0"/>
              <w:snapToGrid w:val="0"/>
              <w:spacing w:line="360" w:lineRule="auto"/>
              <w:ind w:firstLine="420" w:firstLineChars="200"/>
              <w:rPr>
                <w:rFonts w:ascii="宋体" w:hAnsi="宋体" w:cs="宋体"/>
                <w:color w:val="auto"/>
                <w:kern w:val="0"/>
                <w:sz w:val="24"/>
              </w:rPr>
            </w:pPr>
            <w:r>
              <w:rPr>
                <w:color w:val="auto"/>
              </w:rPr>
              <w:t>由表1-1可知，本项目无需进行专项评价。</w:t>
            </w:r>
          </w:p>
        </w:tc>
      </w:tr>
      <w:tr w14:paraId="7AAC17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729" w:type="dxa"/>
            <w:vAlign w:val="center"/>
          </w:tcPr>
          <w:p w14:paraId="69478D6B">
            <w:pPr>
              <w:autoSpaceDE w:val="0"/>
              <w:autoSpaceDN w:val="0"/>
              <w:adjustRightInd w:val="0"/>
              <w:snapToGrid w:val="0"/>
              <w:jc w:val="center"/>
              <w:rPr>
                <w:rFonts w:ascii="宋体" w:hAnsi="宋体" w:cs="宋体"/>
                <w:color w:val="auto"/>
                <w:kern w:val="0"/>
                <w:sz w:val="24"/>
              </w:rPr>
            </w:pPr>
            <w:r>
              <w:rPr>
                <w:rFonts w:hint="eastAsia" w:ascii="宋体" w:hAnsi="宋体" w:cs="宋体"/>
                <w:color w:val="auto"/>
                <w:sz w:val="24"/>
              </w:rPr>
              <w:t>规划情况</w:t>
            </w:r>
          </w:p>
        </w:tc>
        <w:tc>
          <w:tcPr>
            <w:tcW w:w="8058" w:type="dxa"/>
            <w:gridSpan w:val="4"/>
            <w:vAlign w:val="bottom"/>
          </w:tcPr>
          <w:p w14:paraId="417BA8AA">
            <w:pPr>
              <w:numPr>
                <w:ilvl w:val="0"/>
                <w:numId w:val="0"/>
              </w:numPr>
              <w:autoSpaceDE w:val="0"/>
              <w:autoSpaceDN w:val="0"/>
              <w:adjustRightInd w:val="0"/>
              <w:snapToGrid w:val="0"/>
              <w:spacing w:line="360" w:lineRule="auto"/>
              <w:jc w:val="left"/>
              <w:rPr>
                <w:rFonts w:hint="eastAsia"/>
                <w:color w:val="auto"/>
                <w:kern w:val="0"/>
                <w:sz w:val="24"/>
              </w:rPr>
            </w:pPr>
            <w:r>
              <w:rPr>
                <w:color w:val="auto"/>
                <w:kern w:val="0"/>
                <w:sz w:val="24"/>
              </w:rPr>
              <w:t>《高安市国土空间总体规划</w:t>
            </w:r>
            <w:r>
              <w:rPr>
                <w:rFonts w:hint="eastAsia"/>
                <w:color w:val="auto"/>
                <w:kern w:val="0"/>
                <w:sz w:val="24"/>
              </w:rPr>
              <w:t>（</w:t>
            </w:r>
            <w:r>
              <w:rPr>
                <w:color w:val="auto"/>
                <w:kern w:val="0"/>
                <w:sz w:val="24"/>
              </w:rPr>
              <w:t>2021-2035年</w:t>
            </w:r>
            <w:r>
              <w:rPr>
                <w:rFonts w:hint="eastAsia"/>
                <w:color w:val="auto"/>
                <w:kern w:val="0"/>
                <w:sz w:val="24"/>
              </w:rPr>
              <w:t>）</w:t>
            </w:r>
            <w:r>
              <w:rPr>
                <w:color w:val="auto"/>
                <w:kern w:val="0"/>
                <w:sz w:val="24"/>
              </w:rPr>
              <w:t>》</w:t>
            </w:r>
            <w:r>
              <w:rPr>
                <w:rFonts w:hint="eastAsia"/>
                <w:color w:val="auto"/>
                <w:kern w:val="0"/>
                <w:sz w:val="24"/>
              </w:rPr>
              <w:t>；</w:t>
            </w:r>
          </w:p>
          <w:p w14:paraId="50871BAE">
            <w:pPr>
              <w:numPr>
                <w:ilvl w:val="0"/>
                <w:numId w:val="0"/>
              </w:numPr>
              <w:autoSpaceDE w:val="0"/>
              <w:autoSpaceDN w:val="0"/>
              <w:adjustRightInd w:val="0"/>
              <w:snapToGrid w:val="0"/>
              <w:spacing w:line="360" w:lineRule="auto"/>
              <w:jc w:val="left"/>
              <w:rPr>
                <w:color w:val="auto"/>
                <w:kern w:val="0"/>
                <w:sz w:val="24"/>
              </w:rPr>
            </w:pPr>
            <w:r>
              <w:rPr>
                <w:color w:val="auto"/>
                <w:kern w:val="0"/>
                <w:sz w:val="24"/>
              </w:rPr>
              <w:t>审批机关</w:t>
            </w:r>
            <w:r>
              <w:rPr>
                <w:rFonts w:hint="eastAsia"/>
                <w:color w:val="auto"/>
                <w:kern w:val="0"/>
                <w:sz w:val="24"/>
              </w:rPr>
              <w:t>：</w:t>
            </w:r>
            <w:r>
              <w:rPr>
                <w:color w:val="auto"/>
                <w:kern w:val="0"/>
                <w:sz w:val="24"/>
              </w:rPr>
              <w:t>江西省人民政府</w:t>
            </w:r>
            <w:r>
              <w:rPr>
                <w:rFonts w:hint="eastAsia"/>
                <w:color w:val="auto"/>
                <w:kern w:val="0"/>
                <w:sz w:val="24"/>
              </w:rPr>
              <w:t>；</w:t>
            </w:r>
          </w:p>
          <w:p w14:paraId="741E5167">
            <w:pPr>
              <w:keepNext w:val="0"/>
              <w:keepLines w:val="0"/>
              <w:pageBreakBefore w:val="0"/>
              <w:widowControl w:val="0"/>
              <w:tabs>
                <w:tab w:val="left" w:pos="2799"/>
              </w:tabs>
              <w:kinsoku/>
              <w:wordWrap/>
              <w:overflowPunct/>
              <w:topLinePunct w:val="0"/>
              <w:autoSpaceDE w:val="0"/>
              <w:autoSpaceDN w:val="0"/>
              <w:bidi w:val="0"/>
              <w:adjustRightInd w:val="0"/>
              <w:snapToGrid w:val="0"/>
              <w:spacing w:line="360" w:lineRule="auto"/>
              <w:jc w:val="left"/>
              <w:textAlignment w:val="auto"/>
              <w:rPr>
                <w:rFonts w:hint="default" w:ascii="Times New Roman" w:hAnsi="Times New Roman" w:eastAsia="宋体" w:cs="Times New Roman"/>
                <w:color w:val="auto"/>
                <w:kern w:val="0"/>
                <w:sz w:val="24"/>
                <w:szCs w:val="24"/>
                <w:lang w:val="en-US" w:eastAsia="zh-CN"/>
              </w:rPr>
            </w:pPr>
            <w:r>
              <w:rPr>
                <w:color w:val="auto"/>
                <w:kern w:val="0"/>
                <w:sz w:val="24"/>
              </w:rPr>
              <w:t>审查文件文号及名称</w:t>
            </w:r>
            <w:r>
              <w:rPr>
                <w:rFonts w:hint="eastAsia"/>
                <w:color w:val="auto"/>
                <w:kern w:val="0"/>
                <w:sz w:val="24"/>
              </w:rPr>
              <w:t>：</w:t>
            </w:r>
            <w:r>
              <w:rPr>
                <w:color w:val="auto"/>
                <w:kern w:val="0"/>
                <w:sz w:val="24"/>
              </w:rPr>
              <w:t>江西省人民政府关于《高安市国土空间</w:t>
            </w:r>
            <w:r>
              <w:rPr>
                <w:rFonts w:hint="eastAsia"/>
                <w:color w:val="auto"/>
                <w:kern w:val="0"/>
                <w:sz w:val="24"/>
              </w:rPr>
              <w:t>总</w:t>
            </w:r>
            <w:r>
              <w:rPr>
                <w:color w:val="auto"/>
                <w:kern w:val="0"/>
                <w:sz w:val="24"/>
              </w:rPr>
              <w:t>体规划</w:t>
            </w:r>
            <w:r>
              <w:rPr>
                <w:rFonts w:hint="eastAsia"/>
                <w:color w:val="auto"/>
                <w:kern w:val="0"/>
                <w:sz w:val="24"/>
              </w:rPr>
              <w:t>（</w:t>
            </w:r>
            <w:r>
              <w:rPr>
                <w:color w:val="auto"/>
                <w:kern w:val="0"/>
                <w:sz w:val="24"/>
              </w:rPr>
              <w:t>2021-2035</w:t>
            </w:r>
            <w:r>
              <w:rPr>
                <w:rFonts w:hint="eastAsia"/>
                <w:color w:val="auto"/>
                <w:kern w:val="0"/>
                <w:sz w:val="24"/>
              </w:rPr>
              <w:t>年）</w:t>
            </w:r>
            <w:r>
              <w:rPr>
                <w:color w:val="auto"/>
                <w:kern w:val="0"/>
                <w:sz w:val="24"/>
              </w:rPr>
              <w:t>》的批复</w:t>
            </w:r>
            <w:r>
              <w:rPr>
                <w:rFonts w:hint="eastAsia"/>
                <w:color w:val="auto"/>
                <w:kern w:val="0"/>
                <w:sz w:val="24"/>
              </w:rPr>
              <w:t>（</w:t>
            </w:r>
            <w:r>
              <w:rPr>
                <w:rFonts w:hint="eastAsia" w:ascii="Times New Roman" w:hAnsi="Times New Roman" w:eastAsia="宋体" w:cs="Times New Roman"/>
                <w:color w:val="auto"/>
                <w:kern w:val="2"/>
                <w:sz w:val="24"/>
                <w:szCs w:val="24"/>
                <w:lang w:val="en-US" w:eastAsia="zh-CN" w:bidi="ar-SA"/>
              </w:rPr>
              <w:t>赣府厅字〔202</w:t>
            </w:r>
            <w:r>
              <w:rPr>
                <w:rFonts w:hint="eastAsia" w:eastAsia="宋体" w:cs="Times New Roman"/>
                <w:color w:val="auto"/>
                <w:kern w:val="2"/>
                <w:sz w:val="24"/>
                <w:szCs w:val="24"/>
                <w:lang w:val="en-US" w:eastAsia="zh-CN" w:bidi="ar-SA"/>
              </w:rPr>
              <w:t>4</w:t>
            </w:r>
            <w:r>
              <w:rPr>
                <w:rFonts w:hint="eastAsia" w:ascii="Times New Roman" w:hAnsi="Times New Roman" w:eastAsia="宋体" w:cs="Times New Roman"/>
                <w:color w:val="auto"/>
                <w:kern w:val="2"/>
                <w:sz w:val="24"/>
                <w:szCs w:val="24"/>
                <w:lang w:val="en-US" w:eastAsia="zh-CN" w:bidi="ar-SA"/>
              </w:rPr>
              <w:t>〕</w:t>
            </w:r>
            <w:r>
              <w:rPr>
                <w:rFonts w:hint="eastAsia" w:eastAsia="宋体" w:cs="Times New Roman"/>
                <w:color w:val="auto"/>
                <w:kern w:val="2"/>
                <w:sz w:val="24"/>
                <w:szCs w:val="24"/>
                <w:lang w:val="en-US" w:eastAsia="zh-CN" w:bidi="ar-SA"/>
              </w:rPr>
              <w:t>50</w:t>
            </w:r>
            <w:r>
              <w:rPr>
                <w:rFonts w:hint="eastAsia" w:ascii="Times New Roman" w:hAnsi="Times New Roman" w:eastAsia="宋体" w:cs="Times New Roman"/>
                <w:color w:val="auto"/>
                <w:kern w:val="2"/>
                <w:sz w:val="24"/>
                <w:szCs w:val="24"/>
                <w:lang w:val="en-US" w:eastAsia="zh-CN" w:bidi="ar-SA"/>
              </w:rPr>
              <w:t>号</w:t>
            </w:r>
            <w:r>
              <w:rPr>
                <w:rFonts w:hint="eastAsia"/>
                <w:color w:val="auto"/>
                <w:kern w:val="0"/>
                <w:sz w:val="24"/>
              </w:rPr>
              <w:t>）</w:t>
            </w:r>
            <w:r>
              <w:rPr>
                <w:color w:val="auto"/>
                <w:kern w:val="0"/>
                <w:sz w:val="24"/>
              </w:rPr>
              <w:t>。</w:t>
            </w:r>
          </w:p>
        </w:tc>
      </w:tr>
      <w:tr w14:paraId="7A8FC5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24" w:hRule="atLeast"/>
          <w:jc w:val="center"/>
        </w:trPr>
        <w:tc>
          <w:tcPr>
            <w:tcW w:w="729" w:type="dxa"/>
            <w:vAlign w:val="center"/>
          </w:tcPr>
          <w:p w14:paraId="48E5C6D5">
            <w:pPr>
              <w:adjustRightInd w:val="0"/>
              <w:snapToGrid w:val="0"/>
              <w:jc w:val="center"/>
              <w:rPr>
                <w:rFonts w:ascii="宋体" w:hAnsi="宋体" w:cs="宋体"/>
                <w:color w:val="auto"/>
                <w:sz w:val="24"/>
              </w:rPr>
            </w:pPr>
            <w:r>
              <w:rPr>
                <w:rFonts w:hint="eastAsia" w:ascii="宋体" w:hAnsi="宋体" w:cs="宋体"/>
                <w:color w:val="auto"/>
                <w:sz w:val="24"/>
              </w:rPr>
              <w:t>规划环境影响</w:t>
            </w:r>
          </w:p>
          <w:p w14:paraId="1B6772B5">
            <w:pPr>
              <w:adjustRightInd w:val="0"/>
              <w:snapToGrid w:val="0"/>
              <w:jc w:val="center"/>
              <w:rPr>
                <w:rFonts w:ascii="宋体" w:hAnsi="宋体" w:cs="宋体"/>
                <w:color w:val="auto"/>
                <w:kern w:val="0"/>
                <w:sz w:val="24"/>
              </w:rPr>
            </w:pPr>
            <w:r>
              <w:rPr>
                <w:rFonts w:hint="eastAsia" w:ascii="宋体" w:hAnsi="宋体" w:cs="宋体"/>
                <w:color w:val="auto"/>
                <w:sz w:val="24"/>
              </w:rPr>
              <w:t>评价情况</w:t>
            </w:r>
          </w:p>
        </w:tc>
        <w:tc>
          <w:tcPr>
            <w:tcW w:w="8058" w:type="dxa"/>
            <w:gridSpan w:val="4"/>
            <w:vAlign w:val="center"/>
          </w:tcPr>
          <w:p w14:paraId="0E486424">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ascii="Times New Roman" w:hAnsi="Times New Roman" w:eastAsia="宋体" w:cs="Times New Roman"/>
                <w:color w:val="auto"/>
                <w:kern w:val="0"/>
                <w:sz w:val="24"/>
                <w:szCs w:val="24"/>
                <w:lang w:eastAsia="zh-CN"/>
              </w:rPr>
            </w:pPr>
            <w:r>
              <w:rPr>
                <w:rFonts w:hint="eastAsia" w:ascii="宋体" w:hAnsi="宋体" w:cs="宋体"/>
                <w:color w:val="auto"/>
                <w:kern w:val="0"/>
                <w:sz w:val="24"/>
              </w:rPr>
              <w:t>/</w:t>
            </w:r>
          </w:p>
        </w:tc>
      </w:tr>
      <w:tr w14:paraId="7287DC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91" w:hRule="atLeast"/>
          <w:jc w:val="center"/>
        </w:trPr>
        <w:tc>
          <w:tcPr>
            <w:tcW w:w="729" w:type="dxa"/>
            <w:vAlign w:val="center"/>
          </w:tcPr>
          <w:p w14:paraId="30D1D14E">
            <w:pPr>
              <w:autoSpaceDE w:val="0"/>
              <w:autoSpaceDN w:val="0"/>
              <w:adjustRightInd w:val="0"/>
              <w:snapToGrid w:val="0"/>
              <w:jc w:val="center"/>
              <w:rPr>
                <w:rFonts w:ascii="宋体" w:hAnsi="宋体" w:cs="宋体"/>
                <w:color w:val="auto"/>
                <w:kern w:val="0"/>
                <w:sz w:val="24"/>
              </w:rPr>
            </w:pPr>
            <w:r>
              <w:rPr>
                <w:rFonts w:hint="eastAsia" w:ascii="宋体" w:hAnsi="宋体" w:cs="宋体"/>
                <w:color w:val="auto"/>
                <w:kern w:val="0"/>
                <w:sz w:val="24"/>
              </w:rPr>
              <w:t>价符规划及规划环境影响评合性分析</w:t>
            </w:r>
          </w:p>
        </w:tc>
        <w:tc>
          <w:tcPr>
            <w:tcW w:w="8058" w:type="dxa"/>
            <w:gridSpan w:val="4"/>
            <w:vAlign w:val="center"/>
          </w:tcPr>
          <w:p w14:paraId="757240CD">
            <w:pPr>
              <w:pStyle w:val="75"/>
              <w:spacing w:line="360" w:lineRule="auto"/>
              <w:rPr>
                <w:rFonts w:hAnsi="Times New Roman" w:eastAsia="宋体" w:cs="Times New Roman"/>
                <w:b/>
                <w:color w:val="auto"/>
                <w:kern w:val="21"/>
                <w:sz w:val="24"/>
              </w:rPr>
            </w:pPr>
            <w:r>
              <w:rPr>
                <w:rFonts w:hAnsi="Times New Roman" w:eastAsia="宋体" w:cs="Times New Roman"/>
                <w:b/>
                <w:color w:val="auto"/>
                <w:kern w:val="21"/>
                <w:sz w:val="24"/>
              </w:rPr>
              <w:t>1、与《高安市国土空间总体规划（2021-2035年）》相符性分析</w:t>
            </w:r>
          </w:p>
          <w:p w14:paraId="215DF720">
            <w:pPr>
              <w:pStyle w:val="75"/>
              <w:spacing w:line="360" w:lineRule="auto"/>
              <w:ind w:firstLine="480" w:firstLineChars="200"/>
              <w:rPr>
                <w:rFonts w:hint="eastAsia" w:hAnsi="Times New Roman" w:eastAsia="宋体" w:cs="Times New Roman"/>
                <w:bCs/>
                <w:color w:val="auto"/>
                <w:kern w:val="21"/>
                <w:sz w:val="24"/>
              </w:rPr>
            </w:pPr>
            <w:r>
              <w:rPr>
                <w:rFonts w:hint="eastAsia" w:hAnsi="Times New Roman" w:eastAsia="宋体" w:cs="Times New Roman"/>
                <w:bCs/>
                <w:color w:val="auto"/>
                <w:kern w:val="21"/>
                <w:sz w:val="24"/>
              </w:rPr>
              <w:t>根据江西省人民政府关于</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高安市国土空间总体规划</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2021-2035年</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的批复</w:t>
            </w:r>
            <w:r>
              <w:rPr>
                <w:rFonts w:hint="eastAsia" w:hAnsi="Times New Roman" w:eastAsia="宋体" w:cs="Times New Roman"/>
                <w:bCs/>
                <w:color w:val="auto"/>
                <w:kern w:val="21"/>
                <w:sz w:val="24"/>
                <w:lang w:eastAsia="zh-CN"/>
              </w:rPr>
              <w:t>（</w:t>
            </w:r>
            <w:r>
              <w:rPr>
                <w:rFonts w:hint="eastAsia" w:ascii="Times New Roman" w:hAnsi="Times New Roman" w:eastAsia="宋体" w:cs="Times New Roman"/>
                <w:color w:val="auto"/>
                <w:kern w:val="2"/>
                <w:sz w:val="24"/>
                <w:szCs w:val="24"/>
                <w:lang w:val="en-US" w:eastAsia="zh-CN" w:bidi="ar-SA"/>
              </w:rPr>
              <w:t>赣府厅字〔202</w:t>
            </w:r>
            <w:r>
              <w:rPr>
                <w:rFonts w:hint="eastAsia" w:eastAsia="宋体" w:cs="Times New Roman"/>
                <w:color w:val="auto"/>
                <w:kern w:val="2"/>
                <w:sz w:val="24"/>
                <w:szCs w:val="24"/>
                <w:lang w:val="en-US" w:eastAsia="zh-CN" w:bidi="ar-SA"/>
              </w:rPr>
              <w:t>4</w:t>
            </w:r>
            <w:r>
              <w:rPr>
                <w:rFonts w:hint="eastAsia" w:ascii="Times New Roman" w:hAnsi="Times New Roman" w:eastAsia="宋体" w:cs="Times New Roman"/>
                <w:color w:val="auto"/>
                <w:kern w:val="2"/>
                <w:sz w:val="24"/>
                <w:szCs w:val="24"/>
                <w:lang w:val="en-US" w:eastAsia="zh-CN" w:bidi="ar-SA"/>
              </w:rPr>
              <w:t>〕</w:t>
            </w:r>
            <w:r>
              <w:rPr>
                <w:rFonts w:hint="eastAsia" w:eastAsia="宋体" w:cs="Times New Roman"/>
                <w:color w:val="auto"/>
                <w:kern w:val="2"/>
                <w:sz w:val="24"/>
                <w:szCs w:val="24"/>
                <w:lang w:val="en-US" w:eastAsia="zh-CN" w:bidi="ar-SA"/>
              </w:rPr>
              <w:t>50</w:t>
            </w:r>
            <w:r>
              <w:rPr>
                <w:rFonts w:hint="eastAsia" w:ascii="Times New Roman" w:hAnsi="Times New Roman" w:eastAsia="宋体" w:cs="Times New Roman"/>
                <w:color w:val="auto"/>
                <w:kern w:val="2"/>
                <w:sz w:val="24"/>
                <w:szCs w:val="24"/>
                <w:lang w:val="en-US" w:eastAsia="zh-CN" w:bidi="ar-SA"/>
              </w:rPr>
              <w:t>号</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到2035年，高安市耕地保有量不低于143.4819万亩，其中永久基本农田保护面积不低于128.3278万亩</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生态保护红线不低于69.64平方公里</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城镇开发边界控制在132.28平方公里以内</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单位国内生产总值建设用地使用面积下降不少于40%</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用水总量不超过上级下达指标，其中2025年不超过5.897亿立方米。严格落实</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三区三线</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管控要求，切实加强耕地和永久基本农田保护</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抓好生态保护红线管控，明确自然灾害风险重点防控区域</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落实战略性矿产资源、历史文化保护等安全保障空间，全面锚固高质量发展的空间底线。</w:t>
            </w:r>
          </w:p>
          <w:p w14:paraId="6DD48F2E">
            <w:pPr>
              <w:pStyle w:val="75"/>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hAnsi="Times New Roman" w:eastAsia="宋体" w:cs="Times New Roman"/>
                <w:bCs/>
                <w:color w:val="auto"/>
                <w:kern w:val="21"/>
                <w:sz w:val="24"/>
              </w:rPr>
              <w:t>本项目位于江西省</w:t>
            </w:r>
            <w:r>
              <w:rPr>
                <w:rFonts w:hint="eastAsia" w:ascii="宋体" w:hAnsi="宋体" w:eastAsia="宋体" w:cs="宋体"/>
                <w:color w:val="auto"/>
                <w:sz w:val="24"/>
                <w:lang w:val="en-US" w:eastAsia="zh-CN"/>
              </w:rPr>
              <w:t>高安市蓝坊镇燕窝村</w:t>
            </w:r>
            <w:r>
              <w:rPr>
                <w:rFonts w:hint="eastAsia" w:hAnsi="Times New Roman" w:eastAsia="宋体" w:cs="Times New Roman"/>
                <w:bCs/>
                <w:color w:val="auto"/>
                <w:kern w:val="21"/>
                <w:sz w:val="24"/>
              </w:rPr>
              <w:t>，不涉及永久基本农田及生态保护红线，用地为</w:t>
            </w:r>
            <w:r>
              <w:rPr>
                <w:rFonts w:hint="eastAsia" w:hAnsi="Times New Roman" w:eastAsia="宋体" w:cs="Times New Roman"/>
                <w:bCs/>
                <w:color w:val="auto"/>
                <w:kern w:val="21"/>
                <w:sz w:val="24"/>
                <w:lang w:val="en-US" w:eastAsia="zh-CN"/>
              </w:rPr>
              <w:t>工业</w:t>
            </w:r>
            <w:r>
              <w:rPr>
                <w:rFonts w:hint="eastAsia" w:hAnsi="Times New Roman" w:eastAsia="宋体" w:cs="Times New Roman"/>
                <w:bCs/>
                <w:color w:val="auto"/>
                <w:kern w:val="21"/>
                <w:sz w:val="24"/>
              </w:rPr>
              <w:t>用地，符合现行的三线成果，与</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高安市国土空间总体规划</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2021-2035年</w:t>
            </w:r>
            <w:r>
              <w:rPr>
                <w:rFonts w:hint="eastAsia" w:hAnsi="Times New Roman" w:eastAsia="宋体" w:cs="Times New Roman"/>
                <w:bCs/>
                <w:color w:val="auto"/>
                <w:kern w:val="21"/>
                <w:sz w:val="24"/>
                <w:lang w:eastAsia="zh-CN"/>
              </w:rPr>
              <w:t>）》</w:t>
            </w:r>
            <w:r>
              <w:rPr>
                <w:rFonts w:hint="eastAsia" w:hAnsi="Times New Roman" w:eastAsia="宋体" w:cs="Times New Roman"/>
                <w:bCs/>
                <w:color w:val="auto"/>
                <w:kern w:val="21"/>
                <w:sz w:val="24"/>
              </w:rPr>
              <w:t>具有相符性。</w:t>
            </w:r>
          </w:p>
        </w:tc>
      </w:tr>
      <w:tr w14:paraId="69FCE2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9" w:type="dxa"/>
            <w:vAlign w:val="center"/>
          </w:tcPr>
          <w:p w14:paraId="69C038D8">
            <w:pPr>
              <w:autoSpaceDE w:val="0"/>
              <w:autoSpaceDN w:val="0"/>
              <w:adjustRightInd w:val="0"/>
              <w:snapToGrid w:val="0"/>
              <w:jc w:val="center"/>
              <w:rPr>
                <w:rFonts w:ascii="宋体" w:hAnsi="宋体" w:cs="宋体"/>
                <w:color w:val="auto"/>
                <w:kern w:val="0"/>
                <w:szCs w:val="21"/>
              </w:rPr>
            </w:pPr>
            <w:r>
              <w:rPr>
                <w:rFonts w:hint="eastAsia" w:ascii="宋体" w:hAnsi="宋体" w:cs="宋体"/>
                <w:color w:val="auto"/>
                <w:kern w:val="0"/>
                <w:szCs w:val="21"/>
              </w:rPr>
              <w:t>其他符合性分析</w:t>
            </w:r>
          </w:p>
        </w:tc>
        <w:tc>
          <w:tcPr>
            <w:tcW w:w="8058" w:type="dxa"/>
            <w:gridSpan w:val="4"/>
            <w:vAlign w:val="center"/>
          </w:tcPr>
          <w:p w14:paraId="7A59C350">
            <w:pPr>
              <w:pStyle w:val="80"/>
              <w:ind w:firstLine="482" w:firstLineChars="200"/>
              <w:rPr>
                <w:rFonts w:eastAsia="宋体"/>
                <w:b/>
                <w:bCs w:val="0"/>
                <w:color w:val="auto"/>
              </w:rPr>
            </w:pPr>
            <w:r>
              <w:rPr>
                <w:b/>
                <w:bCs w:val="0"/>
                <w:color w:val="auto"/>
              </w:rPr>
              <w:t>1、</w:t>
            </w:r>
            <w:r>
              <w:rPr>
                <w:rFonts w:eastAsia="宋体"/>
                <w:b/>
                <w:bCs w:val="0"/>
                <w:color w:val="auto"/>
              </w:rPr>
              <w:t>产业政策符合性分析</w:t>
            </w:r>
          </w:p>
          <w:p w14:paraId="6EF0980D">
            <w:pPr>
              <w:widowControl/>
              <w:spacing w:line="360" w:lineRule="auto"/>
              <w:ind w:firstLine="480" w:firstLineChars="200"/>
              <w:jc w:val="left"/>
              <w:rPr>
                <w:rFonts w:hint="eastAsia" w:eastAsia="宋体"/>
                <w:color w:val="auto"/>
                <w:sz w:val="24"/>
                <w:lang w:eastAsia="zh-CN"/>
              </w:rPr>
            </w:pPr>
            <w:r>
              <w:rPr>
                <w:color w:val="auto"/>
                <w:sz w:val="24"/>
              </w:rPr>
              <w:t>根据《国民经济行业分类》</w:t>
            </w:r>
            <w:r>
              <w:rPr>
                <w:rFonts w:hint="eastAsia"/>
                <w:color w:val="auto"/>
                <w:sz w:val="24"/>
                <w:lang w:eastAsia="zh-CN"/>
              </w:rPr>
              <w:t>（</w:t>
            </w:r>
            <w:r>
              <w:rPr>
                <w:color w:val="auto"/>
                <w:sz w:val="24"/>
              </w:rPr>
              <w:t>GB/T4754-2017</w:t>
            </w:r>
            <w:r>
              <w:rPr>
                <w:rFonts w:hint="eastAsia"/>
                <w:color w:val="auto"/>
                <w:sz w:val="24"/>
                <w:lang w:eastAsia="zh-CN"/>
              </w:rPr>
              <w:t>）</w:t>
            </w:r>
            <w:r>
              <w:rPr>
                <w:color w:val="auto"/>
                <w:sz w:val="24"/>
              </w:rPr>
              <w:t>，本项目</w:t>
            </w:r>
            <w:r>
              <w:rPr>
                <w:rFonts w:hint="eastAsia"/>
                <w:color w:val="auto"/>
                <w:sz w:val="24"/>
                <w:lang w:val="en-US" w:eastAsia="zh-CN"/>
              </w:rPr>
              <w:t>为</w:t>
            </w:r>
            <w:r>
              <w:rPr>
                <w:rFonts w:hint="eastAsia" w:cs="Times New Roman"/>
                <w:color w:val="auto"/>
                <w:kern w:val="2"/>
                <w:sz w:val="24"/>
                <w:szCs w:val="24"/>
                <w:lang w:val="en-US" w:eastAsia="zh-CN" w:bidi="ar-SA"/>
              </w:rPr>
              <w:t>C2319包装装潢及其他印刷</w:t>
            </w:r>
            <w:r>
              <w:rPr>
                <w:rFonts w:hint="eastAsia" w:eastAsia="宋体" w:cs="Times New Roman"/>
                <w:color w:val="auto"/>
                <w:kern w:val="2"/>
                <w:sz w:val="24"/>
                <w:szCs w:val="24"/>
                <w:lang w:val="en-US" w:eastAsia="zh-CN" w:bidi="ar-SA"/>
              </w:rPr>
              <w:t>行业</w:t>
            </w:r>
            <w:r>
              <w:rPr>
                <w:color w:val="auto"/>
                <w:sz w:val="24"/>
              </w:rPr>
              <w:t>，经查阅《产业结构调整指导目录（2024年本）》，本项目不属于</w:t>
            </w:r>
            <w:r>
              <w:rPr>
                <w:rFonts w:hint="eastAsia"/>
                <w:color w:val="auto"/>
                <w:sz w:val="24"/>
              </w:rPr>
              <w:t>“</w:t>
            </w:r>
            <w:r>
              <w:rPr>
                <w:color w:val="auto"/>
                <w:sz w:val="24"/>
              </w:rPr>
              <w:t>限制类</w:t>
            </w:r>
            <w:r>
              <w:rPr>
                <w:rFonts w:hint="eastAsia"/>
                <w:color w:val="auto"/>
                <w:sz w:val="24"/>
              </w:rPr>
              <w:t>”</w:t>
            </w:r>
            <w:r>
              <w:rPr>
                <w:color w:val="auto"/>
                <w:sz w:val="24"/>
              </w:rPr>
              <w:t>、</w:t>
            </w:r>
            <w:r>
              <w:rPr>
                <w:rFonts w:hint="eastAsia"/>
                <w:color w:val="auto"/>
                <w:sz w:val="24"/>
              </w:rPr>
              <w:t>“</w:t>
            </w:r>
            <w:r>
              <w:rPr>
                <w:color w:val="auto"/>
                <w:sz w:val="24"/>
              </w:rPr>
              <w:t>淘汰类</w:t>
            </w:r>
            <w:r>
              <w:rPr>
                <w:rFonts w:hint="eastAsia"/>
                <w:color w:val="auto"/>
                <w:sz w:val="24"/>
              </w:rPr>
              <w:t>”</w:t>
            </w:r>
            <w:r>
              <w:rPr>
                <w:color w:val="auto"/>
                <w:sz w:val="24"/>
              </w:rPr>
              <w:t>、</w:t>
            </w:r>
            <w:r>
              <w:rPr>
                <w:rFonts w:hint="eastAsia"/>
                <w:color w:val="auto"/>
                <w:sz w:val="24"/>
              </w:rPr>
              <w:t>“</w:t>
            </w:r>
            <w:r>
              <w:rPr>
                <w:color w:val="auto"/>
                <w:sz w:val="24"/>
              </w:rPr>
              <w:t>鼓励类</w:t>
            </w:r>
            <w:r>
              <w:rPr>
                <w:rFonts w:hint="eastAsia"/>
                <w:color w:val="auto"/>
                <w:sz w:val="24"/>
              </w:rPr>
              <w:t>”</w:t>
            </w:r>
            <w:r>
              <w:rPr>
                <w:color w:val="auto"/>
                <w:sz w:val="24"/>
              </w:rPr>
              <w:t>范围，视为允许类范畴。同时</w:t>
            </w:r>
            <w:r>
              <w:rPr>
                <w:rFonts w:hint="eastAsia"/>
                <w:color w:val="auto"/>
                <w:sz w:val="24"/>
                <w:lang w:val="en-US" w:eastAsia="zh-CN"/>
              </w:rPr>
              <w:t>高安市行政审批</w:t>
            </w:r>
            <w:r>
              <w:rPr>
                <w:rFonts w:hint="eastAsia" w:cs="Times New Roman"/>
                <w:color w:val="auto"/>
                <w:sz w:val="24"/>
                <w:lang w:val="en-US" w:eastAsia="zh-CN"/>
              </w:rPr>
              <w:t>局</w:t>
            </w:r>
            <w:r>
              <w:rPr>
                <w:color w:val="auto"/>
                <w:sz w:val="24"/>
              </w:rPr>
              <w:t>同意了本项目的备案申请</w:t>
            </w:r>
            <w:r>
              <w:rPr>
                <w:rFonts w:hint="eastAsia"/>
                <w:color w:val="auto"/>
                <w:sz w:val="24"/>
                <w:lang w:eastAsia="zh-CN"/>
              </w:rPr>
              <w:t>，</w:t>
            </w:r>
            <w:r>
              <w:rPr>
                <w:rFonts w:hint="eastAsia"/>
                <w:color w:val="auto"/>
                <w:sz w:val="24"/>
                <w:lang w:val="en-US" w:eastAsia="zh-CN"/>
              </w:rPr>
              <w:t>项目统一代码为：（</w:t>
            </w:r>
            <w:r>
              <w:rPr>
                <w:rFonts w:hint="eastAsia"/>
                <w:color w:val="auto"/>
                <w:sz w:val="24"/>
                <w:highlight w:val="none"/>
                <w:lang w:val="en-US" w:eastAsia="zh-CN"/>
              </w:rPr>
              <w:t>2512-360983-04-05-871910</w:t>
            </w:r>
            <w:r>
              <w:rPr>
                <w:rFonts w:hint="eastAsia"/>
                <w:color w:val="auto"/>
                <w:sz w:val="24"/>
                <w:lang w:val="en-US" w:eastAsia="zh-CN"/>
              </w:rPr>
              <w:t>）</w:t>
            </w:r>
            <w:r>
              <w:rPr>
                <w:rFonts w:hint="eastAsia"/>
                <w:color w:val="auto"/>
                <w:sz w:val="24"/>
                <w:lang w:eastAsia="zh-CN"/>
              </w:rPr>
              <w:t>（</w:t>
            </w:r>
            <w:r>
              <w:rPr>
                <w:rFonts w:hint="eastAsia"/>
                <w:color w:val="auto"/>
                <w:sz w:val="24"/>
                <w:lang w:val="en-US" w:eastAsia="zh-CN"/>
              </w:rPr>
              <w:t>详见附件3</w:t>
            </w:r>
            <w:r>
              <w:rPr>
                <w:rFonts w:hint="eastAsia"/>
                <w:color w:val="auto"/>
                <w:sz w:val="24"/>
                <w:lang w:eastAsia="zh-CN"/>
              </w:rPr>
              <w:t>）。</w:t>
            </w:r>
          </w:p>
          <w:p w14:paraId="11E38765">
            <w:pPr>
              <w:adjustRightInd w:val="0"/>
              <w:snapToGrid w:val="0"/>
              <w:spacing w:line="360" w:lineRule="auto"/>
              <w:ind w:firstLine="480" w:firstLineChars="200"/>
              <w:rPr>
                <w:rFonts w:hint="eastAsia" w:eastAsia="宋体"/>
                <w:b/>
                <w:bCs/>
                <w:color w:val="auto"/>
                <w:sz w:val="24"/>
                <w:lang w:eastAsia="zh-CN"/>
              </w:rPr>
            </w:pPr>
            <w:r>
              <w:rPr>
                <w:color w:val="auto"/>
                <w:sz w:val="24"/>
              </w:rPr>
              <w:t>综上所述</w:t>
            </w:r>
            <w:r>
              <w:rPr>
                <w:color w:val="auto"/>
                <w:kern w:val="0"/>
                <w:sz w:val="24"/>
                <w:lang w:bidi="ar"/>
              </w:rPr>
              <w:t>，本项目符合国家及地方产业政策</w:t>
            </w:r>
            <w:r>
              <w:rPr>
                <w:rFonts w:hint="eastAsia"/>
                <w:color w:val="auto"/>
                <w:kern w:val="0"/>
                <w:sz w:val="24"/>
                <w:lang w:eastAsia="zh-CN" w:bidi="ar"/>
              </w:rPr>
              <w:t>。</w:t>
            </w:r>
          </w:p>
          <w:p w14:paraId="5A20F940">
            <w:pPr>
              <w:autoSpaceDE w:val="0"/>
              <w:autoSpaceDN w:val="0"/>
              <w:adjustRightInd w:val="0"/>
              <w:snapToGrid w:val="0"/>
              <w:spacing w:line="360" w:lineRule="auto"/>
              <w:ind w:firstLine="482" w:firstLineChars="200"/>
              <w:rPr>
                <w:b/>
                <w:bCs/>
                <w:color w:val="auto"/>
                <w:sz w:val="24"/>
              </w:rPr>
            </w:pPr>
            <w:r>
              <w:rPr>
                <w:b/>
                <w:bCs/>
                <w:color w:val="auto"/>
                <w:sz w:val="24"/>
              </w:rPr>
              <w:t>2、项目选址符合性分析</w:t>
            </w:r>
          </w:p>
          <w:p w14:paraId="6F5E6E49">
            <w:pPr>
              <w:adjustRightInd w:val="0"/>
              <w:snapToGrid w:val="0"/>
              <w:spacing w:line="360" w:lineRule="auto"/>
              <w:ind w:firstLine="480" w:firstLineChars="200"/>
              <w:rPr>
                <w:color w:val="auto"/>
                <w:sz w:val="24"/>
              </w:rPr>
            </w:pPr>
            <w:r>
              <w:rPr>
                <w:color w:val="auto"/>
                <w:sz w:val="24"/>
              </w:rPr>
              <w:t>（1）用地性质相符性分析</w:t>
            </w:r>
          </w:p>
          <w:p w14:paraId="26CC3334">
            <w:pPr>
              <w:spacing w:line="360" w:lineRule="auto"/>
              <w:ind w:firstLine="470" w:firstLineChars="196"/>
              <w:rPr>
                <w:color w:val="auto"/>
                <w:sz w:val="24"/>
              </w:rPr>
            </w:pPr>
            <w:r>
              <w:rPr>
                <w:color w:val="auto"/>
                <w:sz w:val="24"/>
              </w:rPr>
              <w:t>本项目位于</w:t>
            </w:r>
            <w:r>
              <w:rPr>
                <w:rFonts w:hint="eastAsia"/>
                <w:color w:val="auto"/>
                <w:sz w:val="24"/>
                <w:lang w:val="en-US" w:eastAsia="zh-CN"/>
              </w:rPr>
              <w:t>江西省宜春市</w:t>
            </w:r>
            <w:r>
              <w:rPr>
                <w:rFonts w:hint="eastAsia" w:ascii="宋体" w:hAnsi="宋体" w:eastAsia="宋体" w:cs="宋体"/>
                <w:color w:val="auto"/>
                <w:sz w:val="24"/>
                <w:lang w:val="en-US" w:eastAsia="zh-CN"/>
              </w:rPr>
              <w:t>高安市蓝坊镇燕窝村</w:t>
            </w:r>
            <w:r>
              <w:rPr>
                <w:color w:val="auto"/>
                <w:sz w:val="24"/>
              </w:rPr>
              <w:t>，</w:t>
            </w:r>
            <w:r>
              <w:rPr>
                <w:color w:val="auto"/>
                <w:sz w:val="24"/>
                <w:highlight w:val="none"/>
              </w:rPr>
              <w:t>根据附</w:t>
            </w:r>
            <w:r>
              <w:rPr>
                <w:rFonts w:hint="eastAsia"/>
                <w:color w:val="auto"/>
                <w:sz w:val="24"/>
                <w:highlight w:val="none"/>
              </w:rPr>
              <w:t>件</w:t>
            </w:r>
            <w:r>
              <w:rPr>
                <w:rFonts w:hint="eastAsia"/>
                <w:color w:val="auto"/>
                <w:sz w:val="24"/>
                <w:highlight w:val="none"/>
                <w:lang w:val="en-US" w:eastAsia="zh-CN"/>
              </w:rPr>
              <w:t>4</w:t>
            </w:r>
            <w:r>
              <w:rPr>
                <w:color w:val="auto"/>
                <w:sz w:val="24"/>
                <w:highlight w:val="none"/>
              </w:rPr>
              <w:t>，</w:t>
            </w:r>
            <w:r>
              <w:rPr>
                <w:color w:val="auto"/>
                <w:sz w:val="24"/>
              </w:rPr>
              <w:t>项目用地性质为工业用地，根据</w:t>
            </w:r>
            <w:r>
              <w:rPr>
                <w:rFonts w:hint="eastAsia"/>
                <w:color w:val="auto"/>
                <w:sz w:val="24"/>
                <w:lang w:val="en-US" w:eastAsia="zh-CN"/>
              </w:rPr>
              <w:t>高安市</w:t>
            </w:r>
            <w:r>
              <w:rPr>
                <w:color w:val="auto"/>
                <w:sz w:val="24"/>
              </w:rPr>
              <w:t>生态保护红线范围图可知，项目不在当地饮用水源、风景名胜区、自然保护区等生态保护区内，满足生态保护红线要求；因此项目用地符合城市规划要求和产业结构布局，项目的建设与当地的环境保护规划相协调。</w:t>
            </w:r>
          </w:p>
          <w:p w14:paraId="65488571">
            <w:pPr>
              <w:pStyle w:val="74"/>
              <w:ind w:firstLine="480"/>
              <w:rPr>
                <w:color w:val="auto"/>
              </w:rPr>
            </w:pPr>
            <w:r>
              <w:rPr>
                <w:color w:val="auto"/>
              </w:rPr>
              <w:t>（2）</w:t>
            </w:r>
            <w:r>
              <w:rPr>
                <w:color w:val="auto"/>
                <w:kern w:val="2"/>
                <w:szCs w:val="24"/>
              </w:rPr>
              <w:t>选址所在地环境敏感程度分析</w:t>
            </w:r>
          </w:p>
          <w:p w14:paraId="6BD0CAEB">
            <w:pPr>
              <w:adjustRightInd w:val="0"/>
              <w:snapToGrid w:val="0"/>
              <w:spacing w:line="360" w:lineRule="auto"/>
              <w:ind w:firstLine="480" w:firstLineChars="200"/>
              <w:rPr>
                <w:color w:val="auto"/>
                <w:sz w:val="24"/>
              </w:rPr>
            </w:pPr>
            <w:r>
              <w:rPr>
                <w:color w:val="auto"/>
                <w:sz w:val="24"/>
              </w:rPr>
              <w:t>本项目位于</w:t>
            </w:r>
            <w:r>
              <w:rPr>
                <w:rFonts w:hint="eastAsia"/>
                <w:color w:val="auto"/>
                <w:sz w:val="24"/>
                <w:lang w:val="en-US" w:eastAsia="zh-CN"/>
              </w:rPr>
              <w:t>江西省宜春市</w:t>
            </w:r>
            <w:r>
              <w:rPr>
                <w:rFonts w:hint="eastAsia" w:ascii="宋体" w:hAnsi="宋体" w:eastAsia="宋体" w:cs="宋体"/>
                <w:color w:val="auto"/>
                <w:sz w:val="24"/>
                <w:lang w:val="en-US" w:eastAsia="zh-CN"/>
              </w:rPr>
              <w:t>高安市蓝坊镇燕窝村</w:t>
            </w:r>
            <w:r>
              <w:rPr>
                <w:color w:val="auto"/>
                <w:sz w:val="24"/>
              </w:rPr>
              <w:t>，该选址不属于生活饮用水源地和地下水补给区、风景名胜区、温泉疗养区、水产养殖区、基本农田保护区、自然保护区等需要特殊保护区域。</w:t>
            </w:r>
          </w:p>
          <w:p w14:paraId="13F7AE26">
            <w:pPr>
              <w:pStyle w:val="74"/>
              <w:ind w:firstLine="480"/>
              <w:rPr>
                <w:color w:val="auto"/>
                <w:kern w:val="2"/>
                <w:szCs w:val="24"/>
              </w:rPr>
            </w:pPr>
            <w:r>
              <w:rPr>
                <w:color w:val="auto"/>
                <w:kern w:val="2"/>
                <w:szCs w:val="24"/>
              </w:rPr>
              <w:t>（3）环境容量</w:t>
            </w:r>
          </w:p>
          <w:p w14:paraId="3D335639">
            <w:pPr>
              <w:pStyle w:val="74"/>
              <w:ind w:firstLine="480"/>
              <w:rPr>
                <w:color w:val="auto"/>
                <w:kern w:val="2"/>
                <w:szCs w:val="24"/>
              </w:rPr>
            </w:pPr>
            <w:r>
              <w:rPr>
                <w:color w:val="auto"/>
                <w:kern w:val="2"/>
                <w:szCs w:val="24"/>
              </w:rPr>
              <w:t>项目所在区域环境质量现状较好，大气、地表水等环境满足相应环境功能区划要求，区域有足够的环境容量。</w:t>
            </w:r>
          </w:p>
          <w:p w14:paraId="5815AD64">
            <w:pPr>
              <w:pStyle w:val="74"/>
              <w:ind w:firstLine="480"/>
              <w:rPr>
                <w:color w:val="auto"/>
                <w:kern w:val="2"/>
                <w:szCs w:val="24"/>
              </w:rPr>
            </w:pPr>
            <w:r>
              <w:rPr>
                <w:color w:val="auto"/>
                <w:kern w:val="2"/>
                <w:szCs w:val="24"/>
              </w:rPr>
              <w:t>（4）环境影响程度</w:t>
            </w:r>
          </w:p>
          <w:p w14:paraId="05B4E869">
            <w:pPr>
              <w:pStyle w:val="74"/>
              <w:ind w:firstLine="480"/>
              <w:rPr>
                <w:color w:val="auto"/>
                <w:kern w:val="2"/>
                <w:szCs w:val="24"/>
              </w:rPr>
            </w:pPr>
            <w:r>
              <w:rPr>
                <w:color w:val="auto"/>
                <w:kern w:val="2"/>
                <w:szCs w:val="24"/>
              </w:rPr>
              <w:t>根据工程分析确定的污染物源强，通过大气环境、水环境、声环境影响分析，</w:t>
            </w:r>
            <w:r>
              <w:rPr>
                <w:rFonts w:hint="eastAsia"/>
                <w:color w:val="auto"/>
                <w:kern w:val="2"/>
                <w:szCs w:val="24"/>
              </w:rPr>
              <w:t>项目采取相应的治理措施后，污染物</w:t>
            </w:r>
            <w:r>
              <w:rPr>
                <w:rFonts w:hint="eastAsia"/>
                <w:color w:val="auto"/>
                <w:kern w:val="2"/>
                <w:szCs w:val="24"/>
                <w:lang w:val="en-US" w:eastAsia="zh-CN"/>
              </w:rPr>
              <w:t>可</w:t>
            </w:r>
            <w:r>
              <w:rPr>
                <w:rFonts w:hint="eastAsia"/>
                <w:color w:val="auto"/>
                <w:kern w:val="2"/>
                <w:szCs w:val="24"/>
              </w:rPr>
              <w:t>实现达标排放</w:t>
            </w:r>
            <w:r>
              <w:rPr>
                <w:rFonts w:hint="eastAsia"/>
                <w:color w:val="auto"/>
                <w:kern w:val="2"/>
                <w:szCs w:val="24"/>
                <w:lang w:eastAsia="zh-CN"/>
              </w:rPr>
              <w:t>，</w:t>
            </w:r>
            <w:r>
              <w:rPr>
                <w:rFonts w:hint="eastAsia"/>
                <w:color w:val="auto"/>
                <w:kern w:val="2"/>
                <w:szCs w:val="24"/>
              </w:rPr>
              <w:t>对区域环境空气、水环境、声环境影响较小。</w:t>
            </w:r>
          </w:p>
          <w:p w14:paraId="33C400D4">
            <w:pPr>
              <w:spacing w:line="360" w:lineRule="auto"/>
              <w:ind w:firstLine="482"/>
              <w:rPr>
                <w:b/>
                <w:bCs/>
                <w:color w:val="auto"/>
                <w:sz w:val="24"/>
              </w:rPr>
            </w:pPr>
            <w:r>
              <w:rPr>
                <w:b/>
                <w:bCs/>
                <w:color w:val="auto"/>
                <w:sz w:val="24"/>
              </w:rPr>
              <w:t>3、</w:t>
            </w:r>
            <w:r>
              <w:rPr>
                <w:b/>
                <w:bCs/>
                <w:color w:val="auto"/>
                <w:sz w:val="24"/>
                <w:lang w:val="en-GB"/>
              </w:rPr>
              <w:t>“三线一单”符合性分析</w:t>
            </w:r>
          </w:p>
          <w:p w14:paraId="01570007">
            <w:pPr>
              <w:spacing w:line="360" w:lineRule="auto"/>
              <w:ind w:firstLine="470" w:firstLineChars="196"/>
              <w:rPr>
                <w:color w:val="auto"/>
                <w:sz w:val="24"/>
              </w:rPr>
            </w:pPr>
            <w:r>
              <w:rPr>
                <w:color w:val="auto"/>
                <w:sz w:val="24"/>
              </w:rPr>
              <w:t>（1）生态保护红线</w:t>
            </w:r>
          </w:p>
          <w:p w14:paraId="6A3FD2F9">
            <w:pPr>
              <w:spacing w:line="360" w:lineRule="auto"/>
              <w:ind w:firstLine="470" w:firstLineChars="196"/>
              <w:rPr>
                <w:color w:val="auto"/>
                <w:sz w:val="24"/>
              </w:rPr>
            </w:pPr>
            <w:r>
              <w:rPr>
                <w:color w:val="auto"/>
                <w:sz w:val="24"/>
              </w:rPr>
              <w:t>项目选址于</w:t>
            </w:r>
            <w:r>
              <w:rPr>
                <w:rFonts w:hint="eastAsia"/>
                <w:color w:val="auto"/>
                <w:sz w:val="24"/>
                <w:lang w:val="en-US" w:eastAsia="zh-CN"/>
              </w:rPr>
              <w:t>江西省宜春市</w:t>
            </w:r>
            <w:r>
              <w:rPr>
                <w:rFonts w:hint="eastAsia" w:ascii="宋体" w:hAnsi="宋体" w:eastAsia="宋体" w:cs="宋体"/>
                <w:color w:val="auto"/>
                <w:sz w:val="24"/>
                <w:lang w:val="en-US" w:eastAsia="zh-CN"/>
              </w:rPr>
              <w:t>高安市蓝坊镇燕窝村</w:t>
            </w:r>
            <w:r>
              <w:rPr>
                <w:color w:val="auto"/>
                <w:sz w:val="24"/>
              </w:rPr>
              <w:t>，项目用地性质为工业用地</w:t>
            </w:r>
            <w:r>
              <w:rPr>
                <w:rFonts w:hint="eastAsia"/>
                <w:color w:val="auto"/>
                <w:sz w:val="24"/>
                <w:lang w:eastAsia="zh-CN"/>
              </w:rPr>
              <w:t>（</w:t>
            </w:r>
            <w:r>
              <w:rPr>
                <w:rFonts w:hint="eastAsia"/>
                <w:color w:val="auto"/>
                <w:sz w:val="24"/>
                <w:lang w:val="en-US" w:eastAsia="zh-CN"/>
              </w:rPr>
              <w:t>详见附件4</w:t>
            </w:r>
            <w:r>
              <w:rPr>
                <w:rFonts w:hint="eastAsia"/>
                <w:color w:val="auto"/>
                <w:sz w:val="24"/>
                <w:lang w:eastAsia="zh-CN"/>
              </w:rPr>
              <w:t>）</w:t>
            </w:r>
            <w:r>
              <w:rPr>
                <w:color w:val="auto"/>
                <w:sz w:val="24"/>
              </w:rPr>
              <w:t>，根据</w:t>
            </w:r>
            <w:r>
              <w:rPr>
                <w:rFonts w:hint="eastAsia"/>
                <w:color w:val="auto"/>
                <w:sz w:val="24"/>
                <w:lang w:val="en-US" w:eastAsia="zh-CN"/>
              </w:rPr>
              <w:t>高安市</w:t>
            </w:r>
            <w:r>
              <w:rPr>
                <w:color w:val="auto"/>
                <w:sz w:val="24"/>
              </w:rPr>
              <w:t>生态保护红线范围图可知，项目不在当地饮用水源、风景名胜区、自然保护区等生态保护区内，满足生态保护红线要求。</w:t>
            </w:r>
          </w:p>
          <w:p w14:paraId="21EBD3C7">
            <w:pPr>
              <w:spacing w:line="360" w:lineRule="auto"/>
              <w:ind w:firstLine="470" w:firstLineChars="196"/>
              <w:rPr>
                <w:color w:val="auto"/>
                <w:sz w:val="24"/>
              </w:rPr>
            </w:pPr>
            <w:r>
              <w:rPr>
                <w:color w:val="auto"/>
                <w:sz w:val="24"/>
              </w:rPr>
              <w:t>（2）环境质量底线</w:t>
            </w:r>
          </w:p>
          <w:p w14:paraId="2B5E6C9F">
            <w:pPr>
              <w:spacing w:line="360" w:lineRule="auto"/>
              <w:ind w:firstLine="470" w:firstLineChars="196"/>
              <w:rPr>
                <w:color w:val="auto"/>
                <w:sz w:val="24"/>
              </w:rPr>
            </w:pPr>
            <w:r>
              <w:rPr>
                <w:color w:val="auto"/>
                <w:sz w:val="24"/>
              </w:rPr>
              <w:t>项目所在地大气环境满足《环境空气质量标准》</w:t>
            </w:r>
            <w:r>
              <w:rPr>
                <w:rFonts w:hint="eastAsia"/>
                <w:color w:val="auto"/>
                <w:sz w:val="24"/>
                <w:lang w:eastAsia="zh-CN"/>
              </w:rPr>
              <w:t>（</w:t>
            </w:r>
            <w:r>
              <w:rPr>
                <w:color w:val="auto"/>
                <w:sz w:val="24"/>
              </w:rPr>
              <w:t>GB3095-2012</w:t>
            </w:r>
            <w:r>
              <w:rPr>
                <w:rFonts w:hint="eastAsia"/>
                <w:color w:val="auto"/>
                <w:sz w:val="24"/>
                <w:lang w:eastAsia="zh-CN"/>
              </w:rPr>
              <w:t>）</w:t>
            </w:r>
            <w:r>
              <w:rPr>
                <w:color w:val="auto"/>
                <w:sz w:val="24"/>
              </w:rPr>
              <w:t>二级标准要求；地表水满足《地表水环境质量标准》</w:t>
            </w:r>
            <w:r>
              <w:rPr>
                <w:rFonts w:hint="eastAsia"/>
                <w:color w:val="auto"/>
                <w:sz w:val="24"/>
                <w:lang w:eastAsia="zh-CN"/>
              </w:rPr>
              <w:t>（</w:t>
            </w:r>
            <w:r>
              <w:rPr>
                <w:color w:val="auto"/>
                <w:sz w:val="24"/>
              </w:rPr>
              <w:t>GB3838-2002</w:t>
            </w:r>
            <w:r>
              <w:rPr>
                <w:rFonts w:hint="eastAsia"/>
                <w:color w:val="auto"/>
                <w:sz w:val="24"/>
                <w:lang w:eastAsia="zh-CN"/>
              </w:rPr>
              <w:t>）</w:t>
            </w:r>
            <w:r>
              <w:rPr>
                <w:color w:val="auto"/>
                <w:sz w:val="24"/>
              </w:rPr>
              <w:t>Ⅲ类标准要求；声环境达到《声环境质量标准》</w:t>
            </w:r>
            <w:r>
              <w:rPr>
                <w:rFonts w:hint="eastAsia"/>
                <w:color w:val="auto"/>
                <w:sz w:val="24"/>
                <w:lang w:eastAsia="zh-CN"/>
              </w:rPr>
              <w:t>（</w:t>
            </w:r>
            <w:r>
              <w:rPr>
                <w:color w:val="auto"/>
                <w:sz w:val="24"/>
              </w:rPr>
              <w:t>GB3096-2008</w:t>
            </w:r>
            <w:r>
              <w:rPr>
                <w:rFonts w:hint="eastAsia"/>
                <w:color w:val="auto"/>
                <w:sz w:val="24"/>
                <w:lang w:eastAsia="zh-CN"/>
              </w:rPr>
              <w:t>）</w:t>
            </w:r>
            <w:r>
              <w:rPr>
                <w:rFonts w:hint="eastAsia"/>
                <w:color w:val="auto"/>
                <w:sz w:val="24"/>
                <w:lang w:val="en-US" w:eastAsia="zh-CN"/>
              </w:rPr>
              <w:t>2</w:t>
            </w:r>
            <w:r>
              <w:rPr>
                <w:color w:val="auto"/>
                <w:sz w:val="24"/>
              </w:rPr>
              <w:t>类标准要求。本项目废气、废水、噪声治理后能做到达标排放，固体废物可做到无害化处置。采取本环评提出的相关防治措施后，排放的污染物不会突破区域环境质量底线。</w:t>
            </w:r>
          </w:p>
          <w:p w14:paraId="4653F158">
            <w:pPr>
              <w:spacing w:line="360" w:lineRule="auto"/>
              <w:ind w:firstLine="470" w:firstLineChars="196"/>
              <w:rPr>
                <w:color w:val="auto"/>
                <w:sz w:val="24"/>
              </w:rPr>
            </w:pPr>
            <w:r>
              <w:rPr>
                <w:color w:val="auto"/>
                <w:sz w:val="24"/>
              </w:rPr>
              <w:t>因此本项目的建设符合环境质量底线要求。</w:t>
            </w:r>
          </w:p>
          <w:p w14:paraId="7EC0DF42">
            <w:pPr>
              <w:spacing w:line="360" w:lineRule="auto"/>
              <w:ind w:firstLine="470" w:firstLineChars="196"/>
              <w:rPr>
                <w:rFonts w:hint="eastAsia" w:eastAsia="宋体"/>
                <w:color w:val="auto"/>
                <w:sz w:val="24"/>
                <w:lang w:val="en-US" w:eastAsia="zh-CN"/>
              </w:rPr>
            </w:pPr>
            <w:r>
              <w:rPr>
                <w:color w:val="auto"/>
                <w:sz w:val="24"/>
              </w:rPr>
              <w:t>（3）资源利用上</w:t>
            </w:r>
            <w:r>
              <w:rPr>
                <w:rFonts w:hint="eastAsia"/>
                <w:color w:val="auto"/>
                <w:sz w:val="24"/>
                <w:lang w:val="en-US" w:eastAsia="zh-CN"/>
              </w:rPr>
              <w:t>限</w:t>
            </w:r>
          </w:p>
          <w:p w14:paraId="3E3C72FC">
            <w:pPr>
              <w:widowControl/>
              <w:spacing w:line="360" w:lineRule="auto"/>
              <w:ind w:firstLine="480" w:firstLineChars="200"/>
              <w:jc w:val="left"/>
              <w:rPr>
                <w:color w:val="auto"/>
                <w:sz w:val="24"/>
              </w:rPr>
            </w:pPr>
            <w:r>
              <w:rPr>
                <w:rFonts w:hint="eastAsia"/>
                <w:color w:val="auto"/>
                <w:sz w:val="24"/>
              </w:rPr>
              <w:t>资源是环境的载体，资源利用</w:t>
            </w:r>
            <w:r>
              <w:rPr>
                <w:color w:val="auto"/>
                <w:sz w:val="24"/>
              </w:rPr>
              <w:t>上</w:t>
            </w:r>
            <w:r>
              <w:rPr>
                <w:rFonts w:hint="eastAsia"/>
                <w:color w:val="auto"/>
                <w:sz w:val="24"/>
                <w:lang w:val="en-US" w:eastAsia="zh-CN"/>
              </w:rPr>
              <w:t>限</w:t>
            </w:r>
            <w:r>
              <w:rPr>
                <w:rFonts w:hint="eastAsia"/>
                <w:color w:val="auto"/>
                <w:sz w:val="24"/>
              </w:rPr>
              <w:t>是促进资源能源节约，保障能源、水、土地等资源高效利用，不应突破的最高限值。建设项目用水主要为生活用水，本项目用水来自</w:t>
            </w:r>
            <w:r>
              <w:rPr>
                <w:rFonts w:hint="eastAsia"/>
                <w:color w:val="auto"/>
                <w:sz w:val="24"/>
                <w:lang w:val="en-US" w:eastAsia="zh-CN"/>
              </w:rPr>
              <w:t>市政</w:t>
            </w:r>
            <w:r>
              <w:rPr>
                <w:rFonts w:hint="eastAsia"/>
                <w:color w:val="auto"/>
                <w:sz w:val="24"/>
              </w:rPr>
              <w:t>供水管网，区域附近水系发达水量充足，不会达到资源利用</w:t>
            </w:r>
            <w:r>
              <w:rPr>
                <w:color w:val="auto"/>
                <w:sz w:val="24"/>
              </w:rPr>
              <w:t>上</w:t>
            </w:r>
            <w:r>
              <w:rPr>
                <w:rFonts w:hint="eastAsia"/>
                <w:color w:val="auto"/>
                <w:sz w:val="24"/>
                <w:lang w:val="en-US" w:eastAsia="zh-CN"/>
              </w:rPr>
              <w:t>限</w:t>
            </w:r>
            <w:r>
              <w:rPr>
                <w:rFonts w:hint="eastAsia"/>
                <w:color w:val="auto"/>
                <w:sz w:val="24"/>
                <w:lang w:eastAsia="zh-CN"/>
              </w:rPr>
              <w:t>；</w:t>
            </w:r>
            <w:r>
              <w:rPr>
                <w:rFonts w:hint="eastAsia"/>
                <w:color w:val="auto"/>
                <w:sz w:val="24"/>
              </w:rPr>
              <w:t>本项目用电由</w:t>
            </w:r>
            <w:r>
              <w:rPr>
                <w:rFonts w:hint="eastAsia"/>
                <w:color w:val="auto"/>
                <w:sz w:val="24"/>
                <w:lang w:val="en-US" w:eastAsia="zh-CN"/>
              </w:rPr>
              <w:t>市政</w:t>
            </w:r>
            <w:r>
              <w:rPr>
                <w:rFonts w:hint="eastAsia"/>
                <w:color w:val="auto"/>
                <w:sz w:val="24"/>
              </w:rPr>
              <w:t>电网提供，不会</w:t>
            </w:r>
            <w:r>
              <w:rPr>
                <w:rFonts w:hint="eastAsia"/>
                <w:color w:val="auto"/>
                <w:sz w:val="24"/>
                <w:lang w:val="en-US" w:eastAsia="zh-CN"/>
              </w:rPr>
              <w:t>超出</w:t>
            </w:r>
            <w:r>
              <w:rPr>
                <w:rFonts w:hint="eastAsia"/>
                <w:color w:val="auto"/>
                <w:sz w:val="24"/>
              </w:rPr>
              <w:t>供电量使用</w:t>
            </w:r>
            <w:r>
              <w:rPr>
                <w:color w:val="auto"/>
                <w:sz w:val="24"/>
              </w:rPr>
              <w:t>上</w:t>
            </w:r>
            <w:r>
              <w:rPr>
                <w:rFonts w:hint="eastAsia"/>
                <w:color w:val="auto"/>
                <w:sz w:val="24"/>
                <w:lang w:val="en-US" w:eastAsia="zh-CN"/>
              </w:rPr>
              <w:t>限</w:t>
            </w:r>
            <w:r>
              <w:rPr>
                <w:rFonts w:hint="eastAsia"/>
                <w:color w:val="auto"/>
                <w:sz w:val="24"/>
                <w:lang w:eastAsia="zh-CN"/>
              </w:rPr>
              <w:t>；</w:t>
            </w:r>
            <w:r>
              <w:rPr>
                <w:rFonts w:hint="eastAsia"/>
                <w:color w:val="auto"/>
                <w:sz w:val="24"/>
              </w:rPr>
              <w:t>原料为市场采购，不会超出资源利用</w:t>
            </w:r>
            <w:r>
              <w:rPr>
                <w:rFonts w:hint="eastAsia"/>
                <w:color w:val="auto"/>
                <w:sz w:val="24"/>
                <w:lang w:val="en-US" w:eastAsia="zh-CN"/>
              </w:rPr>
              <w:t>上限；</w:t>
            </w:r>
            <w:r>
              <w:rPr>
                <w:rFonts w:hint="eastAsia"/>
                <w:color w:val="auto"/>
                <w:sz w:val="24"/>
              </w:rPr>
              <w:t>项目土地性质为工业用地，土地利用不会突破区域土地资源</w:t>
            </w:r>
            <w:r>
              <w:rPr>
                <w:color w:val="auto"/>
                <w:sz w:val="24"/>
              </w:rPr>
              <w:t>上</w:t>
            </w:r>
            <w:r>
              <w:rPr>
                <w:rFonts w:hint="eastAsia"/>
                <w:color w:val="auto"/>
                <w:sz w:val="24"/>
                <w:lang w:val="en-US" w:eastAsia="zh-CN"/>
              </w:rPr>
              <w:t>限</w:t>
            </w:r>
            <w:r>
              <w:rPr>
                <w:rFonts w:hint="eastAsia"/>
                <w:color w:val="auto"/>
                <w:sz w:val="24"/>
              </w:rPr>
              <w:t>。</w:t>
            </w:r>
          </w:p>
          <w:p w14:paraId="7CE432BF">
            <w:pPr>
              <w:widowControl/>
              <w:spacing w:line="360" w:lineRule="auto"/>
              <w:ind w:firstLine="480" w:firstLineChars="200"/>
              <w:jc w:val="left"/>
              <w:rPr>
                <w:color w:val="auto"/>
                <w:sz w:val="24"/>
              </w:rPr>
            </w:pPr>
            <w:r>
              <w:rPr>
                <w:color w:val="auto"/>
                <w:sz w:val="24"/>
              </w:rPr>
              <w:t>项目不属于高能耗、高污染、资源型企业，</w:t>
            </w:r>
            <w:r>
              <w:rPr>
                <w:rFonts w:hint="eastAsia"/>
                <w:color w:val="auto"/>
                <w:sz w:val="24"/>
                <w:lang w:val="en-US" w:eastAsia="zh-CN"/>
              </w:rPr>
              <w:t>项目</w:t>
            </w:r>
            <w:r>
              <w:rPr>
                <w:color w:val="auto"/>
                <w:sz w:val="24"/>
              </w:rPr>
              <w:t>建成运行后通过内部管理、设备选择、原辅材料的选用和管理、废物回收利用、污染治理等多方面采取合理可行的防治措施，以</w:t>
            </w:r>
            <w:r>
              <w:rPr>
                <w:rFonts w:hint="eastAsia"/>
                <w:color w:val="auto"/>
                <w:sz w:val="24"/>
                <w:lang w:eastAsia="zh-CN"/>
              </w:rPr>
              <w:t>“</w:t>
            </w:r>
            <w:r>
              <w:rPr>
                <w:color w:val="auto"/>
                <w:sz w:val="24"/>
              </w:rPr>
              <w:t>节能、降耗、减污</w:t>
            </w:r>
            <w:r>
              <w:rPr>
                <w:rFonts w:hint="eastAsia"/>
                <w:color w:val="auto"/>
                <w:sz w:val="24"/>
                <w:lang w:eastAsia="zh-CN"/>
              </w:rPr>
              <w:t>”</w:t>
            </w:r>
            <w:r>
              <w:rPr>
                <w:color w:val="auto"/>
                <w:sz w:val="24"/>
              </w:rPr>
              <w:t>为目标，有效地控制污染</w:t>
            </w:r>
            <w:r>
              <w:rPr>
                <w:rFonts w:hint="eastAsia"/>
                <w:color w:val="auto"/>
                <w:sz w:val="24"/>
                <w:lang w:eastAsia="zh-CN"/>
              </w:rPr>
              <w:t>，</w:t>
            </w:r>
            <w:r>
              <w:rPr>
                <w:color w:val="auto"/>
                <w:sz w:val="24"/>
              </w:rPr>
              <w:t>水、电等资源利用不会突破区域的资源利用上</w:t>
            </w:r>
            <w:r>
              <w:rPr>
                <w:rFonts w:hint="eastAsia"/>
                <w:color w:val="auto"/>
                <w:sz w:val="24"/>
                <w:lang w:val="en-US" w:eastAsia="zh-CN"/>
              </w:rPr>
              <w:t>限</w:t>
            </w:r>
            <w:r>
              <w:rPr>
                <w:color w:val="auto"/>
                <w:sz w:val="24"/>
              </w:rPr>
              <w:t>。</w:t>
            </w:r>
          </w:p>
          <w:p w14:paraId="598581C9">
            <w:pPr>
              <w:widowControl/>
              <w:numPr>
                <w:ilvl w:val="0"/>
                <w:numId w:val="4"/>
              </w:numPr>
              <w:spacing w:line="360" w:lineRule="auto"/>
              <w:ind w:firstLine="480" w:firstLineChars="200"/>
              <w:jc w:val="left"/>
              <w:rPr>
                <w:color w:val="auto"/>
                <w:kern w:val="0"/>
                <w:sz w:val="24"/>
              </w:rPr>
            </w:pPr>
            <w:r>
              <w:rPr>
                <w:color w:val="auto"/>
                <w:kern w:val="0"/>
                <w:sz w:val="24"/>
              </w:rPr>
              <w:t>环境准入负面清单</w:t>
            </w:r>
          </w:p>
          <w:p w14:paraId="17A54D6C">
            <w:pPr>
              <w:widowControl/>
              <w:spacing w:line="360" w:lineRule="auto"/>
              <w:ind w:firstLine="480" w:firstLineChars="200"/>
              <w:jc w:val="left"/>
              <w:rPr>
                <w:color w:val="auto"/>
                <w:kern w:val="0"/>
                <w:sz w:val="24"/>
              </w:rPr>
            </w:pPr>
            <w:r>
              <w:rPr>
                <w:rFonts w:hint="eastAsia"/>
                <w:b w:val="0"/>
                <w:bCs/>
                <w:color w:val="auto"/>
                <w:kern w:val="0"/>
                <w:sz w:val="24"/>
                <w:lang w:val="en-US" w:eastAsia="zh-CN"/>
              </w:rPr>
              <w:t>根据</w:t>
            </w:r>
            <w:r>
              <w:rPr>
                <w:rFonts w:hint="default" w:ascii="Times New Roman" w:hAnsi="Times New Roman" w:eastAsia="宋体" w:cs="Times New Roman"/>
                <w:b w:val="0"/>
                <w:bCs/>
                <w:color w:val="auto"/>
                <w:kern w:val="0"/>
                <w:sz w:val="24"/>
              </w:rPr>
              <w:t>《江西省生态环境厅关于公布江西省生态环境分区管控成果</w:t>
            </w:r>
            <w:r>
              <w:rPr>
                <w:rFonts w:hint="eastAsia" w:ascii="Times New Roman" w:hAnsi="Times New Roman" w:eastAsia="宋体" w:cs="Times New Roman"/>
                <w:b w:val="0"/>
                <w:bCs/>
                <w:color w:val="auto"/>
                <w:kern w:val="0"/>
                <w:sz w:val="24"/>
                <w:lang w:eastAsia="zh-CN"/>
              </w:rPr>
              <w:t>（</w:t>
            </w:r>
            <w:r>
              <w:rPr>
                <w:rFonts w:hint="default" w:ascii="Times New Roman" w:hAnsi="Times New Roman" w:eastAsia="宋体" w:cs="Times New Roman"/>
                <w:b w:val="0"/>
                <w:bCs/>
                <w:color w:val="auto"/>
                <w:kern w:val="0"/>
                <w:sz w:val="24"/>
              </w:rPr>
              <w:t>202</w:t>
            </w:r>
            <w:r>
              <w:rPr>
                <w:rFonts w:hint="eastAsia" w:ascii="Times New Roman" w:hAnsi="Times New Roman" w:eastAsia="宋体" w:cs="Times New Roman"/>
                <w:b w:val="0"/>
                <w:bCs/>
                <w:color w:val="auto"/>
                <w:kern w:val="0"/>
                <w:sz w:val="24"/>
                <w:lang w:val="en-US" w:eastAsia="zh-CN"/>
              </w:rPr>
              <w:t>3</w:t>
            </w:r>
            <w:r>
              <w:rPr>
                <w:rFonts w:hint="default" w:ascii="Times New Roman" w:hAnsi="Times New Roman" w:eastAsia="宋体" w:cs="Times New Roman"/>
                <w:b w:val="0"/>
                <w:bCs/>
                <w:color w:val="auto"/>
                <w:kern w:val="0"/>
                <w:sz w:val="24"/>
              </w:rPr>
              <w:t>版</w:t>
            </w:r>
            <w:r>
              <w:rPr>
                <w:rFonts w:hint="eastAsia" w:ascii="Times New Roman" w:hAnsi="Times New Roman" w:eastAsia="宋体" w:cs="Times New Roman"/>
                <w:b w:val="0"/>
                <w:bCs/>
                <w:color w:val="auto"/>
                <w:kern w:val="0"/>
                <w:sz w:val="24"/>
                <w:lang w:eastAsia="zh-CN"/>
              </w:rPr>
              <w:t>）</w:t>
            </w:r>
            <w:r>
              <w:rPr>
                <w:rFonts w:hint="default" w:ascii="Times New Roman" w:hAnsi="Times New Roman" w:eastAsia="宋体" w:cs="Times New Roman"/>
                <w:b w:val="0"/>
                <w:bCs/>
                <w:color w:val="auto"/>
                <w:kern w:val="0"/>
                <w:sz w:val="24"/>
              </w:rPr>
              <w:t>的函》</w:t>
            </w:r>
            <w:r>
              <w:rPr>
                <w:rFonts w:hint="eastAsia" w:ascii="Times New Roman" w:hAnsi="Times New Roman" w:eastAsia="宋体" w:cs="Times New Roman"/>
                <w:b w:val="0"/>
                <w:bCs/>
                <w:color w:val="auto"/>
                <w:kern w:val="0"/>
                <w:sz w:val="24"/>
                <w:lang w:eastAsia="zh-CN"/>
              </w:rPr>
              <w:t>（</w:t>
            </w:r>
            <w:r>
              <w:rPr>
                <w:rFonts w:hint="default" w:ascii="Times New Roman" w:hAnsi="Times New Roman" w:eastAsia="宋体" w:cs="Times New Roman"/>
                <w:b w:val="0"/>
                <w:bCs/>
                <w:color w:val="auto"/>
                <w:kern w:val="0"/>
                <w:sz w:val="24"/>
              </w:rPr>
              <w:t>赣环环评函</w:t>
            </w:r>
            <w:r>
              <w:rPr>
                <w:rFonts w:hint="eastAsia" w:ascii="Times New Roman" w:hAnsi="Times New Roman" w:eastAsia="宋体" w:cs="Times New Roman"/>
                <w:color w:val="auto"/>
                <w:kern w:val="2"/>
                <w:sz w:val="24"/>
                <w:szCs w:val="24"/>
                <w:lang w:val="en-US" w:eastAsia="zh-CN" w:bidi="ar-SA"/>
              </w:rPr>
              <w:t>〔202</w:t>
            </w:r>
            <w:r>
              <w:rPr>
                <w:rFonts w:hint="eastAsia" w:eastAsia="宋体" w:cs="Times New Roman"/>
                <w:color w:val="auto"/>
                <w:kern w:val="2"/>
                <w:sz w:val="24"/>
                <w:szCs w:val="24"/>
                <w:lang w:val="en-US" w:eastAsia="zh-CN" w:bidi="ar-SA"/>
              </w:rPr>
              <w:t>4</w:t>
            </w:r>
            <w:r>
              <w:rPr>
                <w:rFonts w:hint="eastAsia" w:ascii="Times New Roman" w:hAnsi="Times New Roman" w:eastAsia="宋体" w:cs="Times New Roman"/>
                <w:color w:val="auto"/>
                <w:kern w:val="2"/>
                <w:sz w:val="24"/>
                <w:szCs w:val="24"/>
                <w:lang w:val="en-US" w:eastAsia="zh-CN" w:bidi="ar-SA"/>
              </w:rPr>
              <w:t>〕</w:t>
            </w:r>
            <w:r>
              <w:rPr>
                <w:rFonts w:hint="default" w:ascii="Times New Roman" w:hAnsi="Times New Roman" w:eastAsia="宋体" w:cs="Times New Roman"/>
                <w:b w:val="0"/>
                <w:bCs/>
                <w:color w:val="auto"/>
                <w:kern w:val="0"/>
                <w:sz w:val="24"/>
              </w:rPr>
              <w:t>87号</w:t>
            </w:r>
            <w:r>
              <w:rPr>
                <w:rFonts w:hint="eastAsia" w:ascii="Times New Roman" w:hAnsi="Times New Roman" w:eastAsia="宋体" w:cs="Times New Roman"/>
                <w:b w:val="0"/>
                <w:bCs/>
                <w:color w:val="auto"/>
                <w:kern w:val="0"/>
                <w:sz w:val="24"/>
                <w:lang w:eastAsia="zh-CN"/>
              </w:rPr>
              <w:t>）</w:t>
            </w:r>
            <w:r>
              <w:rPr>
                <w:color w:val="auto"/>
                <w:kern w:val="0"/>
                <w:sz w:val="24"/>
              </w:rPr>
              <w:t>全省共划定环境管控单元1093个，分为优先保护单元、重点管控单元、一般管控单元三类。本项目位于</w:t>
            </w:r>
            <w:r>
              <w:rPr>
                <w:rFonts w:hint="eastAsia"/>
                <w:color w:val="auto"/>
                <w:sz w:val="24"/>
                <w:lang w:val="en-US" w:eastAsia="zh-CN"/>
              </w:rPr>
              <w:t>江西省宜春市</w:t>
            </w:r>
            <w:r>
              <w:rPr>
                <w:rFonts w:hint="eastAsia" w:ascii="宋体" w:hAnsi="宋体" w:eastAsia="宋体" w:cs="宋体"/>
                <w:color w:val="auto"/>
                <w:sz w:val="24"/>
                <w:lang w:val="en-US" w:eastAsia="zh-CN"/>
              </w:rPr>
              <w:t>高安市蓝坊镇燕窝村</w:t>
            </w:r>
            <w:r>
              <w:rPr>
                <w:color w:val="auto"/>
                <w:kern w:val="0"/>
                <w:sz w:val="24"/>
              </w:rPr>
              <w:t>，属</w:t>
            </w:r>
            <w:r>
              <w:rPr>
                <w:color w:val="auto"/>
                <w:kern w:val="0"/>
                <w:sz w:val="24"/>
                <w:highlight w:val="none"/>
              </w:rPr>
              <w:t>于</w:t>
            </w:r>
            <w:r>
              <w:rPr>
                <w:rFonts w:hint="eastAsia"/>
                <w:color w:val="auto"/>
                <w:kern w:val="0"/>
                <w:sz w:val="24"/>
                <w:highlight w:val="none"/>
                <w:lang w:val="en-US" w:eastAsia="zh-CN"/>
              </w:rPr>
              <w:t>重点</w:t>
            </w:r>
            <w:r>
              <w:rPr>
                <w:rFonts w:hint="eastAsia"/>
                <w:color w:val="auto"/>
                <w:kern w:val="0"/>
                <w:sz w:val="24"/>
                <w:highlight w:val="none"/>
              </w:rPr>
              <w:t>管控单元</w:t>
            </w:r>
            <w:r>
              <w:rPr>
                <w:color w:val="auto"/>
                <w:kern w:val="0"/>
                <w:sz w:val="24"/>
              </w:rPr>
              <w:t>。将涉及本项目区域的生态环境准入清单要求及符合性分析列于表1-</w:t>
            </w:r>
            <w:r>
              <w:rPr>
                <w:rFonts w:hint="eastAsia"/>
                <w:color w:val="auto"/>
                <w:kern w:val="0"/>
                <w:sz w:val="24"/>
                <w:lang w:val="en-US" w:eastAsia="zh-CN"/>
              </w:rPr>
              <w:t>2</w:t>
            </w:r>
            <w:r>
              <w:rPr>
                <w:color w:val="auto"/>
                <w:kern w:val="0"/>
                <w:sz w:val="24"/>
              </w:rPr>
              <w:t>。</w:t>
            </w:r>
          </w:p>
          <w:p w14:paraId="55B66F9B">
            <w:pPr>
              <w:keepNext w:val="0"/>
              <w:keepLines w:val="0"/>
              <w:pageBreakBefore w:val="0"/>
              <w:widowControl/>
              <w:kinsoku/>
              <w:wordWrap/>
              <w:overflowPunct/>
              <w:topLinePunct w:val="0"/>
              <w:autoSpaceDE/>
              <w:autoSpaceDN/>
              <w:bidi w:val="0"/>
              <w:adjustRightInd/>
              <w:snapToGrid/>
              <w:spacing w:line="240" w:lineRule="auto"/>
              <w:jc w:val="center"/>
              <w:textAlignment w:val="auto"/>
              <w:rPr>
                <w:b/>
                <w:bCs/>
                <w:color w:val="auto"/>
                <w:kern w:val="0"/>
                <w:sz w:val="24"/>
              </w:rPr>
            </w:pPr>
            <w:r>
              <w:rPr>
                <w:b/>
                <w:bCs/>
                <w:color w:val="auto"/>
                <w:kern w:val="0"/>
                <w:sz w:val="24"/>
              </w:rPr>
              <w:t>表1-</w:t>
            </w:r>
            <w:r>
              <w:rPr>
                <w:rFonts w:hint="eastAsia"/>
                <w:b/>
                <w:bCs/>
                <w:color w:val="auto"/>
                <w:kern w:val="0"/>
                <w:sz w:val="24"/>
                <w:lang w:val="en-US" w:eastAsia="zh-CN"/>
              </w:rPr>
              <w:t>2</w:t>
            </w:r>
            <w:r>
              <w:rPr>
                <w:b/>
                <w:bCs/>
                <w:color w:val="auto"/>
                <w:kern w:val="0"/>
                <w:sz w:val="24"/>
              </w:rPr>
              <w:t xml:space="preserve"> 项目与江西省生态环境总体准入清单</w:t>
            </w:r>
            <w:r>
              <w:rPr>
                <w:rFonts w:hint="eastAsia"/>
                <w:b/>
                <w:bCs/>
                <w:color w:val="auto"/>
                <w:kern w:val="0"/>
                <w:sz w:val="24"/>
                <w:lang w:eastAsia="zh-CN"/>
              </w:rPr>
              <w:t>（</w:t>
            </w:r>
            <w:r>
              <w:rPr>
                <w:b/>
                <w:bCs/>
                <w:color w:val="auto"/>
                <w:kern w:val="0"/>
                <w:sz w:val="24"/>
              </w:rPr>
              <w:t>2023版</w:t>
            </w:r>
            <w:r>
              <w:rPr>
                <w:rFonts w:hint="eastAsia"/>
                <w:b/>
                <w:bCs/>
                <w:color w:val="auto"/>
                <w:kern w:val="0"/>
                <w:sz w:val="24"/>
                <w:lang w:eastAsia="zh-CN"/>
              </w:rPr>
              <w:t>）</w:t>
            </w:r>
            <w:r>
              <w:rPr>
                <w:b/>
                <w:bCs/>
                <w:color w:val="auto"/>
                <w:kern w:val="0"/>
                <w:sz w:val="24"/>
              </w:rPr>
              <w:t>要求相符分析</w:t>
            </w:r>
          </w:p>
          <w:tbl>
            <w:tblPr>
              <w:tblStyle w:val="2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2"/>
              <w:gridCol w:w="500"/>
              <w:gridCol w:w="3912"/>
              <w:gridCol w:w="2453"/>
              <w:gridCol w:w="512"/>
            </w:tblGrid>
            <w:tr w14:paraId="342E1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Align w:val="center"/>
                </w:tcPr>
                <w:p w14:paraId="5BA21BE4">
                  <w:pPr>
                    <w:jc w:val="center"/>
                    <w:rPr>
                      <w:b/>
                      <w:bCs/>
                      <w:color w:val="auto"/>
                      <w:kern w:val="0"/>
                      <w:sz w:val="21"/>
                      <w:szCs w:val="21"/>
                    </w:rPr>
                  </w:pPr>
                  <w:r>
                    <w:rPr>
                      <w:color w:val="auto"/>
                      <w:kern w:val="0"/>
                      <w:sz w:val="21"/>
                      <w:szCs w:val="21"/>
                    </w:rPr>
                    <w:t>单元类别</w:t>
                  </w:r>
                </w:p>
              </w:tc>
              <w:tc>
                <w:tcPr>
                  <w:tcW w:w="317" w:type="pct"/>
                  <w:vAlign w:val="center"/>
                </w:tcPr>
                <w:p w14:paraId="0762D5E2">
                  <w:pPr>
                    <w:jc w:val="center"/>
                    <w:rPr>
                      <w:b/>
                      <w:bCs/>
                      <w:color w:val="auto"/>
                      <w:kern w:val="0"/>
                      <w:sz w:val="21"/>
                      <w:szCs w:val="21"/>
                    </w:rPr>
                  </w:pPr>
                  <w:r>
                    <w:rPr>
                      <w:color w:val="auto"/>
                      <w:sz w:val="21"/>
                      <w:szCs w:val="21"/>
                    </w:rPr>
                    <w:t>维度</w:t>
                  </w:r>
                </w:p>
              </w:tc>
              <w:tc>
                <w:tcPr>
                  <w:tcW w:w="2478" w:type="pct"/>
                  <w:vAlign w:val="center"/>
                </w:tcPr>
                <w:p w14:paraId="77330FEC">
                  <w:pPr>
                    <w:jc w:val="center"/>
                    <w:rPr>
                      <w:b/>
                      <w:bCs/>
                      <w:color w:val="auto"/>
                      <w:kern w:val="0"/>
                      <w:sz w:val="21"/>
                      <w:szCs w:val="21"/>
                    </w:rPr>
                  </w:pPr>
                  <w:r>
                    <w:rPr>
                      <w:color w:val="auto"/>
                      <w:sz w:val="21"/>
                      <w:szCs w:val="21"/>
                    </w:rPr>
                    <w:t>生态环境准入要求</w:t>
                  </w:r>
                </w:p>
              </w:tc>
              <w:tc>
                <w:tcPr>
                  <w:tcW w:w="1554" w:type="pct"/>
                  <w:vAlign w:val="center"/>
                </w:tcPr>
                <w:p w14:paraId="07A0DCBB">
                  <w:pPr>
                    <w:jc w:val="center"/>
                    <w:rPr>
                      <w:b/>
                      <w:bCs/>
                      <w:color w:val="auto"/>
                      <w:kern w:val="0"/>
                      <w:sz w:val="21"/>
                      <w:szCs w:val="21"/>
                    </w:rPr>
                  </w:pPr>
                  <w:r>
                    <w:rPr>
                      <w:color w:val="auto"/>
                      <w:sz w:val="21"/>
                      <w:szCs w:val="21"/>
                    </w:rPr>
                    <w:t>本项目情况</w:t>
                  </w:r>
                </w:p>
              </w:tc>
              <w:tc>
                <w:tcPr>
                  <w:tcW w:w="324" w:type="pct"/>
                  <w:vAlign w:val="center"/>
                </w:tcPr>
                <w:p w14:paraId="116FD27A">
                  <w:pPr>
                    <w:jc w:val="center"/>
                    <w:rPr>
                      <w:rFonts w:hint="default" w:eastAsia="宋体"/>
                      <w:color w:val="auto"/>
                      <w:sz w:val="21"/>
                      <w:szCs w:val="21"/>
                      <w:lang w:val="en-US" w:eastAsia="zh-CN"/>
                    </w:rPr>
                  </w:pPr>
                  <w:r>
                    <w:rPr>
                      <w:rFonts w:hint="eastAsia"/>
                      <w:color w:val="auto"/>
                      <w:sz w:val="21"/>
                      <w:szCs w:val="21"/>
                      <w:lang w:val="en-US" w:eastAsia="zh-CN"/>
                    </w:rPr>
                    <w:t>相符性</w:t>
                  </w:r>
                </w:p>
              </w:tc>
            </w:tr>
            <w:tr w14:paraId="35D5F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restart"/>
                  <w:vAlign w:val="center"/>
                </w:tcPr>
                <w:p w14:paraId="29CCFF4B">
                  <w:pPr>
                    <w:jc w:val="center"/>
                    <w:rPr>
                      <w:b/>
                      <w:bCs/>
                      <w:color w:val="auto"/>
                      <w:kern w:val="0"/>
                      <w:sz w:val="21"/>
                      <w:szCs w:val="21"/>
                    </w:rPr>
                  </w:pPr>
                  <w:r>
                    <w:rPr>
                      <w:rFonts w:hint="eastAsia"/>
                      <w:color w:val="auto"/>
                      <w:kern w:val="0"/>
                      <w:sz w:val="21"/>
                      <w:szCs w:val="21"/>
                    </w:rPr>
                    <w:t>一般</w:t>
                  </w:r>
                  <w:r>
                    <w:rPr>
                      <w:color w:val="auto"/>
                      <w:kern w:val="0"/>
                      <w:sz w:val="21"/>
                      <w:szCs w:val="21"/>
                    </w:rPr>
                    <w:t>管控单元</w:t>
                  </w:r>
                </w:p>
              </w:tc>
              <w:tc>
                <w:tcPr>
                  <w:tcW w:w="317" w:type="pct"/>
                  <w:vMerge w:val="restart"/>
                  <w:vAlign w:val="center"/>
                </w:tcPr>
                <w:p w14:paraId="04F41C09">
                  <w:pPr>
                    <w:jc w:val="center"/>
                    <w:rPr>
                      <w:b/>
                      <w:bCs/>
                      <w:color w:val="auto"/>
                      <w:kern w:val="0"/>
                      <w:sz w:val="21"/>
                      <w:szCs w:val="21"/>
                    </w:rPr>
                  </w:pPr>
                  <w:r>
                    <w:rPr>
                      <w:color w:val="auto"/>
                      <w:sz w:val="21"/>
                      <w:szCs w:val="21"/>
                    </w:rPr>
                    <w:t>空间布局约束</w:t>
                  </w:r>
                </w:p>
              </w:tc>
              <w:tc>
                <w:tcPr>
                  <w:tcW w:w="2478" w:type="pct"/>
                  <w:vAlign w:val="center"/>
                </w:tcPr>
                <w:p w14:paraId="50E736EA">
                  <w:pPr>
                    <w:jc w:val="both"/>
                    <w:rPr>
                      <w:rFonts w:hint="eastAsia" w:eastAsia="宋体"/>
                      <w:b/>
                      <w:bCs/>
                      <w:color w:val="auto"/>
                      <w:kern w:val="0"/>
                      <w:sz w:val="21"/>
                      <w:szCs w:val="21"/>
                      <w:lang w:eastAsia="zh-CN"/>
                    </w:rPr>
                  </w:pPr>
                  <w:r>
                    <w:rPr>
                      <w:color w:val="auto"/>
                      <w:sz w:val="21"/>
                      <w:szCs w:val="21"/>
                    </w:rPr>
                    <w:t>禁止新、扩建不符合国家石化、现代煤化工等产业布局规划的项目。禁止新建、扩建法律法规和相关政策明令禁止的落后产能项目。禁止开展投资建设属于淘汰类的项目及其相关活动，禁止开展投资新建、扩建属于限制类的项目及其相关活动。禁止新建、扩建不符合国家产能置换要求的钢铁、电解铝、水泥熟料、平板玻璃、船舶等严重过剩产能行业的项目。对确有必要建设的，必须严格执行产能置换实施办法，实施减量或等量置换，依法依规办理有关手续。禁止新建、扩建不符合要求的高耗能高排放项目</w:t>
                  </w:r>
                  <w:r>
                    <w:rPr>
                      <w:rFonts w:hint="eastAsia"/>
                      <w:color w:val="auto"/>
                      <w:sz w:val="21"/>
                      <w:szCs w:val="21"/>
                      <w:lang w:eastAsia="zh-CN"/>
                    </w:rPr>
                    <w:t>。</w:t>
                  </w:r>
                </w:p>
              </w:tc>
              <w:tc>
                <w:tcPr>
                  <w:tcW w:w="1554" w:type="pct"/>
                  <w:vAlign w:val="center"/>
                </w:tcPr>
                <w:p w14:paraId="14E99CD4">
                  <w:pPr>
                    <w:jc w:val="both"/>
                    <w:rPr>
                      <w:rFonts w:hint="default"/>
                      <w:color w:val="auto"/>
                      <w:lang w:val="en-US" w:eastAsia="zh-CN"/>
                    </w:rPr>
                  </w:pPr>
                  <w:r>
                    <w:rPr>
                      <w:rFonts w:hint="eastAsia"/>
                      <w:b w:val="0"/>
                      <w:bCs w:val="0"/>
                      <w:color w:val="auto"/>
                      <w:kern w:val="0"/>
                      <w:sz w:val="21"/>
                      <w:szCs w:val="21"/>
                      <w:lang w:val="en-US" w:eastAsia="zh-CN"/>
                    </w:rPr>
                    <w:t>本项目为</w:t>
                  </w:r>
                  <w:r>
                    <w:rPr>
                      <w:rFonts w:hint="eastAsia" w:cs="Times New Roman"/>
                      <w:color w:val="auto"/>
                      <w:kern w:val="2"/>
                      <w:sz w:val="21"/>
                      <w:szCs w:val="21"/>
                      <w:lang w:val="en-US" w:eastAsia="zh-CN" w:bidi="ar-SA"/>
                    </w:rPr>
                    <w:t>包装装潢及其他印刷</w:t>
                  </w:r>
                  <w:r>
                    <w:rPr>
                      <w:rFonts w:hint="eastAsia" w:eastAsia="宋体" w:cs="Times New Roman"/>
                      <w:color w:val="auto"/>
                      <w:kern w:val="2"/>
                      <w:sz w:val="21"/>
                      <w:szCs w:val="21"/>
                      <w:lang w:val="en-US" w:eastAsia="zh-CN" w:bidi="ar-SA"/>
                    </w:rPr>
                    <w:t>行业</w:t>
                  </w:r>
                  <w:r>
                    <w:rPr>
                      <w:rFonts w:hint="eastAsia"/>
                      <w:b w:val="0"/>
                      <w:bCs w:val="0"/>
                      <w:color w:val="auto"/>
                      <w:kern w:val="0"/>
                      <w:sz w:val="21"/>
                      <w:szCs w:val="21"/>
                      <w:lang w:val="en-US" w:eastAsia="zh-CN"/>
                    </w:rPr>
                    <w:t>，不属于石化、现代煤化工、禁止新建、扩建、属于淘汰类、限制类、产能过剩、高耗能高排放项目。</w:t>
                  </w:r>
                </w:p>
              </w:tc>
              <w:tc>
                <w:tcPr>
                  <w:tcW w:w="324" w:type="pct"/>
                  <w:vAlign w:val="center"/>
                </w:tcPr>
                <w:p w14:paraId="5777BA3D">
                  <w:pPr>
                    <w:jc w:val="center"/>
                    <w:rPr>
                      <w:rFonts w:hint="default"/>
                      <w:b w:val="0"/>
                      <w:bCs w:val="0"/>
                      <w:color w:val="auto"/>
                      <w:kern w:val="0"/>
                      <w:sz w:val="21"/>
                      <w:szCs w:val="21"/>
                      <w:lang w:val="en-US" w:eastAsia="zh-CN"/>
                    </w:rPr>
                  </w:pPr>
                  <w:r>
                    <w:rPr>
                      <w:rFonts w:hint="eastAsia"/>
                      <w:b w:val="0"/>
                      <w:bCs w:val="0"/>
                      <w:color w:val="auto"/>
                      <w:kern w:val="0"/>
                      <w:sz w:val="21"/>
                      <w:szCs w:val="21"/>
                      <w:lang w:val="en-US" w:eastAsia="zh-CN"/>
                    </w:rPr>
                    <w:t>不涉及</w:t>
                  </w:r>
                </w:p>
              </w:tc>
            </w:tr>
            <w:tr w14:paraId="5FC54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5269A23B">
                  <w:pPr>
                    <w:jc w:val="center"/>
                    <w:rPr>
                      <w:color w:val="auto"/>
                      <w:kern w:val="0"/>
                      <w:sz w:val="21"/>
                      <w:szCs w:val="21"/>
                    </w:rPr>
                  </w:pPr>
                </w:p>
              </w:tc>
              <w:tc>
                <w:tcPr>
                  <w:tcW w:w="317" w:type="pct"/>
                  <w:vMerge w:val="continue"/>
                  <w:vAlign w:val="center"/>
                </w:tcPr>
                <w:p w14:paraId="2DFD0F72">
                  <w:pPr>
                    <w:jc w:val="center"/>
                    <w:rPr>
                      <w:color w:val="auto"/>
                      <w:sz w:val="21"/>
                      <w:szCs w:val="21"/>
                    </w:rPr>
                  </w:pPr>
                </w:p>
              </w:tc>
              <w:tc>
                <w:tcPr>
                  <w:tcW w:w="2478" w:type="pct"/>
                  <w:vAlign w:val="center"/>
                </w:tcPr>
                <w:p w14:paraId="3434783B">
                  <w:pPr>
                    <w:jc w:val="both"/>
                    <w:rPr>
                      <w:color w:val="auto"/>
                      <w:sz w:val="21"/>
                      <w:szCs w:val="21"/>
                    </w:rPr>
                  </w:pPr>
                  <w:r>
                    <w:rPr>
                      <w:color w:val="auto"/>
                      <w:sz w:val="21"/>
                      <w:szCs w:val="21"/>
                    </w:rPr>
                    <w:t>县级及以上城市建成区原则上不再新建 35 蒸吨/小时及以下燃煤锅炉。</w:t>
                  </w:r>
                </w:p>
              </w:tc>
              <w:tc>
                <w:tcPr>
                  <w:tcW w:w="1554" w:type="pct"/>
                  <w:vAlign w:val="center"/>
                </w:tcPr>
                <w:p w14:paraId="75AFC759">
                  <w:pPr>
                    <w:jc w:val="center"/>
                    <w:rPr>
                      <w:rFonts w:hint="eastAsia" w:eastAsia="宋体"/>
                      <w:color w:val="auto"/>
                      <w:sz w:val="21"/>
                      <w:szCs w:val="21"/>
                      <w:lang w:eastAsia="zh-CN"/>
                    </w:rPr>
                  </w:pPr>
                  <w:r>
                    <w:rPr>
                      <w:color w:val="auto"/>
                      <w:sz w:val="21"/>
                      <w:szCs w:val="21"/>
                    </w:rPr>
                    <w:t>本项目不新建燃煤锅炉</w:t>
                  </w:r>
                </w:p>
              </w:tc>
              <w:tc>
                <w:tcPr>
                  <w:tcW w:w="324" w:type="pct"/>
                  <w:vAlign w:val="center"/>
                </w:tcPr>
                <w:p w14:paraId="522D8E7B">
                  <w:pPr>
                    <w:jc w:val="center"/>
                    <w:rPr>
                      <w:rFonts w:hint="default"/>
                      <w:color w:val="auto"/>
                      <w:sz w:val="21"/>
                      <w:szCs w:val="21"/>
                      <w:lang w:val="en-US"/>
                    </w:rPr>
                  </w:pPr>
                  <w:r>
                    <w:rPr>
                      <w:rFonts w:hint="eastAsia"/>
                      <w:b w:val="0"/>
                      <w:bCs w:val="0"/>
                      <w:color w:val="auto"/>
                      <w:kern w:val="0"/>
                      <w:sz w:val="21"/>
                      <w:szCs w:val="21"/>
                      <w:lang w:val="en-US" w:eastAsia="zh-CN"/>
                    </w:rPr>
                    <w:t>不涉及</w:t>
                  </w:r>
                </w:p>
              </w:tc>
            </w:tr>
            <w:tr w14:paraId="479DE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4" w:type="pct"/>
                  <w:vMerge w:val="continue"/>
                  <w:vAlign w:val="center"/>
                </w:tcPr>
                <w:p w14:paraId="36710054">
                  <w:pPr>
                    <w:jc w:val="center"/>
                    <w:rPr>
                      <w:color w:val="auto"/>
                      <w:kern w:val="0"/>
                      <w:sz w:val="21"/>
                      <w:szCs w:val="21"/>
                    </w:rPr>
                  </w:pPr>
                </w:p>
              </w:tc>
              <w:tc>
                <w:tcPr>
                  <w:tcW w:w="317" w:type="pct"/>
                  <w:vMerge w:val="continue"/>
                  <w:vAlign w:val="center"/>
                </w:tcPr>
                <w:p w14:paraId="67683103">
                  <w:pPr>
                    <w:jc w:val="center"/>
                    <w:rPr>
                      <w:color w:val="auto"/>
                      <w:sz w:val="21"/>
                      <w:szCs w:val="21"/>
                    </w:rPr>
                  </w:pPr>
                </w:p>
              </w:tc>
              <w:tc>
                <w:tcPr>
                  <w:tcW w:w="2478" w:type="pct"/>
                  <w:vAlign w:val="center"/>
                </w:tcPr>
                <w:p w14:paraId="58A31C7F">
                  <w:pPr>
                    <w:jc w:val="both"/>
                    <w:rPr>
                      <w:color w:val="auto"/>
                      <w:sz w:val="21"/>
                      <w:szCs w:val="21"/>
                    </w:rPr>
                  </w:pPr>
                  <w:r>
                    <w:rPr>
                      <w:color w:val="auto"/>
                      <w:sz w:val="21"/>
                      <w:szCs w:val="21"/>
                    </w:rPr>
                    <w:t>禁止在长江干支流、重要湖泊岸线1公里范围内新建、扩建化工园区和化工项目。禁止在合规园区外新建、扩建钢铁、石化、化工、焦化、建材、有色、制浆造纸等高污染项目。</w:t>
                  </w:r>
                </w:p>
              </w:tc>
              <w:tc>
                <w:tcPr>
                  <w:tcW w:w="1554" w:type="pct"/>
                  <w:vAlign w:val="center"/>
                </w:tcPr>
                <w:p w14:paraId="6AAE095C">
                  <w:pPr>
                    <w:jc w:val="both"/>
                    <w:rPr>
                      <w:rFonts w:hint="default"/>
                      <w:color w:val="auto"/>
                      <w:lang w:val="en-US" w:eastAsia="zh-CN"/>
                    </w:rPr>
                  </w:pPr>
                  <w:r>
                    <w:rPr>
                      <w:rFonts w:hint="eastAsia"/>
                      <w:color w:val="auto"/>
                      <w:sz w:val="21"/>
                      <w:szCs w:val="21"/>
                      <w:lang w:val="en-US" w:eastAsia="zh-CN"/>
                    </w:rPr>
                    <w:t>本项目不属于化工、钢铁、石化、焦化、建材、有色、制浆造纸项目。</w:t>
                  </w:r>
                </w:p>
              </w:tc>
              <w:tc>
                <w:tcPr>
                  <w:tcW w:w="324" w:type="pct"/>
                  <w:vAlign w:val="center"/>
                </w:tcPr>
                <w:p w14:paraId="66C940A8">
                  <w:pPr>
                    <w:jc w:val="center"/>
                    <w:rPr>
                      <w:rFonts w:hint="eastAsia"/>
                      <w:color w:val="auto"/>
                      <w:sz w:val="21"/>
                      <w:szCs w:val="21"/>
                      <w:lang w:val="en-US" w:eastAsia="zh-CN"/>
                    </w:rPr>
                  </w:pPr>
                  <w:r>
                    <w:rPr>
                      <w:rFonts w:hint="eastAsia"/>
                      <w:b w:val="0"/>
                      <w:bCs w:val="0"/>
                      <w:color w:val="auto"/>
                      <w:kern w:val="0"/>
                      <w:sz w:val="21"/>
                      <w:szCs w:val="21"/>
                      <w:lang w:val="en-US" w:eastAsia="zh-CN"/>
                    </w:rPr>
                    <w:t>不涉及</w:t>
                  </w:r>
                </w:p>
              </w:tc>
            </w:tr>
            <w:tr w14:paraId="34E34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3205B8D4">
                  <w:pPr>
                    <w:jc w:val="center"/>
                    <w:rPr>
                      <w:color w:val="auto"/>
                      <w:kern w:val="0"/>
                      <w:sz w:val="21"/>
                      <w:szCs w:val="21"/>
                    </w:rPr>
                  </w:pPr>
                </w:p>
              </w:tc>
              <w:tc>
                <w:tcPr>
                  <w:tcW w:w="317" w:type="pct"/>
                  <w:vMerge w:val="continue"/>
                  <w:vAlign w:val="center"/>
                </w:tcPr>
                <w:p w14:paraId="52461E0C">
                  <w:pPr>
                    <w:jc w:val="center"/>
                    <w:rPr>
                      <w:color w:val="auto"/>
                      <w:sz w:val="21"/>
                      <w:szCs w:val="21"/>
                    </w:rPr>
                  </w:pPr>
                </w:p>
              </w:tc>
              <w:tc>
                <w:tcPr>
                  <w:tcW w:w="2478" w:type="pct"/>
                  <w:vAlign w:val="center"/>
                </w:tcPr>
                <w:p w14:paraId="447FBEB7">
                  <w:pPr>
                    <w:jc w:val="both"/>
                    <w:rPr>
                      <w:color w:val="auto"/>
                      <w:sz w:val="21"/>
                      <w:szCs w:val="21"/>
                    </w:rPr>
                  </w:pPr>
                  <w:r>
                    <w:rPr>
                      <w:color w:val="auto"/>
                      <w:sz w:val="21"/>
                      <w:szCs w:val="21"/>
                    </w:rPr>
                    <w:t>禁止建设不符合国家和省级港口布局规划以及港口总体规划的码头项目。</w:t>
                  </w:r>
                </w:p>
              </w:tc>
              <w:tc>
                <w:tcPr>
                  <w:tcW w:w="1554" w:type="pct"/>
                  <w:vAlign w:val="center"/>
                </w:tcPr>
                <w:p w14:paraId="447A9D85">
                  <w:pPr>
                    <w:jc w:val="center"/>
                    <w:rPr>
                      <w:rFonts w:hint="default" w:eastAsia="宋体"/>
                      <w:color w:val="auto"/>
                      <w:sz w:val="21"/>
                      <w:szCs w:val="21"/>
                      <w:lang w:val="en-US" w:eastAsia="zh-CN"/>
                    </w:rPr>
                  </w:pPr>
                  <w:r>
                    <w:rPr>
                      <w:color w:val="auto"/>
                      <w:sz w:val="21"/>
                      <w:szCs w:val="21"/>
                    </w:rPr>
                    <w:t>本项目不涉及</w:t>
                  </w:r>
                  <w:r>
                    <w:rPr>
                      <w:rFonts w:hint="eastAsia"/>
                      <w:color w:val="auto"/>
                      <w:sz w:val="21"/>
                      <w:szCs w:val="21"/>
                      <w:lang w:val="en-US" w:eastAsia="zh-CN"/>
                    </w:rPr>
                    <w:t>码头项目</w:t>
                  </w:r>
                </w:p>
              </w:tc>
              <w:tc>
                <w:tcPr>
                  <w:tcW w:w="324" w:type="pct"/>
                  <w:shd w:val="clear" w:color="auto" w:fill="auto"/>
                  <w:vAlign w:val="center"/>
                </w:tcPr>
                <w:p w14:paraId="76414E7E">
                  <w:pPr>
                    <w:jc w:val="center"/>
                    <w:rPr>
                      <w:rFonts w:hint="default" w:ascii="Times New Roman" w:hAnsi="Times New Roman" w:eastAsia="宋体" w:cs="Times New Roman"/>
                      <w:color w:val="auto"/>
                      <w:kern w:val="2"/>
                      <w:sz w:val="21"/>
                      <w:szCs w:val="21"/>
                      <w:lang w:val="en-US" w:eastAsia="zh-CN" w:bidi="ar-SA"/>
                    </w:rPr>
                  </w:pPr>
                  <w:r>
                    <w:rPr>
                      <w:rFonts w:hint="eastAsia"/>
                      <w:b w:val="0"/>
                      <w:bCs w:val="0"/>
                      <w:color w:val="auto"/>
                      <w:kern w:val="0"/>
                      <w:sz w:val="21"/>
                      <w:szCs w:val="21"/>
                      <w:lang w:val="en-US" w:eastAsia="zh-CN"/>
                    </w:rPr>
                    <w:t>不涉及</w:t>
                  </w:r>
                </w:p>
              </w:tc>
            </w:tr>
            <w:tr w14:paraId="30B09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6F3B9158">
                  <w:pPr>
                    <w:jc w:val="center"/>
                    <w:rPr>
                      <w:color w:val="auto"/>
                      <w:kern w:val="0"/>
                      <w:sz w:val="21"/>
                      <w:szCs w:val="21"/>
                    </w:rPr>
                  </w:pPr>
                </w:p>
              </w:tc>
              <w:tc>
                <w:tcPr>
                  <w:tcW w:w="317" w:type="pct"/>
                  <w:vMerge w:val="continue"/>
                  <w:vAlign w:val="center"/>
                </w:tcPr>
                <w:p w14:paraId="74AF64A6">
                  <w:pPr>
                    <w:jc w:val="center"/>
                    <w:rPr>
                      <w:color w:val="auto"/>
                      <w:sz w:val="21"/>
                      <w:szCs w:val="21"/>
                    </w:rPr>
                  </w:pPr>
                </w:p>
              </w:tc>
              <w:tc>
                <w:tcPr>
                  <w:tcW w:w="2478" w:type="pct"/>
                  <w:vAlign w:val="center"/>
                </w:tcPr>
                <w:p w14:paraId="25512DF2">
                  <w:pPr>
                    <w:jc w:val="both"/>
                    <w:rPr>
                      <w:color w:val="auto"/>
                      <w:sz w:val="21"/>
                      <w:szCs w:val="21"/>
                    </w:rPr>
                  </w:pPr>
                  <w:r>
                    <w:rPr>
                      <w:color w:val="auto"/>
                      <w:sz w:val="21"/>
                      <w:szCs w:val="21"/>
                    </w:rPr>
                    <w:t>禁止在江河、湖泊、运河、渠道、水库最高水位线以下的滩地和岸坡堆放、存贮固体废弃物和其他污染物。</w:t>
                  </w:r>
                </w:p>
              </w:tc>
              <w:tc>
                <w:tcPr>
                  <w:tcW w:w="1554" w:type="pct"/>
                  <w:vAlign w:val="center"/>
                </w:tcPr>
                <w:p w14:paraId="199268A5">
                  <w:pPr>
                    <w:jc w:val="center"/>
                    <w:rPr>
                      <w:rFonts w:hint="default" w:eastAsia="宋体"/>
                      <w:color w:val="auto"/>
                      <w:sz w:val="21"/>
                      <w:szCs w:val="21"/>
                      <w:lang w:val="en-US" w:eastAsia="zh-CN"/>
                    </w:rPr>
                  </w:pPr>
                  <w:r>
                    <w:rPr>
                      <w:rFonts w:hint="eastAsia"/>
                      <w:color w:val="auto"/>
                      <w:sz w:val="21"/>
                      <w:szCs w:val="21"/>
                      <w:lang w:val="en-US" w:eastAsia="zh-CN"/>
                    </w:rPr>
                    <w:t>项目固体废物妥善处置</w:t>
                  </w:r>
                </w:p>
              </w:tc>
              <w:tc>
                <w:tcPr>
                  <w:tcW w:w="324" w:type="pct"/>
                  <w:vAlign w:val="center"/>
                </w:tcPr>
                <w:p w14:paraId="4C924B4F">
                  <w:pPr>
                    <w:jc w:val="center"/>
                    <w:rPr>
                      <w:rFonts w:hint="eastAsia"/>
                      <w:color w:val="auto"/>
                      <w:sz w:val="21"/>
                      <w:szCs w:val="21"/>
                      <w:lang w:val="en-US" w:eastAsia="zh-CN"/>
                    </w:rPr>
                  </w:pPr>
                  <w:r>
                    <w:rPr>
                      <w:rFonts w:hint="eastAsia"/>
                      <w:b w:val="0"/>
                      <w:bCs w:val="0"/>
                      <w:color w:val="auto"/>
                      <w:kern w:val="0"/>
                      <w:sz w:val="21"/>
                      <w:szCs w:val="21"/>
                      <w:lang w:val="en-US" w:eastAsia="zh-CN"/>
                    </w:rPr>
                    <w:t>符合</w:t>
                  </w:r>
                </w:p>
              </w:tc>
            </w:tr>
            <w:tr w14:paraId="094FD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2B59AD5B">
                  <w:pPr>
                    <w:jc w:val="center"/>
                    <w:rPr>
                      <w:color w:val="auto"/>
                      <w:kern w:val="0"/>
                      <w:sz w:val="21"/>
                      <w:szCs w:val="21"/>
                    </w:rPr>
                  </w:pPr>
                </w:p>
              </w:tc>
              <w:tc>
                <w:tcPr>
                  <w:tcW w:w="317" w:type="pct"/>
                  <w:vMerge w:val="continue"/>
                  <w:vAlign w:val="center"/>
                </w:tcPr>
                <w:p w14:paraId="24B96A00">
                  <w:pPr>
                    <w:jc w:val="center"/>
                    <w:rPr>
                      <w:color w:val="auto"/>
                      <w:sz w:val="21"/>
                      <w:szCs w:val="21"/>
                    </w:rPr>
                  </w:pPr>
                </w:p>
              </w:tc>
              <w:tc>
                <w:tcPr>
                  <w:tcW w:w="2478" w:type="pct"/>
                  <w:vAlign w:val="center"/>
                </w:tcPr>
                <w:p w14:paraId="05D500DE">
                  <w:pPr>
                    <w:jc w:val="both"/>
                    <w:rPr>
                      <w:color w:val="auto"/>
                      <w:sz w:val="21"/>
                      <w:szCs w:val="21"/>
                    </w:rPr>
                  </w:pPr>
                  <w:r>
                    <w:rPr>
                      <w:color w:val="auto"/>
                      <w:sz w:val="21"/>
                      <w:szCs w:val="21"/>
                    </w:rPr>
                    <w:t>城市建成区内人口密集区、环境脆弱敏感区周边的钢铁、石油、化工、有色金属、水泥、平板玻璃、建筑陶瓷等行业中的高排放、高污染项目，应当逐步进行搬迁、改造或者转型、退出。</w:t>
                  </w:r>
                </w:p>
              </w:tc>
              <w:tc>
                <w:tcPr>
                  <w:tcW w:w="1554" w:type="pct"/>
                  <w:vAlign w:val="center"/>
                </w:tcPr>
                <w:p w14:paraId="26C8F100">
                  <w:pPr>
                    <w:jc w:val="both"/>
                    <w:rPr>
                      <w:rFonts w:hint="eastAsia" w:eastAsia="宋体"/>
                      <w:color w:val="auto"/>
                      <w:sz w:val="21"/>
                      <w:szCs w:val="21"/>
                      <w:lang w:val="en-US" w:eastAsia="zh-CN"/>
                    </w:rPr>
                  </w:pPr>
                  <w:r>
                    <w:rPr>
                      <w:color w:val="auto"/>
                      <w:sz w:val="21"/>
                      <w:szCs w:val="21"/>
                    </w:rPr>
                    <w:t>本项目不</w:t>
                  </w:r>
                  <w:r>
                    <w:rPr>
                      <w:rFonts w:hint="eastAsia"/>
                      <w:color w:val="auto"/>
                      <w:sz w:val="21"/>
                      <w:szCs w:val="21"/>
                      <w:lang w:val="en-US" w:eastAsia="zh-CN"/>
                    </w:rPr>
                    <w:t>属于</w:t>
                  </w:r>
                  <w:r>
                    <w:rPr>
                      <w:color w:val="auto"/>
                      <w:sz w:val="21"/>
                      <w:szCs w:val="21"/>
                    </w:rPr>
                    <w:t>钢铁、石油、化工、有色金属、水泥、平板玻璃、建筑陶瓷等</w:t>
                  </w:r>
                  <w:r>
                    <w:rPr>
                      <w:rFonts w:hint="eastAsia"/>
                      <w:color w:val="auto"/>
                      <w:sz w:val="21"/>
                      <w:szCs w:val="21"/>
                      <w:lang w:val="en-US" w:eastAsia="zh-CN"/>
                    </w:rPr>
                    <w:t>行业。</w:t>
                  </w:r>
                </w:p>
              </w:tc>
              <w:tc>
                <w:tcPr>
                  <w:tcW w:w="508" w:type="dxa"/>
                  <w:vAlign w:val="center"/>
                </w:tcPr>
                <w:p w14:paraId="69855E2B">
                  <w:pPr>
                    <w:jc w:val="center"/>
                    <w:rPr>
                      <w:color w:val="auto"/>
                      <w:sz w:val="21"/>
                      <w:szCs w:val="21"/>
                    </w:rPr>
                  </w:pPr>
                  <w:r>
                    <w:rPr>
                      <w:rFonts w:hint="eastAsia"/>
                      <w:b w:val="0"/>
                      <w:bCs w:val="0"/>
                      <w:color w:val="auto"/>
                      <w:kern w:val="0"/>
                      <w:sz w:val="21"/>
                      <w:szCs w:val="21"/>
                      <w:lang w:val="en-US" w:eastAsia="zh-CN"/>
                    </w:rPr>
                    <w:t>不涉及</w:t>
                  </w:r>
                </w:p>
              </w:tc>
            </w:tr>
            <w:tr w14:paraId="68491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4" w:type="pct"/>
                  <w:vMerge w:val="continue"/>
                  <w:vAlign w:val="center"/>
                </w:tcPr>
                <w:p w14:paraId="14A7A0CE">
                  <w:pPr>
                    <w:jc w:val="center"/>
                    <w:rPr>
                      <w:color w:val="auto"/>
                      <w:kern w:val="0"/>
                      <w:sz w:val="21"/>
                      <w:szCs w:val="21"/>
                    </w:rPr>
                  </w:pPr>
                </w:p>
              </w:tc>
              <w:tc>
                <w:tcPr>
                  <w:tcW w:w="317" w:type="pct"/>
                  <w:vMerge w:val="continue"/>
                  <w:vAlign w:val="center"/>
                </w:tcPr>
                <w:p w14:paraId="373F9693">
                  <w:pPr>
                    <w:jc w:val="center"/>
                    <w:rPr>
                      <w:color w:val="auto"/>
                      <w:sz w:val="21"/>
                      <w:szCs w:val="21"/>
                    </w:rPr>
                  </w:pPr>
                </w:p>
              </w:tc>
              <w:tc>
                <w:tcPr>
                  <w:tcW w:w="2478" w:type="pct"/>
                  <w:vAlign w:val="center"/>
                </w:tcPr>
                <w:p w14:paraId="07E534DC">
                  <w:pPr>
                    <w:jc w:val="both"/>
                    <w:rPr>
                      <w:color w:val="auto"/>
                      <w:sz w:val="21"/>
                      <w:szCs w:val="21"/>
                    </w:rPr>
                  </w:pPr>
                  <w:r>
                    <w:rPr>
                      <w:color w:val="auto"/>
                      <w:sz w:val="21"/>
                      <w:szCs w:val="21"/>
                    </w:rPr>
                    <w:t>禁止在居民区和学校、医院、疗养院、养老院等单位周边新建、改扩建可能造成土壤污染的建设项目</w:t>
                  </w:r>
                  <w:r>
                    <w:rPr>
                      <w:rFonts w:hint="eastAsia"/>
                      <w:color w:val="auto"/>
                      <w:sz w:val="21"/>
                      <w:szCs w:val="21"/>
                      <w:lang w:eastAsia="zh-CN"/>
                    </w:rPr>
                    <w:t>：</w:t>
                  </w:r>
                  <w:r>
                    <w:rPr>
                      <w:color w:val="auto"/>
                      <w:sz w:val="21"/>
                      <w:szCs w:val="21"/>
                    </w:rPr>
                    <w:t>在永久基本旱地集中区域，不得新建可能造成土壤污染的项目，已经建成的，限期关闭拆除。</w:t>
                  </w:r>
                </w:p>
              </w:tc>
              <w:tc>
                <w:tcPr>
                  <w:tcW w:w="1554" w:type="pct"/>
                  <w:vAlign w:val="center"/>
                </w:tcPr>
                <w:p w14:paraId="20334C76">
                  <w:pPr>
                    <w:jc w:val="both"/>
                    <w:rPr>
                      <w:rFonts w:hint="default" w:eastAsia="宋体"/>
                      <w:color w:val="auto"/>
                      <w:sz w:val="21"/>
                      <w:szCs w:val="21"/>
                      <w:u w:val="none"/>
                      <w:lang w:val="en-US" w:eastAsia="zh-CN"/>
                    </w:rPr>
                  </w:pPr>
                  <w:r>
                    <w:rPr>
                      <w:color w:val="auto"/>
                      <w:sz w:val="21"/>
                      <w:szCs w:val="21"/>
                      <w:u w:val="none"/>
                    </w:rPr>
                    <w:t>本项目</w:t>
                  </w:r>
                  <w:r>
                    <w:rPr>
                      <w:rFonts w:hint="eastAsia"/>
                      <w:color w:val="auto"/>
                      <w:sz w:val="21"/>
                      <w:szCs w:val="21"/>
                      <w:u w:val="none"/>
                      <w:lang w:val="en-US" w:eastAsia="zh-CN"/>
                    </w:rPr>
                    <w:t>位于江西省宜春市高安市蓝坊镇</w:t>
                  </w:r>
                  <w:r>
                    <w:rPr>
                      <w:rFonts w:hint="eastAsia" w:ascii="宋体" w:hAnsi="宋体" w:eastAsia="宋体" w:cs="宋体"/>
                      <w:color w:val="auto"/>
                      <w:sz w:val="21"/>
                      <w:szCs w:val="21"/>
                      <w:lang w:val="en-US" w:eastAsia="zh-CN"/>
                    </w:rPr>
                    <w:t>燕窝村</w:t>
                  </w:r>
                  <w:r>
                    <w:rPr>
                      <w:rFonts w:hint="eastAsia" w:cs="Times New Roman"/>
                      <w:color w:val="auto"/>
                      <w:kern w:val="24"/>
                      <w:sz w:val="21"/>
                      <w:szCs w:val="21"/>
                      <w:u w:val="none"/>
                      <w:lang w:val="en-US" w:eastAsia="zh-CN" w:bidi="ar"/>
                    </w:rPr>
                    <w:t>，周边无</w:t>
                  </w:r>
                  <w:r>
                    <w:rPr>
                      <w:color w:val="auto"/>
                      <w:sz w:val="21"/>
                      <w:szCs w:val="21"/>
                      <w:u w:val="none"/>
                    </w:rPr>
                    <w:t>居民区和学校、医院、疗养院、养老院等单位</w:t>
                  </w:r>
                  <w:r>
                    <w:rPr>
                      <w:rFonts w:hint="eastAsia"/>
                      <w:color w:val="auto"/>
                      <w:sz w:val="21"/>
                      <w:szCs w:val="21"/>
                      <w:u w:val="none"/>
                      <w:lang w:eastAsia="zh-CN"/>
                    </w:rPr>
                    <w:t>；</w:t>
                  </w:r>
                  <w:r>
                    <w:rPr>
                      <w:rFonts w:hint="eastAsia"/>
                      <w:color w:val="auto"/>
                      <w:sz w:val="21"/>
                      <w:szCs w:val="21"/>
                      <w:u w:val="none"/>
                      <w:lang w:val="en-US" w:eastAsia="zh-CN"/>
                    </w:rPr>
                    <w:t>项目所在地不属于永久基本旱地集中区域。</w:t>
                  </w:r>
                </w:p>
              </w:tc>
              <w:tc>
                <w:tcPr>
                  <w:tcW w:w="324" w:type="pct"/>
                  <w:vAlign w:val="center"/>
                </w:tcPr>
                <w:p w14:paraId="2BB37D0A">
                  <w:pPr>
                    <w:jc w:val="center"/>
                    <w:rPr>
                      <w:color w:val="auto"/>
                      <w:sz w:val="21"/>
                      <w:szCs w:val="21"/>
                    </w:rPr>
                  </w:pPr>
                  <w:r>
                    <w:rPr>
                      <w:rFonts w:hint="eastAsia"/>
                      <w:b w:val="0"/>
                      <w:bCs w:val="0"/>
                      <w:color w:val="auto"/>
                      <w:kern w:val="0"/>
                      <w:sz w:val="21"/>
                      <w:szCs w:val="21"/>
                      <w:lang w:val="en-US" w:eastAsia="zh-CN"/>
                    </w:rPr>
                    <w:t>不涉及</w:t>
                  </w:r>
                </w:p>
              </w:tc>
            </w:tr>
            <w:tr w14:paraId="5E301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4AABEAEA">
                  <w:pPr>
                    <w:jc w:val="center"/>
                    <w:rPr>
                      <w:color w:val="auto"/>
                      <w:kern w:val="0"/>
                      <w:sz w:val="21"/>
                      <w:szCs w:val="21"/>
                    </w:rPr>
                  </w:pPr>
                </w:p>
              </w:tc>
              <w:tc>
                <w:tcPr>
                  <w:tcW w:w="317" w:type="pct"/>
                  <w:vMerge w:val="restart"/>
                  <w:vAlign w:val="center"/>
                </w:tcPr>
                <w:p w14:paraId="78796A81">
                  <w:pPr>
                    <w:jc w:val="center"/>
                    <w:rPr>
                      <w:color w:val="auto"/>
                      <w:sz w:val="21"/>
                      <w:szCs w:val="21"/>
                    </w:rPr>
                  </w:pPr>
                  <w:r>
                    <w:rPr>
                      <w:color w:val="auto"/>
                      <w:sz w:val="21"/>
                      <w:szCs w:val="21"/>
                    </w:rPr>
                    <w:t>污染物排放管控</w:t>
                  </w:r>
                </w:p>
              </w:tc>
              <w:tc>
                <w:tcPr>
                  <w:tcW w:w="2478" w:type="pct"/>
                  <w:vAlign w:val="center"/>
                </w:tcPr>
                <w:p w14:paraId="7311365B">
                  <w:pPr>
                    <w:jc w:val="both"/>
                    <w:rPr>
                      <w:color w:val="auto"/>
                      <w:sz w:val="21"/>
                      <w:szCs w:val="21"/>
                    </w:rPr>
                  </w:pPr>
                  <w:r>
                    <w:rPr>
                      <w:color w:val="auto"/>
                      <w:sz w:val="21"/>
                      <w:szCs w:val="21"/>
                    </w:rPr>
                    <w:t>城镇开发边界内划定的特别用途区原则上禁止任何新增城镇集中建设行为，实施建设用地总量控制，原则上不得新增除市政基础设施、交通物流基础设施、生态修复工程、必要的配套及游憩设施外的其他城镇建设用地。</w:t>
                  </w:r>
                </w:p>
              </w:tc>
              <w:tc>
                <w:tcPr>
                  <w:tcW w:w="1554" w:type="pct"/>
                  <w:vAlign w:val="center"/>
                </w:tcPr>
                <w:p w14:paraId="41FA231A">
                  <w:pPr>
                    <w:jc w:val="center"/>
                    <w:rPr>
                      <w:rFonts w:hint="default" w:eastAsia="宋体"/>
                      <w:color w:val="auto"/>
                      <w:sz w:val="21"/>
                      <w:szCs w:val="21"/>
                      <w:lang w:val="en-US" w:eastAsia="zh-CN"/>
                    </w:rPr>
                  </w:pPr>
                  <w:r>
                    <w:rPr>
                      <w:rFonts w:hint="eastAsia"/>
                      <w:color w:val="auto"/>
                      <w:sz w:val="21"/>
                      <w:szCs w:val="21"/>
                      <w:lang w:val="en-US" w:eastAsia="zh-CN"/>
                    </w:rPr>
                    <w:t>本项目不涉及</w:t>
                  </w:r>
                </w:p>
              </w:tc>
              <w:tc>
                <w:tcPr>
                  <w:tcW w:w="324" w:type="pct"/>
                  <w:shd w:val="clear" w:color="auto" w:fill="auto"/>
                  <w:vAlign w:val="center"/>
                </w:tcPr>
                <w:p w14:paraId="23215342">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不涉及</w:t>
                  </w:r>
                </w:p>
              </w:tc>
            </w:tr>
            <w:tr w14:paraId="4C042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trPr>
              <w:tc>
                <w:tcPr>
                  <w:tcW w:w="324" w:type="pct"/>
                  <w:vMerge w:val="continue"/>
                  <w:vAlign w:val="center"/>
                </w:tcPr>
                <w:p w14:paraId="3B4B1520">
                  <w:pPr>
                    <w:jc w:val="center"/>
                    <w:rPr>
                      <w:color w:val="auto"/>
                      <w:kern w:val="0"/>
                      <w:sz w:val="21"/>
                      <w:szCs w:val="21"/>
                    </w:rPr>
                  </w:pPr>
                </w:p>
              </w:tc>
              <w:tc>
                <w:tcPr>
                  <w:tcW w:w="317" w:type="pct"/>
                  <w:vMerge w:val="continue"/>
                  <w:vAlign w:val="center"/>
                </w:tcPr>
                <w:p w14:paraId="5D505473">
                  <w:pPr>
                    <w:jc w:val="center"/>
                    <w:rPr>
                      <w:color w:val="auto"/>
                      <w:sz w:val="21"/>
                      <w:szCs w:val="21"/>
                    </w:rPr>
                  </w:pPr>
                </w:p>
              </w:tc>
              <w:tc>
                <w:tcPr>
                  <w:tcW w:w="2478" w:type="pct"/>
                  <w:vAlign w:val="center"/>
                </w:tcPr>
                <w:p w14:paraId="57ACC405">
                  <w:pPr>
                    <w:jc w:val="both"/>
                    <w:rPr>
                      <w:rFonts w:hint="eastAsia" w:eastAsia="宋体"/>
                      <w:color w:val="auto"/>
                      <w:sz w:val="21"/>
                      <w:szCs w:val="21"/>
                      <w:lang w:eastAsia="zh-CN"/>
                    </w:rPr>
                  </w:pPr>
                  <w:r>
                    <w:rPr>
                      <w:color w:val="auto"/>
                      <w:sz w:val="21"/>
                      <w:szCs w:val="21"/>
                    </w:rPr>
                    <w:t>到2025年</w:t>
                  </w:r>
                  <w:r>
                    <w:rPr>
                      <w:rFonts w:hint="eastAsia"/>
                      <w:color w:val="auto"/>
                      <w:sz w:val="21"/>
                      <w:szCs w:val="21"/>
                      <w:lang w:eastAsia="zh-CN"/>
                    </w:rPr>
                    <w:t>，</w:t>
                  </w:r>
                  <w:r>
                    <w:rPr>
                      <w:color w:val="auto"/>
                      <w:sz w:val="21"/>
                      <w:szCs w:val="21"/>
                    </w:rPr>
                    <w:t>全省单位生产总值能源消耗比2020年下降 14%，力争达到 14.5%，能源消费总量得到合理控制，氨氧化物、挥发性有机物、化学需氧量、氨氮重点工程减排量分别达到 2.73万吨、1.41 万吨、8.41 万吨、0.55 万吨</w:t>
                  </w:r>
                  <w:r>
                    <w:rPr>
                      <w:rFonts w:hint="eastAsia"/>
                      <w:color w:val="auto"/>
                      <w:sz w:val="21"/>
                      <w:szCs w:val="21"/>
                      <w:lang w:eastAsia="zh-CN"/>
                    </w:rPr>
                    <w:t>。</w:t>
                  </w:r>
                </w:p>
              </w:tc>
              <w:tc>
                <w:tcPr>
                  <w:tcW w:w="1554" w:type="pct"/>
                  <w:vAlign w:val="center"/>
                </w:tcPr>
                <w:p w14:paraId="56FCD2CC">
                  <w:pPr>
                    <w:jc w:val="center"/>
                    <w:rPr>
                      <w:rFonts w:hint="default" w:eastAsia="宋体"/>
                      <w:color w:val="auto"/>
                      <w:sz w:val="21"/>
                      <w:szCs w:val="21"/>
                      <w:lang w:val="en-US" w:eastAsia="zh-CN"/>
                    </w:rPr>
                  </w:pPr>
                  <w:r>
                    <w:rPr>
                      <w:color w:val="auto"/>
                      <w:sz w:val="21"/>
                      <w:szCs w:val="21"/>
                    </w:rPr>
                    <w:t>本项目执行总量控制</w:t>
                  </w:r>
                </w:p>
              </w:tc>
              <w:tc>
                <w:tcPr>
                  <w:tcW w:w="324" w:type="pct"/>
                  <w:vAlign w:val="center"/>
                </w:tcPr>
                <w:p w14:paraId="7DFF7ADA">
                  <w:pPr>
                    <w:jc w:val="center"/>
                    <w:rPr>
                      <w:color w:val="auto"/>
                      <w:sz w:val="21"/>
                      <w:szCs w:val="21"/>
                    </w:rPr>
                  </w:pPr>
                  <w:r>
                    <w:rPr>
                      <w:rFonts w:hint="eastAsia"/>
                      <w:b w:val="0"/>
                      <w:bCs w:val="0"/>
                      <w:color w:val="auto"/>
                      <w:kern w:val="0"/>
                      <w:sz w:val="21"/>
                      <w:szCs w:val="21"/>
                      <w:lang w:val="en-US" w:eastAsia="zh-CN"/>
                    </w:rPr>
                    <w:t>符合</w:t>
                  </w:r>
                </w:p>
              </w:tc>
            </w:tr>
            <w:tr w14:paraId="6BD14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trPr>
              <w:tc>
                <w:tcPr>
                  <w:tcW w:w="324" w:type="pct"/>
                  <w:vMerge w:val="continue"/>
                  <w:vAlign w:val="center"/>
                </w:tcPr>
                <w:p w14:paraId="7B8ABAEE">
                  <w:pPr>
                    <w:jc w:val="center"/>
                    <w:rPr>
                      <w:color w:val="auto"/>
                      <w:kern w:val="0"/>
                      <w:sz w:val="21"/>
                      <w:szCs w:val="21"/>
                    </w:rPr>
                  </w:pPr>
                </w:p>
              </w:tc>
              <w:tc>
                <w:tcPr>
                  <w:tcW w:w="317" w:type="pct"/>
                  <w:vMerge w:val="continue"/>
                  <w:vAlign w:val="center"/>
                </w:tcPr>
                <w:p w14:paraId="0249B0A8">
                  <w:pPr>
                    <w:jc w:val="center"/>
                    <w:rPr>
                      <w:color w:val="auto"/>
                      <w:sz w:val="21"/>
                      <w:szCs w:val="21"/>
                    </w:rPr>
                  </w:pPr>
                </w:p>
              </w:tc>
              <w:tc>
                <w:tcPr>
                  <w:tcW w:w="2478" w:type="pct"/>
                  <w:vAlign w:val="center"/>
                </w:tcPr>
                <w:p w14:paraId="1D48E86C">
                  <w:pPr>
                    <w:jc w:val="both"/>
                    <w:rPr>
                      <w:color w:val="auto"/>
                      <w:sz w:val="21"/>
                      <w:szCs w:val="21"/>
                    </w:rPr>
                  </w:pPr>
                  <w:r>
                    <w:rPr>
                      <w:color w:val="auto"/>
                      <w:sz w:val="21"/>
                      <w:szCs w:val="21"/>
                    </w:rPr>
                    <w:t>禁止新建不符合国家产业政策的小型造纸、制革、印染、染料、炼焦、炼硫、炼砷、炼汞、炼油、电镀、农药、石棉、水泥、玻璃、钢铁、火电以及其他严重污染水环境的生产项目。</w:t>
                  </w:r>
                </w:p>
              </w:tc>
              <w:tc>
                <w:tcPr>
                  <w:tcW w:w="1554" w:type="pct"/>
                  <w:vAlign w:val="center"/>
                </w:tcPr>
                <w:p w14:paraId="7BC3CB3E">
                  <w:pPr>
                    <w:jc w:val="both"/>
                    <w:rPr>
                      <w:rFonts w:hint="default" w:eastAsia="宋体"/>
                      <w:color w:val="auto"/>
                      <w:sz w:val="21"/>
                      <w:szCs w:val="21"/>
                      <w:lang w:val="en-US" w:eastAsia="zh-CN"/>
                    </w:rPr>
                  </w:pPr>
                  <w:r>
                    <w:rPr>
                      <w:rFonts w:hint="eastAsia"/>
                      <w:b w:val="0"/>
                      <w:bCs w:val="0"/>
                      <w:color w:val="auto"/>
                      <w:kern w:val="0"/>
                      <w:sz w:val="21"/>
                      <w:szCs w:val="21"/>
                      <w:lang w:val="en-US" w:eastAsia="zh-CN"/>
                    </w:rPr>
                    <w:t>本项目为</w:t>
                  </w:r>
                  <w:r>
                    <w:rPr>
                      <w:rFonts w:hint="eastAsia" w:cs="Times New Roman"/>
                      <w:color w:val="auto"/>
                      <w:kern w:val="2"/>
                      <w:sz w:val="21"/>
                      <w:szCs w:val="21"/>
                      <w:lang w:val="en-US" w:eastAsia="zh-CN" w:bidi="ar-SA"/>
                    </w:rPr>
                    <w:t>包装装潢及其他印刷</w:t>
                  </w:r>
                  <w:r>
                    <w:rPr>
                      <w:rFonts w:hint="eastAsia" w:eastAsia="宋体" w:cs="Times New Roman"/>
                      <w:color w:val="auto"/>
                      <w:kern w:val="2"/>
                      <w:sz w:val="21"/>
                      <w:szCs w:val="21"/>
                      <w:lang w:val="en-US" w:eastAsia="zh-CN" w:bidi="ar-SA"/>
                    </w:rPr>
                    <w:t>行业</w:t>
                  </w:r>
                  <w:r>
                    <w:rPr>
                      <w:rFonts w:hint="eastAsia"/>
                      <w:color w:val="auto"/>
                      <w:sz w:val="21"/>
                      <w:szCs w:val="21"/>
                      <w:lang w:val="en-US" w:eastAsia="zh-CN"/>
                    </w:rPr>
                    <w:t>，不属于</w:t>
                  </w:r>
                  <w:r>
                    <w:rPr>
                      <w:color w:val="auto"/>
                      <w:sz w:val="21"/>
                      <w:szCs w:val="21"/>
                    </w:rPr>
                    <w:t>造纸、制革、印染、染料、炼焦、炼硫、炼砷、炼汞、炼油、电镀、农药、石棉、水泥、玻璃、钢铁、火电</w:t>
                  </w:r>
                  <w:r>
                    <w:rPr>
                      <w:rFonts w:hint="eastAsia"/>
                      <w:color w:val="auto"/>
                      <w:sz w:val="21"/>
                      <w:szCs w:val="21"/>
                      <w:lang w:val="en-US" w:eastAsia="zh-CN"/>
                    </w:rPr>
                    <w:t>等项目。</w:t>
                  </w:r>
                </w:p>
              </w:tc>
              <w:tc>
                <w:tcPr>
                  <w:tcW w:w="324" w:type="pct"/>
                  <w:vAlign w:val="center"/>
                </w:tcPr>
                <w:p w14:paraId="1FDA2176">
                  <w:pPr>
                    <w:jc w:val="center"/>
                    <w:rPr>
                      <w:color w:val="auto"/>
                      <w:sz w:val="21"/>
                      <w:szCs w:val="21"/>
                    </w:rPr>
                  </w:pPr>
                  <w:r>
                    <w:rPr>
                      <w:rFonts w:hint="eastAsia"/>
                      <w:b w:val="0"/>
                      <w:bCs w:val="0"/>
                      <w:color w:val="auto"/>
                      <w:kern w:val="0"/>
                      <w:sz w:val="21"/>
                      <w:szCs w:val="21"/>
                      <w:lang w:val="en-US" w:eastAsia="zh-CN"/>
                    </w:rPr>
                    <w:t>不涉及</w:t>
                  </w:r>
                </w:p>
              </w:tc>
            </w:tr>
            <w:tr w14:paraId="68F97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6AF7AB9A">
                  <w:pPr>
                    <w:jc w:val="center"/>
                    <w:rPr>
                      <w:color w:val="auto"/>
                      <w:kern w:val="0"/>
                      <w:sz w:val="21"/>
                      <w:szCs w:val="21"/>
                    </w:rPr>
                  </w:pPr>
                </w:p>
              </w:tc>
              <w:tc>
                <w:tcPr>
                  <w:tcW w:w="317" w:type="pct"/>
                  <w:vMerge w:val="continue"/>
                  <w:vAlign w:val="center"/>
                </w:tcPr>
                <w:p w14:paraId="05C9F24E">
                  <w:pPr>
                    <w:jc w:val="center"/>
                    <w:rPr>
                      <w:color w:val="auto"/>
                      <w:sz w:val="21"/>
                      <w:szCs w:val="21"/>
                    </w:rPr>
                  </w:pPr>
                </w:p>
              </w:tc>
              <w:tc>
                <w:tcPr>
                  <w:tcW w:w="2478" w:type="pct"/>
                  <w:vAlign w:val="center"/>
                </w:tcPr>
                <w:p w14:paraId="68181671">
                  <w:pPr>
                    <w:jc w:val="both"/>
                    <w:rPr>
                      <w:color w:val="auto"/>
                      <w:sz w:val="21"/>
                      <w:szCs w:val="21"/>
                    </w:rPr>
                  </w:pPr>
                  <w:r>
                    <w:rPr>
                      <w:color w:val="auto"/>
                      <w:sz w:val="21"/>
                      <w:szCs w:val="21"/>
                    </w:rPr>
                    <w:t>新建、改建、扩建造纸、焦化、氮肥、有色金属、印染、农副食品加工、原料药制造、制革、农药、电镀等重点行业建设项目，实行主要污染物排放等量或减量置换。</w:t>
                  </w:r>
                </w:p>
              </w:tc>
              <w:tc>
                <w:tcPr>
                  <w:tcW w:w="1554" w:type="pct"/>
                  <w:vAlign w:val="center"/>
                </w:tcPr>
                <w:p w14:paraId="194EC705">
                  <w:pPr>
                    <w:jc w:val="both"/>
                    <w:rPr>
                      <w:rFonts w:hint="default"/>
                      <w:color w:val="auto"/>
                      <w:sz w:val="21"/>
                      <w:szCs w:val="21"/>
                      <w:lang w:val="en-US"/>
                    </w:rPr>
                  </w:pPr>
                  <w:r>
                    <w:rPr>
                      <w:rFonts w:hint="eastAsia"/>
                      <w:b w:val="0"/>
                      <w:bCs w:val="0"/>
                      <w:color w:val="auto"/>
                      <w:kern w:val="0"/>
                      <w:sz w:val="21"/>
                      <w:szCs w:val="21"/>
                      <w:lang w:val="en-US" w:eastAsia="zh-CN"/>
                    </w:rPr>
                    <w:t>本项目为</w:t>
                  </w:r>
                  <w:r>
                    <w:rPr>
                      <w:rFonts w:hint="eastAsia" w:cs="Times New Roman"/>
                      <w:color w:val="auto"/>
                      <w:kern w:val="2"/>
                      <w:sz w:val="21"/>
                      <w:szCs w:val="21"/>
                      <w:lang w:val="en-US" w:eastAsia="zh-CN" w:bidi="ar-SA"/>
                    </w:rPr>
                    <w:t>包装装潢及其他印刷</w:t>
                  </w:r>
                  <w:r>
                    <w:rPr>
                      <w:rFonts w:hint="eastAsia" w:eastAsia="宋体" w:cs="Times New Roman"/>
                      <w:color w:val="auto"/>
                      <w:kern w:val="2"/>
                      <w:sz w:val="21"/>
                      <w:szCs w:val="21"/>
                      <w:lang w:val="en-US" w:eastAsia="zh-CN" w:bidi="ar-SA"/>
                    </w:rPr>
                    <w:t>行业，</w:t>
                  </w:r>
                  <w:r>
                    <w:rPr>
                      <w:rFonts w:hint="eastAsia"/>
                      <w:color w:val="auto"/>
                      <w:sz w:val="21"/>
                      <w:szCs w:val="21"/>
                      <w:lang w:val="en-US" w:eastAsia="zh-CN"/>
                    </w:rPr>
                    <w:t>不属于重点行业。</w:t>
                  </w:r>
                </w:p>
              </w:tc>
              <w:tc>
                <w:tcPr>
                  <w:tcW w:w="324" w:type="pct"/>
                  <w:vAlign w:val="center"/>
                </w:tcPr>
                <w:p w14:paraId="6F08662A">
                  <w:pPr>
                    <w:jc w:val="center"/>
                    <w:rPr>
                      <w:color w:val="auto"/>
                      <w:sz w:val="21"/>
                      <w:szCs w:val="21"/>
                    </w:rPr>
                  </w:pPr>
                  <w:r>
                    <w:rPr>
                      <w:rFonts w:hint="eastAsia"/>
                      <w:b w:val="0"/>
                      <w:bCs w:val="0"/>
                      <w:color w:val="auto"/>
                      <w:kern w:val="0"/>
                      <w:sz w:val="21"/>
                      <w:szCs w:val="21"/>
                      <w:lang w:val="en-US" w:eastAsia="zh-CN"/>
                    </w:rPr>
                    <w:t>不涉及</w:t>
                  </w:r>
                </w:p>
              </w:tc>
            </w:tr>
            <w:tr w14:paraId="1B5C1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607F5AFC">
                  <w:pPr>
                    <w:jc w:val="center"/>
                    <w:rPr>
                      <w:color w:val="auto"/>
                      <w:kern w:val="0"/>
                      <w:sz w:val="21"/>
                      <w:szCs w:val="21"/>
                    </w:rPr>
                  </w:pPr>
                </w:p>
              </w:tc>
              <w:tc>
                <w:tcPr>
                  <w:tcW w:w="317" w:type="pct"/>
                  <w:vMerge w:val="continue"/>
                  <w:vAlign w:val="center"/>
                </w:tcPr>
                <w:p w14:paraId="259560C1">
                  <w:pPr>
                    <w:jc w:val="center"/>
                    <w:rPr>
                      <w:color w:val="auto"/>
                      <w:sz w:val="21"/>
                      <w:szCs w:val="21"/>
                    </w:rPr>
                  </w:pPr>
                </w:p>
              </w:tc>
              <w:tc>
                <w:tcPr>
                  <w:tcW w:w="2478" w:type="pct"/>
                  <w:vAlign w:val="center"/>
                </w:tcPr>
                <w:p w14:paraId="0EE98BB7">
                  <w:pPr>
                    <w:jc w:val="both"/>
                    <w:rPr>
                      <w:color w:val="auto"/>
                      <w:sz w:val="21"/>
                      <w:szCs w:val="21"/>
                    </w:rPr>
                  </w:pPr>
                  <w:r>
                    <w:rPr>
                      <w:color w:val="auto"/>
                      <w:sz w:val="21"/>
                      <w:szCs w:val="21"/>
                    </w:rPr>
                    <w:t>严格落实钢铁、水泥、平板玻璃产能减量置换政策。推进钢铁、水泥、焦化行业及燃煤锅炉超低排放改造。</w:t>
                  </w:r>
                </w:p>
              </w:tc>
              <w:tc>
                <w:tcPr>
                  <w:tcW w:w="1554" w:type="pct"/>
                  <w:vAlign w:val="center"/>
                </w:tcPr>
                <w:p w14:paraId="5DBE0DF6">
                  <w:pPr>
                    <w:jc w:val="both"/>
                    <w:rPr>
                      <w:rFonts w:hint="default" w:eastAsia="宋体"/>
                      <w:color w:val="auto"/>
                      <w:sz w:val="21"/>
                      <w:szCs w:val="21"/>
                      <w:lang w:val="en-US" w:eastAsia="zh-CN"/>
                    </w:rPr>
                  </w:pPr>
                  <w:r>
                    <w:rPr>
                      <w:rFonts w:hint="eastAsia"/>
                      <w:b w:val="0"/>
                      <w:bCs w:val="0"/>
                      <w:color w:val="auto"/>
                      <w:kern w:val="0"/>
                      <w:sz w:val="21"/>
                      <w:szCs w:val="21"/>
                      <w:lang w:val="en-US" w:eastAsia="zh-CN"/>
                    </w:rPr>
                    <w:t>本项目为</w:t>
                  </w:r>
                  <w:r>
                    <w:rPr>
                      <w:rFonts w:hint="eastAsia" w:cs="Times New Roman"/>
                      <w:color w:val="auto"/>
                      <w:kern w:val="2"/>
                      <w:sz w:val="21"/>
                      <w:szCs w:val="21"/>
                      <w:lang w:val="en-US" w:eastAsia="zh-CN" w:bidi="ar-SA"/>
                    </w:rPr>
                    <w:t>包装装潢及其他印刷</w:t>
                  </w:r>
                  <w:r>
                    <w:rPr>
                      <w:rFonts w:hint="eastAsia" w:eastAsia="宋体" w:cs="Times New Roman"/>
                      <w:color w:val="auto"/>
                      <w:kern w:val="2"/>
                      <w:sz w:val="21"/>
                      <w:szCs w:val="21"/>
                      <w:lang w:val="en-US" w:eastAsia="zh-CN" w:bidi="ar-SA"/>
                    </w:rPr>
                    <w:t>行业，</w:t>
                  </w:r>
                  <w:r>
                    <w:rPr>
                      <w:rFonts w:hint="eastAsia"/>
                      <w:color w:val="auto"/>
                      <w:sz w:val="21"/>
                      <w:szCs w:val="21"/>
                      <w:lang w:val="en-US" w:eastAsia="zh-CN"/>
                    </w:rPr>
                    <w:t>不属于</w:t>
                  </w:r>
                  <w:r>
                    <w:rPr>
                      <w:color w:val="auto"/>
                      <w:sz w:val="21"/>
                      <w:szCs w:val="21"/>
                    </w:rPr>
                    <w:t>钢铁、水泥、平板玻璃</w:t>
                  </w:r>
                  <w:r>
                    <w:rPr>
                      <w:rFonts w:hint="eastAsia"/>
                      <w:color w:val="auto"/>
                      <w:sz w:val="21"/>
                      <w:szCs w:val="21"/>
                      <w:lang w:val="en-US" w:eastAsia="zh-CN"/>
                    </w:rPr>
                    <w:t>等行业。</w:t>
                  </w:r>
                </w:p>
              </w:tc>
              <w:tc>
                <w:tcPr>
                  <w:tcW w:w="324" w:type="pct"/>
                  <w:vAlign w:val="center"/>
                </w:tcPr>
                <w:p w14:paraId="3F58065E">
                  <w:pPr>
                    <w:jc w:val="center"/>
                    <w:rPr>
                      <w:color w:val="auto"/>
                      <w:sz w:val="21"/>
                      <w:szCs w:val="21"/>
                    </w:rPr>
                  </w:pPr>
                  <w:r>
                    <w:rPr>
                      <w:rFonts w:hint="eastAsia"/>
                      <w:b w:val="0"/>
                      <w:bCs w:val="0"/>
                      <w:color w:val="auto"/>
                      <w:kern w:val="0"/>
                      <w:sz w:val="21"/>
                      <w:szCs w:val="21"/>
                      <w:lang w:val="en-US" w:eastAsia="zh-CN"/>
                    </w:rPr>
                    <w:t>不涉及</w:t>
                  </w:r>
                </w:p>
              </w:tc>
            </w:tr>
            <w:tr w14:paraId="10F94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05897A58">
                  <w:pPr>
                    <w:jc w:val="center"/>
                    <w:rPr>
                      <w:color w:val="auto"/>
                      <w:kern w:val="0"/>
                      <w:sz w:val="21"/>
                      <w:szCs w:val="21"/>
                    </w:rPr>
                  </w:pPr>
                </w:p>
              </w:tc>
              <w:tc>
                <w:tcPr>
                  <w:tcW w:w="317" w:type="pct"/>
                  <w:vMerge w:val="continue"/>
                  <w:vAlign w:val="center"/>
                </w:tcPr>
                <w:p w14:paraId="4E1A71C9">
                  <w:pPr>
                    <w:jc w:val="center"/>
                    <w:rPr>
                      <w:color w:val="auto"/>
                      <w:sz w:val="21"/>
                      <w:szCs w:val="21"/>
                    </w:rPr>
                  </w:pPr>
                </w:p>
              </w:tc>
              <w:tc>
                <w:tcPr>
                  <w:tcW w:w="2478" w:type="pct"/>
                  <w:vAlign w:val="center"/>
                </w:tcPr>
                <w:p w14:paraId="23057B23">
                  <w:pPr>
                    <w:jc w:val="both"/>
                    <w:rPr>
                      <w:color w:val="auto"/>
                      <w:sz w:val="21"/>
                      <w:szCs w:val="21"/>
                    </w:rPr>
                  </w:pPr>
                  <w:r>
                    <w:rPr>
                      <w:color w:val="auto"/>
                      <w:sz w:val="21"/>
                      <w:szCs w:val="21"/>
                    </w:rPr>
                    <w:t>推动全省 34个涉气重点行业企业绩效分级积极引导污染物排放总量大、污染物排放浓度高的行业企业开展超低排放改造。</w:t>
                  </w:r>
                </w:p>
              </w:tc>
              <w:tc>
                <w:tcPr>
                  <w:tcW w:w="1554" w:type="pct"/>
                  <w:vAlign w:val="center"/>
                </w:tcPr>
                <w:p w14:paraId="2E8A33A0">
                  <w:pPr>
                    <w:jc w:val="both"/>
                    <w:rPr>
                      <w:rFonts w:hint="default"/>
                      <w:color w:val="auto"/>
                      <w:sz w:val="21"/>
                      <w:szCs w:val="21"/>
                      <w:lang w:val="en-US"/>
                    </w:rPr>
                  </w:pPr>
                  <w:r>
                    <w:rPr>
                      <w:rFonts w:hint="eastAsia"/>
                      <w:b w:val="0"/>
                      <w:bCs w:val="0"/>
                      <w:color w:val="auto"/>
                      <w:kern w:val="0"/>
                      <w:sz w:val="21"/>
                      <w:szCs w:val="21"/>
                      <w:lang w:val="en-US" w:eastAsia="zh-CN"/>
                    </w:rPr>
                    <w:t>本项目为</w:t>
                  </w:r>
                  <w:r>
                    <w:rPr>
                      <w:rFonts w:hint="eastAsia" w:cs="Times New Roman"/>
                      <w:color w:val="auto"/>
                      <w:kern w:val="2"/>
                      <w:sz w:val="21"/>
                      <w:szCs w:val="21"/>
                      <w:lang w:val="en-US" w:eastAsia="zh-CN" w:bidi="ar-SA"/>
                    </w:rPr>
                    <w:t>包装装潢及其他印刷</w:t>
                  </w:r>
                  <w:r>
                    <w:rPr>
                      <w:rFonts w:hint="eastAsia" w:eastAsia="宋体" w:cs="Times New Roman"/>
                      <w:color w:val="auto"/>
                      <w:kern w:val="2"/>
                      <w:sz w:val="21"/>
                      <w:szCs w:val="21"/>
                      <w:lang w:val="en-US" w:eastAsia="zh-CN" w:bidi="ar-SA"/>
                    </w:rPr>
                    <w:t>行业</w:t>
                  </w:r>
                  <w:r>
                    <w:rPr>
                      <w:rFonts w:hint="eastAsia"/>
                      <w:color w:val="auto"/>
                      <w:sz w:val="21"/>
                      <w:szCs w:val="21"/>
                      <w:lang w:val="en-US" w:eastAsia="zh-CN"/>
                    </w:rPr>
                    <w:t>，不属于重点行业。</w:t>
                  </w:r>
                </w:p>
              </w:tc>
              <w:tc>
                <w:tcPr>
                  <w:tcW w:w="324" w:type="pct"/>
                  <w:vAlign w:val="center"/>
                </w:tcPr>
                <w:p w14:paraId="6A97E664">
                  <w:pPr>
                    <w:jc w:val="center"/>
                    <w:rPr>
                      <w:color w:val="auto"/>
                      <w:sz w:val="21"/>
                      <w:szCs w:val="21"/>
                    </w:rPr>
                  </w:pPr>
                  <w:r>
                    <w:rPr>
                      <w:rFonts w:hint="eastAsia"/>
                      <w:b w:val="0"/>
                      <w:bCs w:val="0"/>
                      <w:color w:val="auto"/>
                      <w:kern w:val="0"/>
                      <w:sz w:val="21"/>
                      <w:szCs w:val="21"/>
                      <w:lang w:val="en-US" w:eastAsia="zh-CN"/>
                    </w:rPr>
                    <w:t>不涉及</w:t>
                  </w:r>
                </w:p>
              </w:tc>
            </w:tr>
            <w:tr w14:paraId="6A8C2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66E11202">
                  <w:pPr>
                    <w:jc w:val="center"/>
                    <w:rPr>
                      <w:color w:val="auto"/>
                      <w:kern w:val="0"/>
                      <w:sz w:val="21"/>
                      <w:szCs w:val="21"/>
                    </w:rPr>
                  </w:pPr>
                </w:p>
              </w:tc>
              <w:tc>
                <w:tcPr>
                  <w:tcW w:w="317" w:type="pct"/>
                  <w:vMerge w:val="continue"/>
                  <w:vAlign w:val="center"/>
                </w:tcPr>
                <w:p w14:paraId="560C7893">
                  <w:pPr>
                    <w:jc w:val="center"/>
                    <w:rPr>
                      <w:color w:val="auto"/>
                      <w:sz w:val="21"/>
                      <w:szCs w:val="21"/>
                    </w:rPr>
                  </w:pPr>
                </w:p>
              </w:tc>
              <w:tc>
                <w:tcPr>
                  <w:tcW w:w="2478" w:type="pct"/>
                  <w:vAlign w:val="center"/>
                </w:tcPr>
                <w:p w14:paraId="4F4740C2">
                  <w:pPr>
                    <w:jc w:val="both"/>
                    <w:rPr>
                      <w:color w:val="auto"/>
                      <w:sz w:val="21"/>
                      <w:szCs w:val="21"/>
                    </w:rPr>
                  </w:pPr>
                  <w:r>
                    <w:rPr>
                      <w:color w:val="auto"/>
                      <w:sz w:val="21"/>
                      <w:szCs w:val="21"/>
                    </w:rPr>
                    <w:t>禁止新建、扩建不符合要求的高耗能高排放项</w:t>
                  </w:r>
                  <w:r>
                    <w:rPr>
                      <w:rFonts w:hint="eastAsia"/>
                      <w:color w:val="auto"/>
                      <w:sz w:val="21"/>
                      <w:szCs w:val="21"/>
                      <w:lang w:val="en-US" w:eastAsia="zh-CN"/>
                    </w:rPr>
                    <w:t>目</w:t>
                  </w:r>
                  <w:r>
                    <w:rPr>
                      <w:color w:val="auto"/>
                      <w:sz w:val="21"/>
                      <w:szCs w:val="21"/>
                    </w:rPr>
                    <w:t>。</w:t>
                  </w:r>
                </w:p>
              </w:tc>
              <w:tc>
                <w:tcPr>
                  <w:tcW w:w="1554" w:type="pct"/>
                  <w:vAlign w:val="center"/>
                </w:tcPr>
                <w:p w14:paraId="59070074">
                  <w:pPr>
                    <w:jc w:val="both"/>
                    <w:rPr>
                      <w:rFonts w:hint="default"/>
                      <w:color w:val="auto"/>
                      <w:sz w:val="21"/>
                      <w:szCs w:val="21"/>
                      <w:lang w:val="en-US"/>
                    </w:rPr>
                  </w:pPr>
                  <w:r>
                    <w:rPr>
                      <w:rFonts w:hint="eastAsia"/>
                      <w:b w:val="0"/>
                      <w:bCs w:val="0"/>
                      <w:color w:val="auto"/>
                      <w:kern w:val="0"/>
                      <w:sz w:val="21"/>
                      <w:szCs w:val="21"/>
                      <w:lang w:val="en-US" w:eastAsia="zh-CN"/>
                    </w:rPr>
                    <w:t>本项目为</w:t>
                  </w:r>
                  <w:r>
                    <w:rPr>
                      <w:rFonts w:hint="eastAsia" w:cs="Times New Roman"/>
                      <w:color w:val="auto"/>
                      <w:kern w:val="2"/>
                      <w:sz w:val="21"/>
                      <w:szCs w:val="21"/>
                      <w:lang w:val="en-US" w:eastAsia="zh-CN" w:bidi="ar-SA"/>
                    </w:rPr>
                    <w:t>包装装潢及其他印刷</w:t>
                  </w:r>
                  <w:r>
                    <w:rPr>
                      <w:rFonts w:hint="eastAsia" w:eastAsia="宋体" w:cs="Times New Roman"/>
                      <w:color w:val="auto"/>
                      <w:kern w:val="2"/>
                      <w:sz w:val="21"/>
                      <w:szCs w:val="21"/>
                      <w:lang w:val="en-US" w:eastAsia="zh-CN" w:bidi="ar-SA"/>
                    </w:rPr>
                    <w:t>行业</w:t>
                  </w:r>
                  <w:r>
                    <w:rPr>
                      <w:rFonts w:hint="eastAsia"/>
                      <w:color w:val="auto"/>
                      <w:sz w:val="21"/>
                      <w:szCs w:val="21"/>
                      <w:lang w:val="en-US" w:eastAsia="zh-CN"/>
                    </w:rPr>
                    <w:t>，不属于</w:t>
                  </w:r>
                  <w:r>
                    <w:rPr>
                      <w:color w:val="auto"/>
                      <w:sz w:val="21"/>
                      <w:szCs w:val="21"/>
                    </w:rPr>
                    <w:t>高耗能高排放项</w:t>
                  </w:r>
                  <w:r>
                    <w:rPr>
                      <w:rFonts w:hint="eastAsia"/>
                      <w:color w:val="auto"/>
                      <w:sz w:val="21"/>
                      <w:szCs w:val="21"/>
                      <w:lang w:val="en-US" w:eastAsia="zh-CN"/>
                    </w:rPr>
                    <w:t>目。</w:t>
                  </w:r>
                </w:p>
              </w:tc>
              <w:tc>
                <w:tcPr>
                  <w:tcW w:w="324" w:type="pct"/>
                  <w:vAlign w:val="center"/>
                </w:tcPr>
                <w:p w14:paraId="181F85E6">
                  <w:pPr>
                    <w:jc w:val="center"/>
                    <w:rPr>
                      <w:color w:val="auto"/>
                      <w:sz w:val="21"/>
                      <w:szCs w:val="21"/>
                    </w:rPr>
                  </w:pPr>
                  <w:r>
                    <w:rPr>
                      <w:rFonts w:hint="eastAsia"/>
                      <w:b w:val="0"/>
                      <w:bCs w:val="0"/>
                      <w:color w:val="auto"/>
                      <w:kern w:val="0"/>
                      <w:sz w:val="21"/>
                      <w:szCs w:val="21"/>
                      <w:lang w:val="en-US" w:eastAsia="zh-CN"/>
                    </w:rPr>
                    <w:t>不涉及</w:t>
                  </w:r>
                </w:p>
              </w:tc>
            </w:tr>
            <w:tr w14:paraId="59BE1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0CE4004E">
                  <w:pPr>
                    <w:jc w:val="center"/>
                    <w:rPr>
                      <w:color w:val="auto"/>
                      <w:kern w:val="0"/>
                      <w:sz w:val="21"/>
                      <w:szCs w:val="21"/>
                    </w:rPr>
                  </w:pPr>
                </w:p>
              </w:tc>
              <w:tc>
                <w:tcPr>
                  <w:tcW w:w="317" w:type="pct"/>
                  <w:vMerge w:val="restart"/>
                  <w:vAlign w:val="center"/>
                </w:tcPr>
                <w:p w14:paraId="2F57624D">
                  <w:pPr>
                    <w:jc w:val="center"/>
                    <w:rPr>
                      <w:color w:val="auto"/>
                      <w:sz w:val="21"/>
                      <w:szCs w:val="21"/>
                    </w:rPr>
                  </w:pPr>
                  <w:r>
                    <w:rPr>
                      <w:color w:val="auto"/>
                      <w:sz w:val="21"/>
                      <w:szCs w:val="21"/>
                    </w:rPr>
                    <w:t>环境风险防控</w:t>
                  </w:r>
                </w:p>
              </w:tc>
              <w:tc>
                <w:tcPr>
                  <w:tcW w:w="2478" w:type="pct"/>
                  <w:vAlign w:val="center"/>
                </w:tcPr>
                <w:p w14:paraId="0F7AD2A4">
                  <w:pPr>
                    <w:jc w:val="both"/>
                    <w:rPr>
                      <w:color w:val="auto"/>
                      <w:sz w:val="21"/>
                      <w:szCs w:val="21"/>
                    </w:rPr>
                  </w:pPr>
                  <w:r>
                    <w:rPr>
                      <w:color w:val="auto"/>
                      <w:sz w:val="21"/>
                      <w:szCs w:val="21"/>
                    </w:rPr>
                    <w:t>在居民集中区、医院和学校附近、重要水源涵养生态功能区等环境风险防控重点区域，禁止新建或扩建化工石化、有色冶炼、制浆造纸等可能引发环境风险的项目。</w:t>
                  </w:r>
                </w:p>
              </w:tc>
              <w:tc>
                <w:tcPr>
                  <w:tcW w:w="1554" w:type="pct"/>
                  <w:vAlign w:val="center"/>
                </w:tcPr>
                <w:p w14:paraId="05042568">
                  <w:pPr>
                    <w:jc w:val="both"/>
                    <w:rPr>
                      <w:rFonts w:hint="eastAsia" w:eastAsia="宋体"/>
                      <w:color w:val="auto"/>
                      <w:sz w:val="21"/>
                      <w:szCs w:val="21"/>
                      <w:lang w:val="en-US" w:eastAsia="zh-CN"/>
                    </w:rPr>
                  </w:pPr>
                  <w:r>
                    <w:rPr>
                      <w:rFonts w:hint="eastAsia"/>
                      <w:b w:val="0"/>
                      <w:bCs w:val="0"/>
                      <w:color w:val="auto"/>
                      <w:kern w:val="0"/>
                      <w:sz w:val="21"/>
                      <w:szCs w:val="21"/>
                      <w:lang w:val="en-US" w:eastAsia="zh-CN"/>
                    </w:rPr>
                    <w:t>本项目为</w:t>
                  </w:r>
                  <w:r>
                    <w:rPr>
                      <w:rFonts w:hint="eastAsia" w:cs="Times New Roman"/>
                      <w:color w:val="auto"/>
                      <w:kern w:val="2"/>
                      <w:sz w:val="21"/>
                      <w:szCs w:val="21"/>
                      <w:lang w:val="en-US" w:eastAsia="zh-CN" w:bidi="ar-SA"/>
                    </w:rPr>
                    <w:t>包装装潢及其他印刷</w:t>
                  </w:r>
                  <w:r>
                    <w:rPr>
                      <w:rFonts w:hint="eastAsia" w:eastAsia="宋体" w:cs="Times New Roman"/>
                      <w:color w:val="auto"/>
                      <w:kern w:val="2"/>
                      <w:sz w:val="21"/>
                      <w:szCs w:val="21"/>
                      <w:lang w:val="en-US" w:eastAsia="zh-CN" w:bidi="ar-SA"/>
                    </w:rPr>
                    <w:t>行业</w:t>
                  </w:r>
                  <w:r>
                    <w:rPr>
                      <w:rFonts w:hint="eastAsia"/>
                      <w:color w:val="auto"/>
                      <w:sz w:val="21"/>
                      <w:szCs w:val="21"/>
                      <w:lang w:val="en-US" w:eastAsia="zh-CN"/>
                    </w:rPr>
                    <w:t>，不属于化工石化、有色</w:t>
                  </w:r>
                  <w:r>
                    <w:rPr>
                      <w:color w:val="auto"/>
                      <w:sz w:val="21"/>
                      <w:szCs w:val="21"/>
                    </w:rPr>
                    <w:t>冶炼、制浆造纸等可能引发环境风险的项目</w:t>
                  </w:r>
                  <w:r>
                    <w:rPr>
                      <w:rFonts w:hint="eastAsia"/>
                      <w:color w:val="auto"/>
                      <w:sz w:val="21"/>
                      <w:szCs w:val="21"/>
                      <w:lang w:eastAsia="zh-CN"/>
                    </w:rPr>
                    <w:t>。</w:t>
                  </w:r>
                </w:p>
              </w:tc>
              <w:tc>
                <w:tcPr>
                  <w:tcW w:w="324" w:type="pct"/>
                  <w:vAlign w:val="center"/>
                </w:tcPr>
                <w:p w14:paraId="5D29719A">
                  <w:pPr>
                    <w:jc w:val="center"/>
                    <w:rPr>
                      <w:color w:val="auto"/>
                      <w:sz w:val="21"/>
                      <w:szCs w:val="21"/>
                    </w:rPr>
                  </w:pPr>
                  <w:r>
                    <w:rPr>
                      <w:rFonts w:hint="eastAsia"/>
                      <w:b w:val="0"/>
                      <w:bCs w:val="0"/>
                      <w:color w:val="auto"/>
                      <w:kern w:val="0"/>
                      <w:sz w:val="21"/>
                      <w:szCs w:val="21"/>
                      <w:lang w:val="en-US" w:eastAsia="zh-CN"/>
                    </w:rPr>
                    <w:t>不涉及</w:t>
                  </w:r>
                </w:p>
              </w:tc>
            </w:tr>
            <w:tr w14:paraId="68CE3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1484A14F">
                  <w:pPr>
                    <w:jc w:val="center"/>
                    <w:rPr>
                      <w:color w:val="auto"/>
                      <w:kern w:val="0"/>
                      <w:sz w:val="21"/>
                      <w:szCs w:val="21"/>
                    </w:rPr>
                  </w:pPr>
                </w:p>
              </w:tc>
              <w:tc>
                <w:tcPr>
                  <w:tcW w:w="317" w:type="pct"/>
                  <w:vMerge w:val="continue"/>
                  <w:vAlign w:val="center"/>
                </w:tcPr>
                <w:p w14:paraId="11FA5B67">
                  <w:pPr>
                    <w:jc w:val="center"/>
                    <w:rPr>
                      <w:color w:val="auto"/>
                      <w:sz w:val="21"/>
                      <w:szCs w:val="21"/>
                    </w:rPr>
                  </w:pPr>
                </w:p>
              </w:tc>
              <w:tc>
                <w:tcPr>
                  <w:tcW w:w="2478" w:type="pct"/>
                  <w:vAlign w:val="center"/>
                </w:tcPr>
                <w:p w14:paraId="20D56A14">
                  <w:pPr>
                    <w:jc w:val="both"/>
                    <w:rPr>
                      <w:color w:val="auto"/>
                      <w:sz w:val="21"/>
                      <w:szCs w:val="21"/>
                    </w:rPr>
                  </w:pPr>
                  <w:r>
                    <w:rPr>
                      <w:color w:val="auto"/>
                      <w:sz w:val="21"/>
                      <w:szCs w:val="21"/>
                    </w:rPr>
                    <w:t>含有毒有害氰化物电镀工艺</w:t>
                  </w:r>
                  <w:r>
                    <w:rPr>
                      <w:rFonts w:hint="eastAsia"/>
                      <w:color w:val="auto"/>
                      <w:sz w:val="21"/>
                      <w:szCs w:val="21"/>
                      <w:lang w:eastAsia="zh-CN"/>
                    </w:rPr>
                    <w:t>（</w:t>
                  </w:r>
                  <w:r>
                    <w:rPr>
                      <w:color w:val="auto"/>
                      <w:sz w:val="21"/>
                      <w:szCs w:val="21"/>
                    </w:rPr>
                    <w:t>电镀金、银、铜基合金及予镀铜打底工艺除外</w:t>
                  </w:r>
                  <w:r>
                    <w:rPr>
                      <w:rFonts w:hint="eastAsia"/>
                      <w:color w:val="auto"/>
                      <w:sz w:val="21"/>
                      <w:szCs w:val="21"/>
                      <w:lang w:eastAsia="zh-CN"/>
                    </w:rPr>
                    <w:t>）</w:t>
                  </w:r>
                  <w:r>
                    <w:rPr>
                      <w:color w:val="auto"/>
                      <w:sz w:val="21"/>
                      <w:szCs w:val="21"/>
                    </w:rPr>
                    <w:t>。</w:t>
                  </w:r>
                </w:p>
              </w:tc>
              <w:tc>
                <w:tcPr>
                  <w:tcW w:w="1554" w:type="pct"/>
                  <w:vAlign w:val="center"/>
                </w:tcPr>
                <w:p w14:paraId="43660BA2">
                  <w:pPr>
                    <w:jc w:val="both"/>
                    <w:rPr>
                      <w:rFonts w:hint="eastAsia" w:eastAsia="宋体"/>
                      <w:color w:val="auto"/>
                      <w:sz w:val="21"/>
                      <w:szCs w:val="21"/>
                      <w:lang w:val="en-US" w:eastAsia="zh-CN"/>
                    </w:rPr>
                  </w:pPr>
                  <w:r>
                    <w:rPr>
                      <w:rFonts w:hint="eastAsia"/>
                      <w:b w:val="0"/>
                      <w:bCs w:val="0"/>
                      <w:color w:val="auto"/>
                      <w:kern w:val="0"/>
                      <w:sz w:val="21"/>
                      <w:szCs w:val="21"/>
                      <w:lang w:val="en-US" w:eastAsia="zh-CN"/>
                    </w:rPr>
                    <w:t>本项目为</w:t>
                  </w:r>
                  <w:r>
                    <w:rPr>
                      <w:rFonts w:hint="eastAsia" w:cs="Times New Roman"/>
                      <w:color w:val="auto"/>
                      <w:kern w:val="2"/>
                      <w:sz w:val="21"/>
                      <w:szCs w:val="21"/>
                      <w:lang w:val="en-US" w:eastAsia="zh-CN" w:bidi="ar-SA"/>
                    </w:rPr>
                    <w:t>包装装潢及其他印刷</w:t>
                  </w:r>
                  <w:r>
                    <w:rPr>
                      <w:rFonts w:hint="eastAsia" w:eastAsia="宋体" w:cs="Times New Roman"/>
                      <w:color w:val="auto"/>
                      <w:kern w:val="2"/>
                      <w:sz w:val="21"/>
                      <w:szCs w:val="21"/>
                      <w:lang w:val="en-US" w:eastAsia="zh-CN" w:bidi="ar-SA"/>
                    </w:rPr>
                    <w:t>行业</w:t>
                  </w:r>
                  <w:r>
                    <w:rPr>
                      <w:rFonts w:hint="eastAsia"/>
                      <w:color w:val="auto"/>
                      <w:sz w:val="21"/>
                      <w:szCs w:val="21"/>
                      <w:lang w:val="en-US" w:eastAsia="zh-CN"/>
                    </w:rPr>
                    <w:t>，不涉及</w:t>
                  </w:r>
                  <w:r>
                    <w:rPr>
                      <w:color w:val="auto"/>
                      <w:sz w:val="21"/>
                      <w:szCs w:val="21"/>
                    </w:rPr>
                    <w:t>电镀工艺</w:t>
                  </w:r>
                  <w:r>
                    <w:rPr>
                      <w:rFonts w:hint="eastAsia"/>
                      <w:color w:val="auto"/>
                      <w:sz w:val="21"/>
                      <w:szCs w:val="21"/>
                      <w:lang w:eastAsia="zh-CN"/>
                    </w:rPr>
                    <w:t>。</w:t>
                  </w:r>
                </w:p>
              </w:tc>
              <w:tc>
                <w:tcPr>
                  <w:tcW w:w="324" w:type="pct"/>
                  <w:vAlign w:val="center"/>
                </w:tcPr>
                <w:p w14:paraId="0DC9AE24">
                  <w:pPr>
                    <w:jc w:val="center"/>
                    <w:rPr>
                      <w:color w:val="auto"/>
                      <w:sz w:val="21"/>
                      <w:szCs w:val="21"/>
                    </w:rPr>
                  </w:pPr>
                  <w:r>
                    <w:rPr>
                      <w:rFonts w:hint="eastAsia"/>
                      <w:b w:val="0"/>
                      <w:bCs w:val="0"/>
                      <w:color w:val="auto"/>
                      <w:kern w:val="0"/>
                      <w:sz w:val="21"/>
                      <w:szCs w:val="21"/>
                      <w:lang w:val="en-US" w:eastAsia="zh-CN"/>
                    </w:rPr>
                    <w:t>不涉及</w:t>
                  </w:r>
                </w:p>
              </w:tc>
            </w:tr>
            <w:tr w14:paraId="30E64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60493DD4">
                  <w:pPr>
                    <w:jc w:val="center"/>
                    <w:rPr>
                      <w:color w:val="auto"/>
                      <w:kern w:val="0"/>
                      <w:sz w:val="21"/>
                      <w:szCs w:val="21"/>
                    </w:rPr>
                  </w:pPr>
                </w:p>
              </w:tc>
              <w:tc>
                <w:tcPr>
                  <w:tcW w:w="317" w:type="pct"/>
                  <w:vMerge w:val="continue"/>
                  <w:vAlign w:val="center"/>
                </w:tcPr>
                <w:p w14:paraId="62BCF7D1">
                  <w:pPr>
                    <w:jc w:val="center"/>
                    <w:rPr>
                      <w:color w:val="auto"/>
                      <w:sz w:val="21"/>
                      <w:szCs w:val="21"/>
                    </w:rPr>
                  </w:pPr>
                </w:p>
              </w:tc>
              <w:tc>
                <w:tcPr>
                  <w:tcW w:w="2478" w:type="pct"/>
                  <w:vAlign w:val="center"/>
                </w:tcPr>
                <w:p w14:paraId="0CDAE162">
                  <w:pPr>
                    <w:jc w:val="both"/>
                    <w:rPr>
                      <w:color w:val="auto"/>
                      <w:sz w:val="21"/>
                      <w:szCs w:val="21"/>
                    </w:rPr>
                  </w:pPr>
                  <w:r>
                    <w:rPr>
                      <w:color w:val="auto"/>
                      <w:sz w:val="21"/>
                      <w:szCs w:val="21"/>
                    </w:rPr>
                    <w:t>港口、码头、装卸站和船舶修造厂应当备有足够的船舶污染物、废弃物的接收设施</w:t>
                  </w:r>
                  <w:r>
                    <w:rPr>
                      <w:rFonts w:hint="eastAsia"/>
                      <w:color w:val="auto"/>
                      <w:sz w:val="21"/>
                      <w:szCs w:val="21"/>
                      <w:lang w:eastAsia="zh-CN"/>
                    </w:rPr>
                    <w:t>：</w:t>
                  </w:r>
                  <w:r>
                    <w:rPr>
                      <w:color w:val="auto"/>
                      <w:sz w:val="21"/>
                      <w:szCs w:val="21"/>
                    </w:rPr>
                    <w:t>从事船舶污染物、废弃物接收作业，或者从事装载油类、污染危害性货物船舱清洗作业的单位，应当具备与其运营规模相适应的接收处理能力。</w:t>
                  </w:r>
                </w:p>
              </w:tc>
              <w:tc>
                <w:tcPr>
                  <w:tcW w:w="1554" w:type="pct"/>
                  <w:vAlign w:val="center"/>
                </w:tcPr>
                <w:p w14:paraId="6693AE28">
                  <w:pPr>
                    <w:jc w:val="both"/>
                    <w:rPr>
                      <w:rFonts w:hint="eastAsia" w:eastAsia="宋体"/>
                      <w:color w:val="auto"/>
                      <w:sz w:val="21"/>
                      <w:szCs w:val="21"/>
                      <w:lang w:val="en-US" w:eastAsia="zh-CN"/>
                    </w:rPr>
                  </w:pPr>
                  <w:r>
                    <w:rPr>
                      <w:color w:val="auto"/>
                      <w:sz w:val="21"/>
                      <w:szCs w:val="21"/>
                    </w:rPr>
                    <w:t>本项目不</w:t>
                  </w:r>
                  <w:r>
                    <w:rPr>
                      <w:rFonts w:hint="eastAsia"/>
                      <w:color w:val="auto"/>
                      <w:sz w:val="21"/>
                      <w:szCs w:val="21"/>
                      <w:lang w:val="en-US" w:eastAsia="zh-CN"/>
                    </w:rPr>
                    <w:t>属于</w:t>
                  </w:r>
                  <w:r>
                    <w:rPr>
                      <w:color w:val="auto"/>
                      <w:sz w:val="21"/>
                      <w:szCs w:val="21"/>
                    </w:rPr>
                    <w:t>港口、码头</w:t>
                  </w:r>
                  <w:r>
                    <w:rPr>
                      <w:rFonts w:hint="eastAsia"/>
                      <w:color w:val="auto"/>
                      <w:sz w:val="21"/>
                      <w:szCs w:val="21"/>
                      <w:lang w:val="en-US" w:eastAsia="zh-CN"/>
                    </w:rPr>
                    <w:t>项目。</w:t>
                  </w:r>
                </w:p>
              </w:tc>
              <w:tc>
                <w:tcPr>
                  <w:tcW w:w="324" w:type="pct"/>
                  <w:vAlign w:val="center"/>
                </w:tcPr>
                <w:p w14:paraId="51271828">
                  <w:pPr>
                    <w:jc w:val="center"/>
                    <w:rPr>
                      <w:color w:val="auto"/>
                      <w:sz w:val="21"/>
                      <w:szCs w:val="21"/>
                    </w:rPr>
                  </w:pPr>
                  <w:r>
                    <w:rPr>
                      <w:rFonts w:hint="eastAsia"/>
                      <w:b w:val="0"/>
                      <w:bCs w:val="0"/>
                      <w:color w:val="auto"/>
                      <w:kern w:val="0"/>
                      <w:sz w:val="21"/>
                      <w:szCs w:val="21"/>
                      <w:lang w:val="en-US" w:eastAsia="zh-CN"/>
                    </w:rPr>
                    <w:t>不涉及</w:t>
                  </w:r>
                </w:p>
              </w:tc>
            </w:tr>
            <w:tr w14:paraId="083CB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33772FD3">
                  <w:pPr>
                    <w:jc w:val="center"/>
                    <w:rPr>
                      <w:color w:val="auto"/>
                      <w:kern w:val="0"/>
                      <w:sz w:val="21"/>
                      <w:szCs w:val="21"/>
                    </w:rPr>
                  </w:pPr>
                </w:p>
              </w:tc>
              <w:tc>
                <w:tcPr>
                  <w:tcW w:w="317" w:type="pct"/>
                  <w:vMerge w:val="continue"/>
                  <w:vAlign w:val="center"/>
                </w:tcPr>
                <w:p w14:paraId="27BC7B70">
                  <w:pPr>
                    <w:jc w:val="center"/>
                    <w:rPr>
                      <w:color w:val="auto"/>
                      <w:sz w:val="21"/>
                      <w:szCs w:val="21"/>
                    </w:rPr>
                  </w:pPr>
                </w:p>
              </w:tc>
              <w:tc>
                <w:tcPr>
                  <w:tcW w:w="2478" w:type="pct"/>
                  <w:vAlign w:val="center"/>
                </w:tcPr>
                <w:p w14:paraId="18519048">
                  <w:pPr>
                    <w:jc w:val="both"/>
                    <w:rPr>
                      <w:color w:val="auto"/>
                      <w:sz w:val="21"/>
                      <w:szCs w:val="21"/>
                    </w:rPr>
                  </w:pPr>
                  <w:r>
                    <w:rPr>
                      <w:color w:val="auto"/>
                      <w:sz w:val="21"/>
                      <w:szCs w:val="21"/>
                    </w:rPr>
                    <w:t>位于城镇人口密集区内，安全、卫生防护距离不能满足相关要求和不符合规划的现有危险化学品生产企业限期退出或依法关停。</w:t>
                  </w:r>
                </w:p>
              </w:tc>
              <w:tc>
                <w:tcPr>
                  <w:tcW w:w="1554" w:type="pct"/>
                  <w:vAlign w:val="center"/>
                </w:tcPr>
                <w:p w14:paraId="1981EED5">
                  <w:pPr>
                    <w:jc w:val="both"/>
                    <w:rPr>
                      <w:rFonts w:hint="eastAsia" w:eastAsia="宋体"/>
                      <w:color w:val="auto"/>
                      <w:sz w:val="21"/>
                      <w:szCs w:val="21"/>
                      <w:lang w:val="en-US" w:eastAsia="zh-CN"/>
                    </w:rPr>
                  </w:pPr>
                  <w:r>
                    <w:rPr>
                      <w:color w:val="auto"/>
                      <w:sz w:val="21"/>
                      <w:szCs w:val="21"/>
                    </w:rPr>
                    <w:t>本项目</w:t>
                  </w:r>
                  <w:r>
                    <w:rPr>
                      <w:rFonts w:hint="eastAsia"/>
                      <w:color w:val="auto"/>
                      <w:sz w:val="21"/>
                      <w:szCs w:val="21"/>
                      <w:lang w:val="en-US" w:eastAsia="zh-CN"/>
                    </w:rPr>
                    <w:t>位于江西省宜春市高安市蓝坊镇燕窝村</w:t>
                  </w:r>
                  <w:r>
                    <w:rPr>
                      <w:rFonts w:hint="eastAsia" w:cs="Times New Roman"/>
                      <w:color w:val="auto"/>
                      <w:kern w:val="24"/>
                      <w:sz w:val="21"/>
                      <w:szCs w:val="21"/>
                      <w:lang w:val="en-US" w:eastAsia="zh-CN" w:bidi="ar"/>
                    </w:rPr>
                    <w:t>，不属于</w:t>
                  </w:r>
                  <w:r>
                    <w:rPr>
                      <w:color w:val="auto"/>
                      <w:sz w:val="21"/>
                      <w:szCs w:val="21"/>
                    </w:rPr>
                    <w:t>城镇人口密集区内</w:t>
                  </w:r>
                  <w:r>
                    <w:rPr>
                      <w:rFonts w:hint="eastAsia"/>
                      <w:color w:val="auto"/>
                      <w:sz w:val="21"/>
                      <w:szCs w:val="21"/>
                      <w:lang w:eastAsia="zh-CN"/>
                    </w:rPr>
                    <w:t>。</w:t>
                  </w:r>
                </w:p>
              </w:tc>
              <w:tc>
                <w:tcPr>
                  <w:tcW w:w="324" w:type="pct"/>
                  <w:vAlign w:val="center"/>
                </w:tcPr>
                <w:p w14:paraId="6BBBE576">
                  <w:pPr>
                    <w:jc w:val="center"/>
                    <w:rPr>
                      <w:rFonts w:hint="eastAsia" w:eastAsia="宋体"/>
                      <w:color w:val="auto"/>
                      <w:sz w:val="21"/>
                      <w:szCs w:val="21"/>
                      <w:lang w:val="en-US" w:eastAsia="zh-CN"/>
                    </w:rPr>
                  </w:pPr>
                  <w:r>
                    <w:rPr>
                      <w:rFonts w:hint="eastAsia"/>
                      <w:color w:val="auto"/>
                      <w:sz w:val="21"/>
                      <w:szCs w:val="21"/>
                      <w:lang w:val="en-US" w:eastAsia="zh-CN"/>
                    </w:rPr>
                    <w:t>不涉及</w:t>
                  </w:r>
                </w:p>
              </w:tc>
            </w:tr>
            <w:tr w14:paraId="45772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658CF405">
                  <w:pPr>
                    <w:jc w:val="center"/>
                    <w:rPr>
                      <w:color w:val="auto"/>
                      <w:kern w:val="0"/>
                      <w:sz w:val="21"/>
                      <w:szCs w:val="21"/>
                    </w:rPr>
                  </w:pPr>
                </w:p>
              </w:tc>
              <w:tc>
                <w:tcPr>
                  <w:tcW w:w="317" w:type="pct"/>
                  <w:vMerge w:val="continue"/>
                  <w:vAlign w:val="center"/>
                </w:tcPr>
                <w:p w14:paraId="3E028175">
                  <w:pPr>
                    <w:jc w:val="center"/>
                    <w:rPr>
                      <w:color w:val="auto"/>
                      <w:sz w:val="21"/>
                      <w:szCs w:val="21"/>
                    </w:rPr>
                  </w:pPr>
                </w:p>
              </w:tc>
              <w:tc>
                <w:tcPr>
                  <w:tcW w:w="2478" w:type="pct"/>
                  <w:vAlign w:val="center"/>
                </w:tcPr>
                <w:p w14:paraId="528E0FAF">
                  <w:pPr>
                    <w:jc w:val="both"/>
                    <w:rPr>
                      <w:color w:val="auto"/>
                      <w:sz w:val="21"/>
                      <w:szCs w:val="21"/>
                    </w:rPr>
                  </w:pPr>
                  <w:r>
                    <w:rPr>
                      <w:color w:val="auto"/>
                      <w:sz w:val="21"/>
                      <w:szCs w:val="21"/>
                    </w:rPr>
                    <w:t>禁止在长江干流岸线三公里范围内和重要支流岸线一公里范围内新建、改建、扩建尾矿库、冶炼渣库和磷石</w:t>
                  </w:r>
                  <w:r>
                    <w:rPr>
                      <w:rFonts w:hint="eastAsia"/>
                      <w:color w:val="auto"/>
                      <w:sz w:val="21"/>
                      <w:szCs w:val="21"/>
                      <w:lang w:val="en-US" w:eastAsia="zh-CN"/>
                    </w:rPr>
                    <w:t>尾矿</w:t>
                  </w:r>
                  <w:r>
                    <w:rPr>
                      <w:color w:val="auto"/>
                      <w:sz w:val="21"/>
                      <w:szCs w:val="21"/>
                    </w:rPr>
                    <w:t>库，以提升安全、生态环境保护水平为目的的改建除外。</w:t>
                  </w:r>
                </w:p>
              </w:tc>
              <w:tc>
                <w:tcPr>
                  <w:tcW w:w="1554" w:type="pct"/>
                  <w:vAlign w:val="center"/>
                </w:tcPr>
                <w:p w14:paraId="471DF10D">
                  <w:pPr>
                    <w:jc w:val="both"/>
                    <w:rPr>
                      <w:rFonts w:hint="eastAsia" w:eastAsia="宋体"/>
                      <w:color w:val="auto"/>
                      <w:sz w:val="21"/>
                      <w:szCs w:val="21"/>
                      <w:lang w:val="en-US" w:eastAsia="zh-CN"/>
                    </w:rPr>
                  </w:pPr>
                  <w:r>
                    <w:rPr>
                      <w:rFonts w:hint="eastAsia"/>
                      <w:color w:val="auto"/>
                      <w:sz w:val="21"/>
                      <w:szCs w:val="21"/>
                      <w:lang w:val="en-US" w:eastAsia="zh-CN"/>
                    </w:rPr>
                    <w:t>本项目不属于</w:t>
                  </w:r>
                  <w:r>
                    <w:rPr>
                      <w:color w:val="auto"/>
                      <w:sz w:val="21"/>
                      <w:szCs w:val="21"/>
                    </w:rPr>
                    <w:t>尾矿库、冶炼渣库和磷石</w:t>
                  </w:r>
                  <w:r>
                    <w:rPr>
                      <w:rFonts w:hint="eastAsia"/>
                      <w:color w:val="auto"/>
                      <w:sz w:val="21"/>
                      <w:szCs w:val="21"/>
                      <w:lang w:val="en-US" w:eastAsia="zh-CN"/>
                    </w:rPr>
                    <w:t>尾矿</w:t>
                  </w:r>
                  <w:r>
                    <w:rPr>
                      <w:color w:val="auto"/>
                      <w:sz w:val="21"/>
                      <w:szCs w:val="21"/>
                    </w:rPr>
                    <w:t>库</w:t>
                  </w:r>
                  <w:r>
                    <w:rPr>
                      <w:rFonts w:hint="eastAsia"/>
                      <w:color w:val="auto"/>
                      <w:sz w:val="21"/>
                      <w:szCs w:val="21"/>
                      <w:lang w:val="en-US" w:eastAsia="zh-CN"/>
                    </w:rPr>
                    <w:t>项目。</w:t>
                  </w:r>
                </w:p>
              </w:tc>
              <w:tc>
                <w:tcPr>
                  <w:tcW w:w="324" w:type="pct"/>
                  <w:vAlign w:val="center"/>
                </w:tcPr>
                <w:p w14:paraId="5FC75C53">
                  <w:pPr>
                    <w:jc w:val="center"/>
                    <w:rPr>
                      <w:color w:val="auto"/>
                      <w:sz w:val="21"/>
                      <w:szCs w:val="21"/>
                    </w:rPr>
                  </w:pPr>
                  <w:r>
                    <w:rPr>
                      <w:rFonts w:hint="eastAsia"/>
                      <w:b w:val="0"/>
                      <w:bCs w:val="0"/>
                      <w:color w:val="auto"/>
                      <w:kern w:val="0"/>
                      <w:sz w:val="21"/>
                      <w:szCs w:val="21"/>
                      <w:lang w:val="en-US" w:eastAsia="zh-CN"/>
                    </w:rPr>
                    <w:t>相符</w:t>
                  </w:r>
                </w:p>
              </w:tc>
            </w:tr>
            <w:tr w14:paraId="27BCE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663A0462">
                  <w:pPr>
                    <w:jc w:val="center"/>
                    <w:rPr>
                      <w:color w:val="auto"/>
                      <w:kern w:val="0"/>
                      <w:sz w:val="21"/>
                      <w:szCs w:val="21"/>
                    </w:rPr>
                  </w:pPr>
                </w:p>
              </w:tc>
              <w:tc>
                <w:tcPr>
                  <w:tcW w:w="317" w:type="pct"/>
                  <w:vMerge w:val="restart"/>
                  <w:vAlign w:val="center"/>
                </w:tcPr>
                <w:p w14:paraId="76CE26F0">
                  <w:pPr>
                    <w:jc w:val="center"/>
                    <w:rPr>
                      <w:color w:val="auto"/>
                      <w:sz w:val="21"/>
                      <w:szCs w:val="21"/>
                    </w:rPr>
                  </w:pPr>
                  <w:r>
                    <w:rPr>
                      <w:color w:val="auto"/>
                      <w:sz w:val="21"/>
                      <w:szCs w:val="21"/>
                    </w:rPr>
                    <w:t>资源利用效率</w:t>
                  </w:r>
                </w:p>
              </w:tc>
              <w:tc>
                <w:tcPr>
                  <w:tcW w:w="2478" w:type="pct"/>
                  <w:vAlign w:val="center"/>
                </w:tcPr>
                <w:p w14:paraId="75C2F489">
                  <w:pPr>
                    <w:jc w:val="both"/>
                    <w:rPr>
                      <w:color w:val="auto"/>
                      <w:sz w:val="21"/>
                      <w:szCs w:val="21"/>
                    </w:rPr>
                  </w:pPr>
                  <w:r>
                    <w:rPr>
                      <w:color w:val="auto"/>
                      <w:sz w:val="21"/>
                      <w:szCs w:val="21"/>
                    </w:rPr>
                    <w:t>对取用水总量已达到或超过控制指标的地区，暂停审批建设项目新增取水。对取用水总量接近控制指标的地区，限制审批建设项目新增取水。</w:t>
                  </w:r>
                </w:p>
              </w:tc>
              <w:tc>
                <w:tcPr>
                  <w:tcW w:w="1554" w:type="pct"/>
                  <w:vAlign w:val="center"/>
                </w:tcPr>
                <w:p w14:paraId="6787B8C3">
                  <w:pPr>
                    <w:jc w:val="both"/>
                    <w:rPr>
                      <w:rFonts w:hint="eastAsia" w:eastAsia="宋体"/>
                      <w:color w:val="auto"/>
                      <w:sz w:val="21"/>
                      <w:szCs w:val="21"/>
                      <w:lang w:val="en-US" w:eastAsia="zh-CN"/>
                    </w:rPr>
                  </w:pPr>
                  <w:r>
                    <w:rPr>
                      <w:color w:val="auto"/>
                      <w:sz w:val="21"/>
                      <w:szCs w:val="21"/>
                    </w:rPr>
                    <w:t>项目</w:t>
                  </w:r>
                  <w:r>
                    <w:rPr>
                      <w:rFonts w:hint="eastAsia"/>
                      <w:color w:val="auto"/>
                      <w:sz w:val="21"/>
                      <w:szCs w:val="21"/>
                      <w:lang w:val="en-US" w:eastAsia="zh-CN"/>
                    </w:rPr>
                    <w:t>所在地</w:t>
                  </w:r>
                  <w:r>
                    <w:rPr>
                      <w:color w:val="auto"/>
                      <w:sz w:val="21"/>
                      <w:szCs w:val="21"/>
                    </w:rPr>
                    <w:t>取用水总量</w:t>
                  </w:r>
                  <w:r>
                    <w:rPr>
                      <w:rFonts w:hint="eastAsia"/>
                      <w:color w:val="auto"/>
                      <w:sz w:val="21"/>
                      <w:szCs w:val="21"/>
                      <w:lang w:val="en-US" w:eastAsia="zh-CN"/>
                    </w:rPr>
                    <w:t>未超过</w:t>
                  </w:r>
                  <w:r>
                    <w:rPr>
                      <w:color w:val="auto"/>
                      <w:sz w:val="21"/>
                      <w:szCs w:val="21"/>
                    </w:rPr>
                    <w:t>控制指标</w:t>
                  </w:r>
                </w:p>
              </w:tc>
              <w:tc>
                <w:tcPr>
                  <w:tcW w:w="324" w:type="pct"/>
                  <w:vAlign w:val="center"/>
                </w:tcPr>
                <w:p w14:paraId="50B4C7BB">
                  <w:pPr>
                    <w:jc w:val="center"/>
                    <w:rPr>
                      <w:color w:val="auto"/>
                      <w:sz w:val="21"/>
                      <w:szCs w:val="21"/>
                    </w:rPr>
                  </w:pPr>
                  <w:r>
                    <w:rPr>
                      <w:rFonts w:hint="eastAsia"/>
                      <w:b w:val="0"/>
                      <w:bCs w:val="0"/>
                      <w:color w:val="auto"/>
                      <w:kern w:val="0"/>
                      <w:sz w:val="21"/>
                      <w:szCs w:val="21"/>
                      <w:lang w:val="en-US" w:eastAsia="zh-CN"/>
                    </w:rPr>
                    <w:t>符合</w:t>
                  </w:r>
                </w:p>
              </w:tc>
            </w:tr>
            <w:tr w14:paraId="51CCE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76D98067">
                  <w:pPr>
                    <w:jc w:val="center"/>
                    <w:rPr>
                      <w:color w:val="auto"/>
                      <w:kern w:val="0"/>
                      <w:sz w:val="21"/>
                      <w:szCs w:val="21"/>
                    </w:rPr>
                  </w:pPr>
                </w:p>
              </w:tc>
              <w:tc>
                <w:tcPr>
                  <w:tcW w:w="317" w:type="pct"/>
                  <w:vMerge w:val="continue"/>
                  <w:vAlign w:val="center"/>
                </w:tcPr>
                <w:p w14:paraId="22375AA4">
                  <w:pPr>
                    <w:jc w:val="center"/>
                    <w:rPr>
                      <w:color w:val="auto"/>
                      <w:sz w:val="21"/>
                      <w:szCs w:val="21"/>
                    </w:rPr>
                  </w:pPr>
                </w:p>
              </w:tc>
              <w:tc>
                <w:tcPr>
                  <w:tcW w:w="2478" w:type="pct"/>
                  <w:vAlign w:val="center"/>
                </w:tcPr>
                <w:p w14:paraId="01489E8B">
                  <w:pPr>
                    <w:jc w:val="both"/>
                    <w:rPr>
                      <w:color w:val="auto"/>
                      <w:sz w:val="21"/>
                      <w:szCs w:val="21"/>
                    </w:rPr>
                  </w:pPr>
                  <w:r>
                    <w:rPr>
                      <w:color w:val="auto"/>
                      <w:sz w:val="21"/>
                      <w:szCs w:val="21"/>
                    </w:rPr>
                    <w:t>在禁燃区内，禁止新建、扩建燃用高污染燃料的项目和设施，已建成的应逐步改用天然气、电或者其他清洁能源</w:t>
                  </w:r>
                </w:p>
              </w:tc>
              <w:tc>
                <w:tcPr>
                  <w:tcW w:w="1554" w:type="pct"/>
                  <w:vAlign w:val="center"/>
                </w:tcPr>
                <w:p w14:paraId="34CF2532">
                  <w:pPr>
                    <w:jc w:val="center"/>
                    <w:rPr>
                      <w:rFonts w:hint="eastAsia" w:eastAsia="宋体"/>
                      <w:color w:val="auto"/>
                      <w:sz w:val="21"/>
                      <w:szCs w:val="21"/>
                      <w:lang w:eastAsia="zh-CN"/>
                    </w:rPr>
                  </w:pPr>
                  <w:r>
                    <w:rPr>
                      <w:color w:val="auto"/>
                      <w:sz w:val="21"/>
                      <w:szCs w:val="21"/>
                    </w:rPr>
                    <w:t>本项目不在禁燃区</w:t>
                  </w:r>
                </w:p>
              </w:tc>
              <w:tc>
                <w:tcPr>
                  <w:tcW w:w="324" w:type="pct"/>
                  <w:vAlign w:val="center"/>
                </w:tcPr>
                <w:p w14:paraId="2B88FF9F">
                  <w:pPr>
                    <w:jc w:val="center"/>
                    <w:rPr>
                      <w:color w:val="auto"/>
                      <w:sz w:val="21"/>
                      <w:szCs w:val="21"/>
                    </w:rPr>
                  </w:pPr>
                  <w:r>
                    <w:rPr>
                      <w:rFonts w:hint="eastAsia"/>
                      <w:b w:val="0"/>
                      <w:bCs w:val="0"/>
                      <w:color w:val="auto"/>
                      <w:kern w:val="0"/>
                      <w:sz w:val="21"/>
                      <w:szCs w:val="21"/>
                      <w:lang w:val="en-US" w:eastAsia="zh-CN"/>
                    </w:rPr>
                    <w:t>不涉及</w:t>
                  </w:r>
                </w:p>
              </w:tc>
            </w:tr>
          </w:tbl>
          <w:p w14:paraId="205E6D1D">
            <w:pPr>
              <w:widowControl/>
              <w:spacing w:line="360" w:lineRule="auto"/>
              <w:ind w:firstLine="480" w:firstLineChars="200"/>
              <w:jc w:val="both"/>
              <w:rPr>
                <w:color w:val="auto"/>
                <w:kern w:val="0"/>
                <w:sz w:val="24"/>
              </w:rPr>
            </w:pPr>
            <w:r>
              <w:rPr>
                <w:color w:val="auto"/>
                <w:kern w:val="0"/>
                <w:sz w:val="24"/>
              </w:rPr>
              <w:t>综上，本项目建设与《江西省生态环境厅关于公布江西省生态环境分区管控成果</w:t>
            </w:r>
            <w:r>
              <w:rPr>
                <w:rFonts w:hint="eastAsia"/>
                <w:color w:val="auto"/>
                <w:kern w:val="0"/>
                <w:sz w:val="24"/>
                <w:lang w:eastAsia="zh-CN"/>
              </w:rPr>
              <w:t>（</w:t>
            </w:r>
            <w:r>
              <w:rPr>
                <w:color w:val="auto"/>
                <w:kern w:val="0"/>
                <w:sz w:val="24"/>
              </w:rPr>
              <w:t>2023版</w:t>
            </w:r>
            <w:r>
              <w:rPr>
                <w:rFonts w:hint="eastAsia"/>
                <w:color w:val="auto"/>
                <w:kern w:val="0"/>
                <w:sz w:val="24"/>
                <w:lang w:eastAsia="zh-CN"/>
              </w:rPr>
              <w:t>）</w:t>
            </w:r>
            <w:r>
              <w:rPr>
                <w:color w:val="auto"/>
                <w:kern w:val="0"/>
                <w:sz w:val="24"/>
              </w:rPr>
              <w:t>的函》</w:t>
            </w:r>
            <w:r>
              <w:rPr>
                <w:rFonts w:hint="eastAsia"/>
                <w:color w:val="auto"/>
                <w:kern w:val="0"/>
                <w:sz w:val="24"/>
                <w:lang w:eastAsia="zh-CN"/>
              </w:rPr>
              <w:t>（</w:t>
            </w:r>
            <w:r>
              <w:rPr>
                <w:color w:val="auto"/>
                <w:kern w:val="0"/>
                <w:sz w:val="24"/>
              </w:rPr>
              <w:t>赣环环评函</w:t>
            </w:r>
            <w:r>
              <w:rPr>
                <w:rFonts w:hint="eastAsia" w:ascii="Times New Roman" w:hAnsi="Times New Roman" w:eastAsia="宋体" w:cs="Times New Roman"/>
                <w:color w:val="auto"/>
                <w:kern w:val="2"/>
                <w:sz w:val="24"/>
                <w:szCs w:val="24"/>
                <w:lang w:val="en-US" w:eastAsia="zh-CN" w:bidi="ar-SA"/>
              </w:rPr>
              <w:t>〔202</w:t>
            </w:r>
            <w:r>
              <w:rPr>
                <w:rFonts w:hint="eastAsia" w:eastAsia="宋体" w:cs="Times New Roman"/>
                <w:color w:val="auto"/>
                <w:kern w:val="2"/>
                <w:sz w:val="24"/>
                <w:szCs w:val="24"/>
                <w:lang w:val="en-US" w:eastAsia="zh-CN" w:bidi="ar-SA"/>
              </w:rPr>
              <w:t>4</w:t>
            </w:r>
            <w:r>
              <w:rPr>
                <w:rFonts w:hint="eastAsia" w:ascii="Times New Roman" w:hAnsi="Times New Roman" w:eastAsia="宋体" w:cs="Times New Roman"/>
                <w:color w:val="auto"/>
                <w:kern w:val="2"/>
                <w:sz w:val="24"/>
                <w:szCs w:val="24"/>
                <w:lang w:val="en-US" w:eastAsia="zh-CN" w:bidi="ar-SA"/>
              </w:rPr>
              <w:t>〕</w:t>
            </w:r>
            <w:r>
              <w:rPr>
                <w:color w:val="auto"/>
                <w:kern w:val="0"/>
                <w:sz w:val="24"/>
              </w:rPr>
              <w:t>87号</w:t>
            </w:r>
            <w:r>
              <w:rPr>
                <w:rFonts w:hint="eastAsia"/>
                <w:color w:val="auto"/>
                <w:kern w:val="0"/>
                <w:sz w:val="24"/>
                <w:lang w:eastAsia="zh-CN"/>
              </w:rPr>
              <w:t>）</w:t>
            </w:r>
            <w:r>
              <w:rPr>
                <w:color w:val="auto"/>
                <w:kern w:val="0"/>
                <w:sz w:val="24"/>
              </w:rPr>
              <w:t>相符。</w:t>
            </w:r>
          </w:p>
          <w:p w14:paraId="3A52E922">
            <w:pPr>
              <w:pStyle w:val="7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b w:val="0"/>
                <w:bCs/>
                <w:color w:val="auto"/>
                <w:kern w:val="0"/>
                <w:sz w:val="24"/>
                <w:lang w:eastAsia="zh-CN"/>
              </w:rPr>
            </w:pPr>
            <w:r>
              <w:rPr>
                <w:rFonts w:hint="eastAsia"/>
                <w:b w:val="0"/>
                <w:bCs/>
                <w:color w:val="auto"/>
                <w:kern w:val="0"/>
                <w:sz w:val="24"/>
                <w:lang w:val="en-US" w:eastAsia="zh-CN"/>
              </w:rPr>
              <w:t>根据《</w:t>
            </w:r>
            <w:r>
              <w:rPr>
                <w:b w:val="0"/>
                <w:bCs/>
                <w:color w:val="auto"/>
                <w:kern w:val="0"/>
                <w:sz w:val="24"/>
              </w:rPr>
              <w:t>宜春市人民政府办公室关于公布宜春市生态环境分区管控成果</w:t>
            </w:r>
            <w:r>
              <w:rPr>
                <w:rFonts w:hint="eastAsia"/>
                <w:b w:val="0"/>
                <w:bCs/>
                <w:color w:val="auto"/>
                <w:kern w:val="0"/>
                <w:sz w:val="24"/>
                <w:lang w:eastAsia="zh-CN"/>
              </w:rPr>
              <w:t>（</w:t>
            </w:r>
            <w:r>
              <w:rPr>
                <w:b w:val="0"/>
                <w:bCs/>
                <w:color w:val="auto"/>
                <w:kern w:val="0"/>
                <w:sz w:val="24"/>
              </w:rPr>
              <w:t>2023版</w:t>
            </w:r>
            <w:r>
              <w:rPr>
                <w:rFonts w:hint="eastAsia"/>
                <w:b w:val="0"/>
                <w:bCs/>
                <w:color w:val="auto"/>
                <w:kern w:val="0"/>
                <w:sz w:val="24"/>
                <w:lang w:eastAsia="zh-CN"/>
              </w:rPr>
              <w:t>）</w:t>
            </w:r>
            <w:r>
              <w:rPr>
                <w:b w:val="0"/>
                <w:bCs/>
                <w:color w:val="auto"/>
                <w:kern w:val="0"/>
                <w:sz w:val="24"/>
              </w:rPr>
              <w:t>的通知</w:t>
            </w:r>
            <w:r>
              <w:rPr>
                <w:rFonts w:hint="eastAsia"/>
                <w:b w:val="0"/>
                <w:bCs/>
                <w:color w:val="auto"/>
                <w:kern w:val="0"/>
                <w:sz w:val="24"/>
                <w:lang w:val="en-US" w:eastAsia="zh-CN"/>
              </w:rPr>
              <w:t>》</w:t>
            </w:r>
            <w:r>
              <w:rPr>
                <w:rFonts w:hint="eastAsia"/>
                <w:b w:val="0"/>
                <w:bCs/>
                <w:color w:val="auto"/>
                <w:kern w:val="0"/>
                <w:sz w:val="24"/>
                <w:lang w:eastAsia="zh-CN"/>
              </w:rPr>
              <w:t>（</w:t>
            </w:r>
            <w:r>
              <w:rPr>
                <w:b w:val="0"/>
                <w:bCs/>
                <w:color w:val="auto"/>
                <w:kern w:val="0"/>
                <w:sz w:val="24"/>
              </w:rPr>
              <w:t>宜府办发</w:t>
            </w:r>
            <w:r>
              <w:rPr>
                <w:rFonts w:hint="eastAsia" w:ascii="Times New Roman" w:hAnsi="Times New Roman" w:eastAsia="宋体" w:cs="Times New Roman"/>
                <w:b w:val="0"/>
                <w:bCs/>
                <w:color w:val="auto"/>
                <w:kern w:val="2"/>
                <w:sz w:val="24"/>
                <w:szCs w:val="24"/>
                <w:lang w:val="en-US" w:eastAsia="zh-CN" w:bidi="ar-SA"/>
              </w:rPr>
              <w:t>〔202</w:t>
            </w:r>
            <w:r>
              <w:rPr>
                <w:rFonts w:hint="eastAsia" w:eastAsia="宋体" w:cs="Times New Roman"/>
                <w:b w:val="0"/>
                <w:bCs/>
                <w:color w:val="auto"/>
                <w:kern w:val="2"/>
                <w:sz w:val="24"/>
                <w:szCs w:val="24"/>
                <w:lang w:val="en-US" w:eastAsia="zh-CN" w:bidi="ar-SA"/>
              </w:rPr>
              <w:t>4</w:t>
            </w:r>
            <w:r>
              <w:rPr>
                <w:rFonts w:hint="eastAsia" w:ascii="Times New Roman" w:hAnsi="Times New Roman" w:eastAsia="宋体" w:cs="Times New Roman"/>
                <w:b w:val="0"/>
                <w:bCs/>
                <w:color w:val="auto"/>
                <w:kern w:val="2"/>
                <w:sz w:val="24"/>
                <w:szCs w:val="24"/>
                <w:lang w:val="en-US" w:eastAsia="zh-CN" w:bidi="ar-SA"/>
              </w:rPr>
              <w:t>〕</w:t>
            </w:r>
            <w:r>
              <w:rPr>
                <w:b w:val="0"/>
                <w:bCs/>
                <w:color w:val="auto"/>
                <w:kern w:val="0"/>
                <w:sz w:val="24"/>
              </w:rPr>
              <w:t>9号</w:t>
            </w:r>
            <w:r>
              <w:rPr>
                <w:rFonts w:hint="eastAsia"/>
                <w:b w:val="0"/>
                <w:bCs/>
                <w:color w:val="auto"/>
                <w:kern w:val="0"/>
                <w:sz w:val="24"/>
                <w:lang w:eastAsia="zh-CN"/>
              </w:rPr>
              <w:t>）：全市共划定环境管控单元98个，分为优先保护单元、重点管控单元、一般管控单元三类，其中优先保护单元23个，重点管控单元54个，般管控单元 21个。</w:t>
            </w:r>
          </w:p>
          <w:p w14:paraId="02A99D2A">
            <w:pPr>
              <w:pStyle w:val="7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b w:val="0"/>
                <w:bCs/>
                <w:color w:val="auto"/>
                <w:kern w:val="0"/>
                <w:sz w:val="24"/>
                <w:lang w:eastAsia="zh-CN"/>
              </w:rPr>
            </w:pPr>
            <w:r>
              <w:rPr>
                <w:rFonts w:hint="eastAsia"/>
                <w:b w:val="0"/>
                <w:bCs/>
                <w:color w:val="auto"/>
                <w:kern w:val="0"/>
                <w:sz w:val="24"/>
              </w:rPr>
              <w:t>根据</w:t>
            </w:r>
            <w:r>
              <w:rPr>
                <w:rFonts w:hint="eastAsia"/>
                <w:b w:val="0"/>
                <w:bCs/>
                <w:color w:val="auto"/>
                <w:kern w:val="0"/>
                <w:sz w:val="24"/>
                <w:lang w:val="en-US" w:eastAsia="zh-CN"/>
              </w:rPr>
              <w:t>《</w:t>
            </w:r>
            <w:r>
              <w:rPr>
                <w:b w:val="0"/>
                <w:bCs/>
                <w:color w:val="auto"/>
                <w:kern w:val="0"/>
                <w:sz w:val="24"/>
              </w:rPr>
              <w:t>宜春市人民政府办公室关于公布宜春市生态环境分区管控成果</w:t>
            </w:r>
            <w:r>
              <w:rPr>
                <w:rFonts w:hint="eastAsia"/>
                <w:b w:val="0"/>
                <w:bCs/>
                <w:color w:val="auto"/>
                <w:kern w:val="0"/>
                <w:sz w:val="24"/>
                <w:lang w:eastAsia="zh-CN"/>
              </w:rPr>
              <w:t>（</w:t>
            </w:r>
            <w:r>
              <w:rPr>
                <w:b w:val="0"/>
                <w:bCs/>
                <w:color w:val="auto"/>
                <w:kern w:val="0"/>
                <w:sz w:val="24"/>
              </w:rPr>
              <w:t>2023版</w:t>
            </w:r>
            <w:r>
              <w:rPr>
                <w:rFonts w:hint="eastAsia"/>
                <w:b w:val="0"/>
                <w:bCs/>
                <w:color w:val="auto"/>
                <w:kern w:val="0"/>
                <w:sz w:val="24"/>
                <w:lang w:eastAsia="zh-CN"/>
              </w:rPr>
              <w:t>）</w:t>
            </w:r>
            <w:r>
              <w:rPr>
                <w:b w:val="0"/>
                <w:bCs/>
                <w:color w:val="auto"/>
                <w:kern w:val="0"/>
                <w:sz w:val="24"/>
              </w:rPr>
              <w:t>的通知</w:t>
            </w:r>
            <w:r>
              <w:rPr>
                <w:rFonts w:hint="eastAsia"/>
                <w:b w:val="0"/>
                <w:bCs/>
                <w:color w:val="auto"/>
                <w:kern w:val="0"/>
                <w:sz w:val="24"/>
                <w:lang w:val="en-US" w:eastAsia="zh-CN"/>
              </w:rPr>
              <w:t>》</w:t>
            </w:r>
            <w:r>
              <w:rPr>
                <w:rFonts w:hint="eastAsia"/>
                <w:b w:val="0"/>
                <w:bCs/>
                <w:color w:val="auto"/>
                <w:kern w:val="0"/>
                <w:sz w:val="24"/>
                <w:lang w:eastAsia="zh-CN"/>
              </w:rPr>
              <w:t>（</w:t>
            </w:r>
            <w:r>
              <w:rPr>
                <w:b w:val="0"/>
                <w:bCs/>
                <w:color w:val="auto"/>
                <w:kern w:val="0"/>
                <w:sz w:val="24"/>
              </w:rPr>
              <w:t>宜府办发</w:t>
            </w:r>
            <w:r>
              <w:rPr>
                <w:rFonts w:hint="eastAsia" w:ascii="Times New Roman" w:hAnsi="Times New Roman" w:eastAsia="宋体" w:cs="Times New Roman"/>
                <w:b w:val="0"/>
                <w:bCs/>
                <w:color w:val="auto"/>
                <w:kern w:val="2"/>
                <w:sz w:val="24"/>
                <w:szCs w:val="24"/>
                <w:lang w:val="en-US" w:eastAsia="zh-CN" w:bidi="ar-SA"/>
              </w:rPr>
              <w:t>〔202</w:t>
            </w:r>
            <w:r>
              <w:rPr>
                <w:rFonts w:hint="eastAsia" w:eastAsia="宋体" w:cs="Times New Roman"/>
                <w:b w:val="0"/>
                <w:bCs/>
                <w:color w:val="auto"/>
                <w:kern w:val="2"/>
                <w:sz w:val="24"/>
                <w:szCs w:val="24"/>
                <w:lang w:val="en-US" w:eastAsia="zh-CN" w:bidi="ar-SA"/>
              </w:rPr>
              <w:t>4</w:t>
            </w:r>
            <w:r>
              <w:rPr>
                <w:rFonts w:hint="eastAsia" w:ascii="Times New Roman" w:hAnsi="Times New Roman" w:eastAsia="宋体" w:cs="Times New Roman"/>
                <w:b w:val="0"/>
                <w:bCs/>
                <w:color w:val="auto"/>
                <w:kern w:val="2"/>
                <w:sz w:val="24"/>
                <w:szCs w:val="24"/>
                <w:lang w:val="en-US" w:eastAsia="zh-CN" w:bidi="ar-SA"/>
              </w:rPr>
              <w:t>〕</w:t>
            </w:r>
            <w:r>
              <w:rPr>
                <w:b w:val="0"/>
                <w:bCs/>
                <w:color w:val="auto"/>
                <w:kern w:val="0"/>
                <w:sz w:val="24"/>
              </w:rPr>
              <w:t>9号</w:t>
            </w:r>
            <w:r>
              <w:rPr>
                <w:rFonts w:hint="eastAsia"/>
                <w:b w:val="0"/>
                <w:bCs/>
                <w:color w:val="auto"/>
                <w:kern w:val="0"/>
                <w:sz w:val="24"/>
                <w:lang w:eastAsia="zh-CN"/>
              </w:rPr>
              <w:t>）</w:t>
            </w:r>
            <w:r>
              <w:rPr>
                <w:rFonts w:hint="eastAsia"/>
                <w:b w:val="0"/>
                <w:bCs/>
                <w:color w:val="auto"/>
                <w:kern w:val="0"/>
                <w:sz w:val="24"/>
              </w:rPr>
              <w:t>，本项目位于</w:t>
            </w:r>
            <w:r>
              <w:rPr>
                <w:rFonts w:hint="eastAsia"/>
                <w:b w:val="0"/>
                <w:bCs/>
                <w:color w:val="auto"/>
                <w:kern w:val="0"/>
                <w:sz w:val="24"/>
                <w:lang w:val="en-US" w:eastAsia="zh-CN"/>
              </w:rPr>
              <w:t>江西省宜春市</w:t>
            </w:r>
            <w:r>
              <w:rPr>
                <w:rFonts w:hint="eastAsia"/>
                <w:b w:val="0"/>
                <w:bCs/>
                <w:color w:val="auto"/>
                <w:sz w:val="24"/>
                <w:lang w:val="en-US" w:eastAsia="zh-CN"/>
              </w:rPr>
              <w:t>高安市蓝坊镇</w:t>
            </w:r>
            <w:r>
              <w:rPr>
                <w:rFonts w:hint="eastAsia"/>
                <w:b w:val="0"/>
                <w:bCs/>
                <w:color w:val="auto"/>
                <w:kern w:val="0"/>
                <w:sz w:val="24"/>
              </w:rPr>
              <w:t>，属于江西省宜春市高安市一般管控单元1，环境管控单元编码为ZH36098330001</w:t>
            </w:r>
            <w:r>
              <w:rPr>
                <w:rFonts w:hint="eastAsia"/>
                <w:b w:val="0"/>
                <w:bCs/>
                <w:color w:val="auto"/>
                <w:kern w:val="0"/>
                <w:sz w:val="24"/>
                <w:lang w:eastAsia="zh-CN"/>
              </w:rPr>
              <w:t>。</w:t>
            </w:r>
          </w:p>
          <w:p w14:paraId="120DB404">
            <w:pPr>
              <w:pStyle w:val="7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b w:val="0"/>
                <w:bCs/>
                <w:color w:val="auto"/>
                <w:kern w:val="0"/>
                <w:sz w:val="24"/>
                <w:lang w:val="en-US" w:eastAsia="zh-CN"/>
              </w:rPr>
            </w:pPr>
            <w:r>
              <w:rPr>
                <w:rFonts w:hint="eastAsia"/>
                <w:b w:val="0"/>
                <w:bCs/>
                <w:color w:val="auto"/>
                <w:kern w:val="0"/>
                <w:sz w:val="24"/>
                <w:highlight w:val="none"/>
                <w:lang w:eastAsia="zh-CN"/>
              </w:rPr>
              <w:t>宜春市生态环境</w:t>
            </w:r>
            <w:r>
              <w:rPr>
                <w:rFonts w:hint="eastAsia"/>
                <w:b w:val="0"/>
                <w:bCs/>
                <w:color w:val="auto"/>
                <w:kern w:val="0"/>
                <w:sz w:val="24"/>
                <w:highlight w:val="none"/>
                <w:lang w:val="en-US" w:eastAsia="zh-CN"/>
              </w:rPr>
              <w:t>分区</w:t>
            </w:r>
            <w:r>
              <w:rPr>
                <w:rFonts w:hint="eastAsia"/>
                <w:b w:val="0"/>
                <w:bCs/>
                <w:color w:val="auto"/>
                <w:kern w:val="0"/>
                <w:sz w:val="24"/>
                <w:highlight w:val="none"/>
                <w:lang w:eastAsia="zh-CN"/>
              </w:rPr>
              <w:t>管控清单</w:t>
            </w:r>
            <w:r>
              <w:rPr>
                <w:rFonts w:hint="eastAsia"/>
                <w:b w:val="0"/>
                <w:bCs/>
                <w:color w:val="auto"/>
                <w:kern w:val="0"/>
                <w:sz w:val="24"/>
                <w:lang w:eastAsia="zh-CN"/>
              </w:rPr>
              <w:t>从空间约束、污染物排放管控、环境风险防控和资源利用效率等4个维度提出准入要求，适用全市范围。</w:t>
            </w:r>
            <w:r>
              <w:rPr>
                <w:rFonts w:hint="eastAsia"/>
                <w:b w:val="0"/>
                <w:bCs/>
                <w:color w:val="auto"/>
                <w:kern w:val="0"/>
                <w:sz w:val="24"/>
                <w:lang w:val="en-US" w:eastAsia="zh-CN"/>
              </w:rPr>
              <w:t>项目与</w:t>
            </w:r>
            <w:r>
              <w:rPr>
                <w:rFonts w:hint="eastAsia"/>
                <w:b w:val="0"/>
                <w:bCs/>
                <w:color w:val="auto"/>
                <w:kern w:val="0"/>
                <w:sz w:val="24"/>
                <w:lang w:eastAsia="zh-CN"/>
              </w:rPr>
              <w:t>宜春</w:t>
            </w:r>
            <w:r>
              <w:rPr>
                <w:rFonts w:hint="eastAsia"/>
                <w:b w:val="0"/>
                <w:bCs/>
                <w:color w:val="auto"/>
                <w:kern w:val="0"/>
                <w:sz w:val="24"/>
                <w:highlight w:val="none"/>
                <w:lang w:eastAsia="zh-CN"/>
              </w:rPr>
              <w:t>市</w:t>
            </w:r>
            <w:r>
              <w:rPr>
                <w:rFonts w:hint="eastAsia"/>
                <w:b w:val="0"/>
                <w:bCs/>
                <w:color w:val="auto"/>
                <w:kern w:val="0"/>
                <w:sz w:val="24"/>
                <w:highlight w:val="none"/>
                <w:lang w:val="en-US" w:eastAsia="zh-CN"/>
              </w:rPr>
              <w:t>生</w:t>
            </w:r>
            <w:r>
              <w:rPr>
                <w:rFonts w:hint="eastAsia"/>
                <w:b w:val="0"/>
                <w:bCs/>
                <w:color w:val="auto"/>
                <w:kern w:val="0"/>
                <w:sz w:val="24"/>
                <w:lang w:eastAsia="zh-CN"/>
              </w:rPr>
              <w:t>态环境管控总体准入要求相符性分析见表1-</w:t>
            </w:r>
            <w:r>
              <w:rPr>
                <w:rFonts w:hint="eastAsia"/>
                <w:b w:val="0"/>
                <w:bCs/>
                <w:color w:val="auto"/>
                <w:kern w:val="0"/>
                <w:sz w:val="24"/>
                <w:lang w:val="en-US" w:eastAsia="zh-CN"/>
              </w:rPr>
              <w:t>3</w:t>
            </w:r>
          </w:p>
          <w:p w14:paraId="201AB67C">
            <w:pPr>
              <w:pStyle w:val="70"/>
              <w:jc w:val="center"/>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color w:val="auto"/>
                <w:kern w:val="2"/>
                <w:sz w:val="24"/>
                <w:szCs w:val="24"/>
                <w:lang w:val="en-US" w:eastAsia="zh-CN"/>
              </w:rPr>
              <w:t>表1-</w:t>
            </w:r>
            <w:r>
              <w:rPr>
                <w:rFonts w:hint="eastAsia" w:cs="Times New Roman"/>
                <w:color w:val="auto"/>
                <w:kern w:val="2"/>
                <w:sz w:val="24"/>
                <w:szCs w:val="24"/>
                <w:lang w:val="en-US" w:eastAsia="zh-CN"/>
              </w:rPr>
              <w:t xml:space="preserve">3 </w:t>
            </w:r>
            <w:r>
              <w:rPr>
                <w:rFonts w:hint="default" w:ascii="Times New Roman" w:hAnsi="Times New Roman" w:eastAsia="宋体" w:cs="Times New Roman"/>
                <w:color w:val="auto"/>
                <w:kern w:val="2"/>
                <w:sz w:val="24"/>
                <w:szCs w:val="24"/>
                <w:lang w:val="en-US" w:eastAsia="zh-CN"/>
              </w:rPr>
              <w:t xml:space="preserve"> 与宜春市生态环境管控总体准入要求相符性</w:t>
            </w:r>
          </w:p>
          <w:tbl>
            <w:tblPr>
              <w:tblStyle w:val="28"/>
              <w:tblW w:w="498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51"/>
              <w:gridCol w:w="749"/>
              <w:gridCol w:w="3620"/>
              <w:gridCol w:w="2358"/>
              <w:gridCol w:w="789"/>
            </w:tblGrid>
            <w:tr w14:paraId="455D4B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blHeader/>
                <w:jc w:val="center"/>
              </w:trPr>
              <w:tc>
                <w:tcPr>
                  <w:tcW w:w="223" w:type="pct"/>
                  <w:tcBorders>
                    <w:top w:val="single" w:color="000000" w:sz="12" w:space="0"/>
                    <w:left w:val="nil"/>
                  </w:tcBorders>
                  <w:vAlign w:val="center"/>
                </w:tcPr>
                <w:p w14:paraId="0B4C63F9">
                  <w:pPr>
                    <w:autoSpaceDE w:val="0"/>
                    <w:autoSpaceDN w:val="0"/>
                    <w:adjustRightInd w:val="0"/>
                    <w:jc w:val="center"/>
                    <w:textAlignment w:val="baseline"/>
                    <w:rPr>
                      <w:color w:val="auto"/>
                      <w:szCs w:val="21"/>
                    </w:rPr>
                  </w:pPr>
                  <w:r>
                    <w:rPr>
                      <w:bCs/>
                      <w:color w:val="auto"/>
                      <w:szCs w:val="21"/>
                    </w:rPr>
                    <w:t>维度</w:t>
                  </w:r>
                </w:p>
              </w:tc>
              <w:tc>
                <w:tcPr>
                  <w:tcW w:w="476" w:type="pct"/>
                  <w:tcBorders>
                    <w:top w:val="single" w:color="000000" w:sz="12" w:space="0"/>
                  </w:tcBorders>
                  <w:vAlign w:val="center"/>
                </w:tcPr>
                <w:p w14:paraId="5C3E7350">
                  <w:pPr>
                    <w:autoSpaceDE w:val="0"/>
                    <w:autoSpaceDN w:val="0"/>
                    <w:adjustRightInd w:val="0"/>
                    <w:jc w:val="center"/>
                    <w:textAlignment w:val="baseline"/>
                    <w:rPr>
                      <w:color w:val="auto"/>
                      <w:szCs w:val="21"/>
                    </w:rPr>
                  </w:pPr>
                  <w:r>
                    <w:rPr>
                      <w:bCs/>
                      <w:color w:val="auto"/>
                      <w:szCs w:val="21"/>
                    </w:rPr>
                    <w:t>清单编制要求</w:t>
                  </w:r>
                </w:p>
              </w:tc>
              <w:tc>
                <w:tcPr>
                  <w:tcW w:w="2300" w:type="pct"/>
                  <w:tcBorders>
                    <w:top w:val="single" w:color="000000" w:sz="12" w:space="0"/>
                  </w:tcBorders>
                  <w:vAlign w:val="center"/>
                </w:tcPr>
                <w:p w14:paraId="15361E27">
                  <w:pPr>
                    <w:autoSpaceDE w:val="0"/>
                    <w:autoSpaceDN w:val="0"/>
                    <w:adjustRightInd w:val="0"/>
                    <w:jc w:val="center"/>
                    <w:textAlignment w:val="baseline"/>
                    <w:rPr>
                      <w:color w:val="auto"/>
                      <w:szCs w:val="21"/>
                    </w:rPr>
                  </w:pPr>
                  <w:r>
                    <w:rPr>
                      <w:color w:val="auto"/>
                      <w:szCs w:val="21"/>
                    </w:rPr>
                    <w:t>管控要求</w:t>
                  </w:r>
                </w:p>
              </w:tc>
              <w:tc>
                <w:tcPr>
                  <w:tcW w:w="1498" w:type="pct"/>
                  <w:tcBorders>
                    <w:top w:val="single" w:color="000000" w:sz="12" w:space="0"/>
                    <w:right w:val="nil"/>
                  </w:tcBorders>
                  <w:vAlign w:val="center"/>
                </w:tcPr>
                <w:p w14:paraId="7EA04C71">
                  <w:pPr>
                    <w:autoSpaceDE w:val="0"/>
                    <w:autoSpaceDN w:val="0"/>
                    <w:adjustRightInd w:val="0"/>
                    <w:jc w:val="center"/>
                    <w:textAlignment w:val="baseline"/>
                    <w:rPr>
                      <w:color w:val="auto"/>
                      <w:szCs w:val="21"/>
                    </w:rPr>
                  </w:pPr>
                  <w:r>
                    <w:rPr>
                      <w:rFonts w:hint="eastAsia"/>
                      <w:color w:val="auto"/>
                      <w:szCs w:val="21"/>
                      <w:lang w:val="en-US" w:eastAsia="zh-CN"/>
                    </w:rPr>
                    <w:t>本</w:t>
                  </w:r>
                  <w:r>
                    <w:rPr>
                      <w:color w:val="auto"/>
                      <w:szCs w:val="21"/>
                    </w:rPr>
                    <w:t>项目情况</w:t>
                  </w:r>
                </w:p>
              </w:tc>
              <w:tc>
                <w:tcPr>
                  <w:tcW w:w="501" w:type="pct"/>
                  <w:tcBorders>
                    <w:top w:val="single" w:color="000000" w:sz="12" w:space="0"/>
                    <w:right w:val="nil"/>
                  </w:tcBorders>
                  <w:vAlign w:val="center"/>
                </w:tcPr>
                <w:p w14:paraId="287C0D0E">
                  <w:pPr>
                    <w:autoSpaceDE w:val="0"/>
                    <w:autoSpaceDN w:val="0"/>
                    <w:adjustRightInd w:val="0"/>
                    <w:jc w:val="center"/>
                    <w:textAlignment w:val="baseline"/>
                    <w:rPr>
                      <w:color w:val="auto"/>
                      <w:szCs w:val="21"/>
                    </w:rPr>
                  </w:pPr>
                  <w:r>
                    <w:rPr>
                      <w:bCs/>
                      <w:color w:val="auto"/>
                      <w:szCs w:val="21"/>
                    </w:rPr>
                    <w:t>相符性</w:t>
                  </w:r>
                </w:p>
              </w:tc>
            </w:tr>
            <w:tr w14:paraId="3053BE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jc w:val="center"/>
              </w:trPr>
              <w:tc>
                <w:tcPr>
                  <w:tcW w:w="223" w:type="pct"/>
                  <w:vMerge w:val="restart"/>
                  <w:tcBorders>
                    <w:left w:val="nil"/>
                  </w:tcBorders>
                  <w:vAlign w:val="center"/>
                </w:tcPr>
                <w:p w14:paraId="4A49FA76">
                  <w:pPr>
                    <w:autoSpaceDE w:val="0"/>
                    <w:autoSpaceDN w:val="0"/>
                    <w:adjustRightInd w:val="0"/>
                    <w:jc w:val="center"/>
                    <w:textAlignment w:val="baseline"/>
                    <w:rPr>
                      <w:color w:val="auto"/>
                      <w:szCs w:val="21"/>
                    </w:rPr>
                  </w:pPr>
                  <w:r>
                    <w:rPr>
                      <w:bCs/>
                      <w:color w:val="auto"/>
                      <w:szCs w:val="21"/>
                    </w:rPr>
                    <w:t>空间布局约束</w:t>
                  </w:r>
                </w:p>
              </w:tc>
              <w:tc>
                <w:tcPr>
                  <w:tcW w:w="476" w:type="pct"/>
                  <w:vMerge w:val="restart"/>
                  <w:vAlign w:val="center"/>
                </w:tcPr>
                <w:p w14:paraId="028D351C">
                  <w:pPr>
                    <w:autoSpaceDE w:val="0"/>
                    <w:autoSpaceDN w:val="0"/>
                    <w:adjustRightInd w:val="0"/>
                    <w:jc w:val="center"/>
                    <w:textAlignment w:val="baseline"/>
                    <w:rPr>
                      <w:color w:val="auto"/>
                      <w:szCs w:val="21"/>
                    </w:rPr>
                  </w:pPr>
                  <w:r>
                    <w:rPr>
                      <w:color w:val="auto"/>
                      <w:szCs w:val="21"/>
                    </w:rPr>
                    <w:t>限制开发建设活动的要求</w:t>
                  </w:r>
                </w:p>
              </w:tc>
              <w:tc>
                <w:tcPr>
                  <w:tcW w:w="2300" w:type="pct"/>
                  <w:vAlign w:val="center"/>
                </w:tcPr>
                <w:p w14:paraId="6F006D0B">
                  <w:pPr>
                    <w:autoSpaceDE w:val="0"/>
                    <w:autoSpaceDN w:val="0"/>
                    <w:adjustRightInd w:val="0"/>
                    <w:jc w:val="both"/>
                    <w:textAlignment w:val="baseline"/>
                    <w:rPr>
                      <w:rFonts w:hint="eastAsia" w:eastAsia="宋体"/>
                      <w:color w:val="auto"/>
                      <w:szCs w:val="21"/>
                      <w:lang w:eastAsia="zh-CN"/>
                    </w:rPr>
                  </w:pPr>
                  <w:r>
                    <w:rPr>
                      <w:color w:val="auto"/>
                      <w:szCs w:val="21"/>
                    </w:rPr>
                    <w:t>不得在城镇居民聚集区域、规划区，主导风上风向，以石脑镇中心为界线，向外延伸5公里，新建化工（单纯混合、复配除外）、农药（原药生产）、钢铁、焦化、水泥（熟料）、有色金属冶炼等大气污染型项目</w:t>
                  </w:r>
                  <w:r>
                    <w:rPr>
                      <w:rFonts w:hint="eastAsia"/>
                      <w:color w:val="auto"/>
                      <w:szCs w:val="21"/>
                      <w:lang w:eastAsia="zh-CN"/>
                    </w:rPr>
                    <w:t>。</w:t>
                  </w:r>
                </w:p>
              </w:tc>
              <w:tc>
                <w:tcPr>
                  <w:tcW w:w="1498" w:type="pct"/>
                  <w:tcBorders>
                    <w:right w:val="nil"/>
                  </w:tcBorders>
                  <w:vAlign w:val="center"/>
                </w:tcPr>
                <w:p w14:paraId="7AFB84C0">
                  <w:pPr>
                    <w:autoSpaceDE w:val="0"/>
                    <w:autoSpaceDN w:val="0"/>
                    <w:adjustRightInd w:val="0"/>
                    <w:jc w:val="both"/>
                    <w:textAlignment w:val="baseline"/>
                    <w:rPr>
                      <w:color w:val="auto"/>
                      <w:szCs w:val="21"/>
                    </w:rPr>
                  </w:pPr>
                  <w:r>
                    <w:rPr>
                      <w:rFonts w:hint="eastAsia"/>
                      <w:color w:val="auto"/>
                      <w:szCs w:val="21"/>
                    </w:rPr>
                    <w:t>本项目</w:t>
                  </w:r>
                  <w:r>
                    <w:rPr>
                      <w:color w:val="auto"/>
                      <w:szCs w:val="21"/>
                    </w:rPr>
                    <w:t>不属于化工、农药、钢铁、焦化、水泥、有色金属冶炼等大气污染型项目。</w:t>
                  </w:r>
                </w:p>
              </w:tc>
              <w:tc>
                <w:tcPr>
                  <w:tcW w:w="501" w:type="pct"/>
                  <w:tcBorders>
                    <w:right w:val="nil"/>
                  </w:tcBorders>
                  <w:shd w:val="clear" w:color="auto" w:fill="auto"/>
                  <w:vAlign w:val="center"/>
                </w:tcPr>
                <w:p w14:paraId="1DE863D4">
                  <w:pPr>
                    <w:jc w:val="center"/>
                    <w:rPr>
                      <w:rFonts w:hint="default" w:ascii="Times New Roman" w:hAnsi="Times New Roman" w:eastAsia="宋体" w:cs="Times New Roman"/>
                      <w:b w:val="0"/>
                      <w:bCs w:val="0"/>
                      <w:color w:val="auto"/>
                      <w:kern w:val="0"/>
                      <w:sz w:val="21"/>
                      <w:szCs w:val="21"/>
                      <w:lang w:val="en-US" w:eastAsia="zh-CN" w:bidi="ar-SA"/>
                    </w:rPr>
                  </w:pPr>
                  <w:r>
                    <w:rPr>
                      <w:rFonts w:hint="eastAsia"/>
                      <w:b w:val="0"/>
                      <w:bCs w:val="0"/>
                      <w:color w:val="auto"/>
                      <w:kern w:val="0"/>
                      <w:sz w:val="21"/>
                      <w:szCs w:val="21"/>
                      <w:lang w:val="en-US" w:eastAsia="zh-CN"/>
                    </w:rPr>
                    <w:t>不涉及</w:t>
                  </w:r>
                </w:p>
              </w:tc>
            </w:tr>
            <w:tr w14:paraId="5C95FD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23" w:type="pct"/>
                  <w:vMerge w:val="continue"/>
                  <w:tcBorders>
                    <w:left w:val="nil"/>
                  </w:tcBorders>
                  <w:vAlign w:val="center"/>
                </w:tcPr>
                <w:p w14:paraId="3DE23652">
                  <w:pPr>
                    <w:autoSpaceDE w:val="0"/>
                    <w:autoSpaceDN w:val="0"/>
                    <w:adjustRightInd w:val="0"/>
                    <w:jc w:val="center"/>
                    <w:textAlignment w:val="baseline"/>
                    <w:rPr>
                      <w:color w:val="auto"/>
                      <w:szCs w:val="21"/>
                    </w:rPr>
                  </w:pPr>
                </w:p>
              </w:tc>
              <w:tc>
                <w:tcPr>
                  <w:tcW w:w="476" w:type="pct"/>
                  <w:vMerge w:val="continue"/>
                  <w:vAlign w:val="center"/>
                </w:tcPr>
                <w:p w14:paraId="3514991D">
                  <w:pPr>
                    <w:autoSpaceDE w:val="0"/>
                    <w:autoSpaceDN w:val="0"/>
                    <w:adjustRightInd w:val="0"/>
                    <w:jc w:val="center"/>
                    <w:textAlignment w:val="baseline"/>
                    <w:rPr>
                      <w:color w:val="auto"/>
                      <w:szCs w:val="21"/>
                    </w:rPr>
                  </w:pPr>
                </w:p>
              </w:tc>
              <w:tc>
                <w:tcPr>
                  <w:tcW w:w="2300" w:type="pct"/>
                  <w:vAlign w:val="center"/>
                </w:tcPr>
                <w:p w14:paraId="0B8E870B">
                  <w:pPr>
                    <w:autoSpaceDE w:val="0"/>
                    <w:autoSpaceDN w:val="0"/>
                    <w:adjustRightInd w:val="0"/>
                    <w:jc w:val="both"/>
                    <w:textAlignment w:val="baseline"/>
                    <w:rPr>
                      <w:color w:val="auto"/>
                      <w:szCs w:val="21"/>
                    </w:rPr>
                  </w:pPr>
                  <w:r>
                    <w:rPr>
                      <w:color w:val="auto"/>
                      <w:szCs w:val="21"/>
                    </w:rPr>
                    <w:t>生态保护红线内，自然保护地核心保护区原则上禁止人为活动，其他区域严格禁止开发性、生产性建设活动。</w:t>
                  </w:r>
                </w:p>
              </w:tc>
              <w:tc>
                <w:tcPr>
                  <w:tcW w:w="1498" w:type="pct"/>
                  <w:tcBorders>
                    <w:right w:val="nil"/>
                  </w:tcBorders>
                  <w:vAlign w:val="center"/>
                </w:tcPr>
                <w:p w14:paraId="592089A6">
                  <w:pPr>
                    <w:autoSpaceDE w:val="0"/>
                    <w:autoSpaceDN w:val="0"/>
                    <w:adjustRightInd w:val="0"/>
                    <w:jc w:val="both"/>
                    <w:textAlignment w:val="baseline"/>
                    <w:rPr>
                      <w:color w:val="auto"/>
                      <w:szCs w:val="21"/>
                    </w:rPr>
                  </w:pPr>
                  <w:r>
                    <w:rPr>
                      <w:color w:val="auto"/>
                      <w:szCs w:val="21"/>
                    </w:rPr>
                    <w:t>本项目不在生态保护红线内，自然保护地核心保护区范围内。</w:t>
                  </w:r>
                </w:p>
              </w:tc>
              <w:tc>
                <w:tcPr>
                  <w:tcW w:w="501" w:type="pct"/>
                  <w:tcBorders>
                    <w:right w:val="nil"/>
                  </w:tcBorders>
                  <w:shd w:val="clear" w:color="auto" w:fill="auto"/>
                  <w:vAlign w:val="center"/>
                </w:tcPr>
                <w:p w14:paraId="60BF6654">
                  <w:pPr>
                    <w:jc w:val="center"/>
                    <w:rPr>
                      <w:rFonts w:hint="default" w:ascii="Times New Roman" w:hAnsi="Times New Roman" w:eastAsia="宋体" w:cs="Times New Roman"/>
                      <w:b w:val="0"/>
                      <w:bCs w:val="0"/>
                      <w:color w:val="auto"/>
                      <w:kern w:val="0"/>
                      <w:sz w:val="21"/>
                      <w:szCs w:val="21"/>
                      <w:lang w:val="en-US" w:eastAsia="zh-CN" w:bidi="ar-SA"/>
                    </w:rPr>
                  </w:pPr>
                  <w:r>
                    <w:rPr>
                      <w:rFonts w:hint="eastAsia"/>
                      <w:b w:val="0"/>
                      <w:bCs w:val="0"/>
                      <w:color w:val="auto"/>
                      <w:kern w:val="0"/>
                      <w:sz w:val="21"/>
                      <w:szCs w:val="21"/>
                      <w:lang w:val="en-US" w:eastAsia="zh-CN"/>
                    </w:rPr>
                    <w:t>不涉及</w:t>
                  </w:r>
                </w:p>
              </w:tc>
            </w:tr>
            <w:tr w14:paraId="06EB47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8" w:hRule="atLeast"/>
                <w:jc w:val="center"/>
              </w:trPr>
              <w:tc>
                <w:tcPr>
                  <w:tcW w:w="223" w:type="pct"/>
                  <w:vMerge w:val="continue"/>
                  <w:tcBorders>
                    <w:left w:val="nil"/>
                  </w:tcBorders>
                  <w:vAlign w:val="center"/>
                </w:tcPr>
                <w:p w14:paraId="27403026">
                  <w:pPr>
                    <w:autoSpaceDE w:val="0"/>
                    <w:autoSpaceDN w:val="0"/>
                    <w:adjustRightInd w:val="0"/>
                    <w:jc w:val="center"/>
                    <w:textAlignment w:val="baseline"/>
                    <w:rPr>
                      <w:color w:val="auto"/>
                      <w:szCs w:val="21"/>
                    </w:rPr>
                  </w:pPr>
                </w:p>
              </w:tc>
              <w:tc>
                <w:tcPr>
                  <w:tcW w:w="476" w:type="pct"/>
                  <w:vMerge w:val="continue"/>
                  <w:vAlign w:val="center"/>
                </w:tcPr>
                <w:p w14:paraId="1C0E5737">
                  <w:pPr>
                    <w:autoSpaceDE w:val="0"/>
                    <w:autoSpaceDN w:val="0"/>
                    <w:adjustRightInd w:val="0"/>
                    <w:jc w:val="center"/>
                    <w:textAlignment w:val="baseline"/>
                    <w:rPr>
                      <w:color w:val="auto"/>
                      <w:szCs w:val="21"/>
                    </w:rPr>
                  </w:pPr>
                </w:p>
              </w:tc>
              <w:tc>
                <w:tcPr>
                  <w:tcW w:w="2300" w:type="pct"/>
                  <w:vAlign w:val="center"/>
                </w:tcPr>
                <w:p w14:paraId="4349CE29">
                  <w:pPr>
                    <w:autoSpaceDE w:val="0"/>
                    <w:autoSpaceDN w:val="0"/>
                    <w:adjustRightInd w:val="0"/>
                    <w:jc w:val="both"/>
                    <w:textAlignment w:val="baseline"/>
                    <w:rPr>
                      <w:color w:val="auto"/>
                      <w:szCs w:val="21"/>
                    </w:rPr>
                  </w:pPr>
                  <w:r>
                    <w:rPr>
                      <w:color w:val="auto"/>
                      <w:szCs w:val="21"/>
                    </w:rPr>
                    <w:t>加强重金属污染源头防控，减少使用高铊矿石原料。废水、废气排放的涉铊企业要设置除铊治理设施，需相应达到排放标准要求，对于生产废水零排放的项目，企业废水总排口中铊不得检出。</w:t>
                  </w:r>
                </w:p>
              </w:tc>
              <w:tc>
                <w:tcPr>
                  <w:tcW w:w="1498" w:type="pct"/>
                  <w:tcBorders>
                    <w:right w:val="nil"/>
                  </w:tcBorders>
                  <w:vAlign w:val="center"/>
                </w:tcPr>
                <w:p w14:paraId="390EA125">
                  <w:pPr>
                    <w:autoSpaceDE w:val="0"/>
                    <w:autoSpaceDN w:val="0"/>
                    <w:adjustRightInd w:val="0"/>
                    <w:jc w:val="both"/>
                    <w:textAlignment w:val="baseline"/>
                    <w:rPr>
                      <w:color w:val="auto"/>
                      <w:szCs w:val="21"/>
                    </w:rPr>
                  </w:pPr>
                  <w:r>
                    <w:rPr>
                      <w:rFonts w:hint="eastAsia"/>
                      <w:b w:val="0"/>
                      <w:bCs w:val="0"/>
                      <w:color w:val="auto"/>
                      <w:kern w:val="0"/>
                      <w:sz w:val="21"/>
                      <w:szCs w:val="21"/>
                      <w:lang w:val="en-US" w:eastAsia="zh-CN"/>
                    </w:rPr>
                    <w:t>本项目为</w:t>
                  </w:r>
                  <w:r>
                    <w:rPr>
                      <w:rFonts w:hint="eastAsia" w:cs="Times New Roman"/>
                      <w:color w:val="auto"/>
                      <w:kern w:val="2"/>
                      <w:sz w:val="21"/>
                      <w:szCs w:val="21"/>
                      <w:lang w:val="en-US" w:eastAsia="zh-CN" w:bidi="ar-SA"/>
                    </w:rPr>
                    <w:t>包装装潢及其他印刷</w:t>
                  </w:r>
                  <w:r>
                    <w:rPr>
                      <w:rFonts w:hint="eastAsia" w:eastAsia="宋体" w:cs="Times New Roman"/>
                      <w:color w:val="auto"/>
                      <w:kern w:val="2"/>
                      <w:sz w:val="21"/>
                      <w:szCs w:val="21"/>
                      <w:lang w:val="en-US" w:eastAsia="zh-CN" w:bidi="ar-SA"/>
                    </w:rPr>
                    <w:t>行业</w:t>
                  </w:r>
                  <w:r>
                    <w:rPr>
                      <w:rFonts w:hint="eastAsia"/>
                      <w:color w:val="auto"/>
                      <w:szCs w:val="21"/>
                      <w:lang w:val="en-US" w:eastAsia="zh-CN"/>
                    </w:rPr>
                    <w:t>，不涉及</w:t>
                  </w:r>
                  <w:r>
                    <w:rPr>
                      <w:color w:val="auto"/>
                      <w:szCs w:val="21"/>
                    </w:rPr>
                    <w:t>重金属污染物。</w:t>
                  </w:r>
                </w:p>
              </w:tc>
              <w:tc>
                <w:tcPr>
                  <w:tcW w:w="501" w:type="pct"/>
                  <w:tcBorders>
                    <w:right w:val="nil"/>
                  </w:tcBorders>
                  <w:vAlign w:val="center"/>
                </w:tcPr>
                <w:p w14:paraId="3AFF3404">
                  <w:pPr>
                    <w:jc w:val="center"/>
                    <w:rPr>
                      <w:color w:val="auto"/>
                      <w:szCs w:val="21"/>
                    </w:rPr>
                  </w:pPr>
                  <w:r>
                    <w:rPr>
                      <w:rFonts w:hint="eastAsia"/>
                      <w:b w:val="0"/>
                      <w:bCs w:val="0"/>
                      <w:color w:val="auto"/>
                      <w:kern w:val="0"/>
                      <w:sz w:val="21"/>
                      <w:szCs w:val="21"/>
                      <w:lang w:val="en-US" w:eastAsia="zh-CN"/>
                    </w:rPr>
                    <w:t>不涉及</w:t>
                  </w:r>
                </w:p>
              </w:tc>
            </w:tr>
            <w:tr w14:paraId="7BDA28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3" w:hRule="atLeast"/>
                <w:jc w:val="center"/>
              </w:trPr>
              <w:tc>
                <w:tcPr>
                  <w:tcW w:w="223" w:type="pct"/>
                  <w:vMerge w:val="continue"/>
                  <w:tcBorders>
                    <w:left w:val="nil"/>
                  </w:tcBorders>
                  <w:vAlign w:val="center"/>
                </w:tcPr>
                <w:p w14:paraId="1860D798">
                  <w:pPr>
                    <w:autoSpaceDE w:val="0"/>
                    <w:autoSpaceDN w:val="0"/>
                    <w:adjustRightInd w:val="0"/>
                    <w:jc w:val="center"/>
                    <w:textAlignment w:val="baseline"/>
                    <w:rPr>
                      <w:color w:val="auto"/>
                      <w:szCs w:val="21"/>
                    </w:rPr>
                  </w:pPr>
                </w:p>
              </w:tc>
              <w:tc>
                <w:tcPr>
                  <w:tcW w:w="476" w:type="pct"/>
                  <w:vAlign w:val="center"/>
                </w:tcPr>
                <w:p w14:paraId="0C3D9D10">
                  <w:pPr>
                    <w:autoSpaceDE w:val="0"/>
                    <w:autoSpaceDN w:val="0"/>
                    <w:adjustRightInd w:val="0"/>
                    <w:jc w:val="center"/>
                    <w:textAlignment w:val="baseline"/>
                    <w:rPr>
                      <w:color w:val="auto"/>
                      <w:szCs w:val="21"/>
                    </w:rPr>
                  </w:pPr>
                  <w:r>
                    <w:rPr>
                      <w:color w:val="auto"/>
                      <w:szCs w:val="21"/>
                    </w:rPr>
                    <w:t>不符合空间布局要求活动的退出要求</w:t>
                  </w:r>
                </w:p>
              </w:tc>
              <w:tc>
                <w:tcPr>
                  <w:tcW w:w="2300" w:type="pct"/>
                  <w:vAlign w:val="center"/>
                </w:tcPr>
                <w:p w14:paraId="089F53F5">
                  <w:pPr>
                    <w:autoSpaceDE w:val="0"/>
                    <w:autoSpaceDN w:val="0"/>
                    <w:adjustRightInd w:val="0"/>
                    <w:jc w:val="both"/>
                    <w:textAlignment w:val="baseline"/>
                    <w:rPr>
                      <w:color w:val="auto"/>
                      <w:szCs w:val="21"/>
                    </w:rPr>
                  </w:pPr>
                  <w:r>
                    <w:rPr>
                      <w:color w:val="auto"/>
                      <w:szCs w:val="21"/>
                    </w:rPr>
                    <w:t>城市建成区现有重污染企业（钢铁、水泥、浮化玻璃等）限期退出或改造；依法依规清除距离赣江岸线1公里范围内未入园的化工企业，依法关闭“小化工”企业，全面加强化工企业环境监管。</w:t>
                  </w:r>
                </w:p>
              </w:tc>
              <w:tc>
                <w:tcPr>
                  <w:tcW w:w="1498" w:type="pct"/>
                  <w:tcBorders>
                    <w:right w:val="nil"/>
                  </w:tcBorders>
                  <w:vAlign w:val="center"/>
                </w:tcPr>
                <w:p w14:paraId="41BEF51C">
                  <w:pPr>
                    <w:autoSpaceDE w:val="0"/>
                    <w:autoSpaceDN w:val="0"/>
                    <w:adjustRightInd w:val="0"/>
                    <w:jc w:val="both"/>
                    <w:textAlignment w:val="baseline"/>
                    <w:rPr>
                      <w:color w:val="auto"/>
                      <w:szCs w:val="21"/>
                    </w:rPr>
                  </w:pPr>
                  <w:r>
                    <w:rPr>
                      <w:rFonts w:hint="eastAsia"/>
                      <w:b w:val="0"/>
                      <w:bCs w:val="0"/>
                      <w:color w:val="auto"/>
                      <w:kern w:val="0"/>
                      <w:sz w:val="21"/>
                      <w:szCs w:val="21"/>
                      <w:lang w:val="en-US" w:eastAsia="zh-CN"/>
                    </w:rPr>
                    <w:t>本项目为</w:t>
                  </w:r>
                  <w:r>
                    <w:rPr>
                      <w:rFonts w:hint="eastAsia" w:cs="Times New Roman"/>
                      <w:color w:val="auto"/>
                      <w:kern w:val="2"/>
                      <w:sz w:val="21"/>
                      <w:szCs w:val="21"/>
                      <w:lang w:val="en-US" w:eastAsia="zh-CN" w:bidi="ar-SA"/>
                    </w:rPr>
                    <w:t>包装装潢及其他印刷</w:t>
                  </w:r>
                  <w:r>
                    <w:rPr>
                      <w:rFonts w:hint="eastAsia" w:eastAsia="宋体" w:cs="Times New Roman"/>
                      <w:color w:val="auto"/>
                      <w:kern w:val="2"/>
                      <w:sz w:val="21"/>
                      <w:szCs w:val="21"/>
                      <w:lang w:val="en-US" w:eastAsia="zh-CN" w:bidi="ar-SA"/>
                    </w:rPr>
                    <w:t>行业</w:t>
                  </w:r>
                  <w:r>
                    <w:rPr>
                      <w:rFonts w:hint="eastAsia"/>
                      <w:color w:val="auto"/>
                      <w:szCs w:val="21"/>
                      <w:lang w:val="en-US" w:eastAsia="zh-CN"/>
                    </w:rPr>
                    <w:t>，</w:t>
                  </w:r>
                  <w:r>
                    <w:rPr>
                      <w:color w:val="auto"/>
                      <w:szCs w:val="21"/>
                    </w:rPr>
                    <w:t>不属于重污染企业。</w:t>
                  </w:r>
                </w:p>
              </w:tc>
              <w:tc>
                <w:tcPr>
                  <w:tcW w:w="501" w:type="pct"/>
                  <w:tcBorders>
                    <w:right w:val="nil"/>
                  </w:tcBorders>
                  <w:shd w:val="clear" w:color="auto" w:fill="auto"/>
                  <w:vAlign w:val="center"/>
                </w:tcPr>
                <w:p w14:paraId="721557A6">
                  <w:pPr>
                    <w:jc w:val="center"/>
                    <w:rPr>
                      <w:rFonts w:hint="default" w:ascii="Times New Roman" w:hAnsi="Times New Roman" w:eastAsia="宋体" w:cs="Times New Roman"/>
                      <w:b w:val="0"/>
                      <w:bCs w:val="0"/>
                      <w:color w:val="auto"/>
                      <w:kern w:val="0"/>
                      <w:sz w:val="21"/>
                      <w:szCs w:val="21"/>
                      <w:lang w:val="en-US" w:eastAsia="zh-CN" w:bidi="ar-SA"/>
                    </w:rPr>
                  </w:pPr>
                  <w:r>
                    <w:rPr>
                      <w:rFonts w:hint="eastAsia"/>
                      <w:b w:val="0"/>
                      <w:bCs w:val="0"/>
                      <w:color w:val="auto"/>
                      <w:kern w:val="0"/>
                      <w:sz w:val="21"/>
                      <w:szCs w:val="21"/>
                      <w:lang w:val="en-US" w:eastAsia="zh-CN"/>
                    </w:rPr>
                    <w:t>不涉及</w:t>
                  </w:r>
                </w:p>
              </w:tc>
            </w:tr>
            <w:tr w14:paraId="0AE2A2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jc w:val="center"/>
              </w:trPr>
              <w:tc>
                <w:tcPr>
                  <w:tcW w:w="223" w:type="pct"/>
                  <w:vMerge w:val="restart"/>
                  <w:tcBorders>
                    <w:left w:val="nil"/>
                  </w:tcBorders>
                  <w:vAlign w:val="center"/>
                </w:tcPr>
                <w:p w14:paraId="07BA9B03">
                  <w:pPr>
                    <w:autoSpaceDE w:val="0"/>
                    <w:autoSpaceDN w:val="0"/>
                    <w:adjustRightInd w:val="0"/>
                    <w:jc w:val="center"/>
                    <w:textAlignment w:val="baseline"/>
                    <w:rPr>
                      <w:color w:val="auto"/>
                      <w:szCs w:val="21"/>
                    </w:rPr>
                  </w:pPr>
                  <w:r>
                    <w:rPr>
                      <w:color w:val="auto"/>
                      <w:szCs w:val="21"/>
                    </w:rPr>
                    <w:t>污染物排放管控</w:t>
                  </w:r>
                </w:p>
              </w:tc>
              <w:tc>
                <w:tcPr>
                  <w:tcW w:w="476" w:type="pct"/>
                  <w:vAlign w:val="center"/>
                </w:tcPr>
                <w:p w14:paraId="04ACC6A5">
                  <w:pPr>
                    <w:autoSpaceDE w:val="0"/>
                    <w:autoSpaceDN w:val="0"/>
                    <w:adjustRightInd w:val="0"/>
                    <w:jc w:val="center"/>
                    <w:textAlignment w:val="baseline"/>
                    <w:rPr>
                      <w:color w:val="auto"/>
                      <w:szCs w:val="21"/>
                    </w:rPr>
                  </w:pPr>
                  <w:r>
                    <w:rPr>
                      <w:color w:val="auto"/>
                      <w:szCs w:val="21"/>
                    </w:rPr>
                    <w:t>允许排放量要求</w:t>
                  </w:r>
                </w:p>
              </w:tc>
              <w:tc>
                <w:tcPr>
                  <w:tcW w:w="2300" w:type="pct"/>
                  <w:vAlign w:val="center"/>
                </w:tcPr>
                <w:p w14:paraId="3ACFE7A2">
                  <w:pPr>
                    <w:jc w:val="both"/>
                    <w:rPr>
                      <w:color w:val="auto"/>
                      <w:szCs w:val="21"/>
                    </w:rPr>
                  </w:pPr>
                  <w:r>
                    <w:rPr>
                      <w:color w:val="auto"/>
                      <w:szCs w:val="21"/>
                    </w:rPr>
                    <w:t>到2025年，全市氮氧化物、挥发性有机物、化学需氧量、氨氮重点工程减排量分别达到2665吨、1920吨、10088吨、653吨。强化涉铊项目环境监管，铊污染物水环境承载能力不足的地区限制引入碳酸锂等涉铊项目。</w:t>
                  </w:r>
                </w:p>
              </w:tc>
              <w:tc>
                <w:tcPr>
                  <w:tcW w:w="1498" w:type="pct"/>
                  <w:tcBorders>
                    <w:right w:val="nil"/>
                  </w:tcBorders>
                  <w:vAlign w:val="center"/>
                </w:tcPr>
                <w:p w14:paraId="3923A1ED">
                  <w:pPr>
                    <w:autoSpaceDE w:val="0"/>
                    <w:autoSpaceDN w:val="0"/>
                    <w:adjustRightInd w:val="0"/>
                    <w:jc w:val="both"/>
                    <w:textAlignment w:val="baseline"/>
                    <w:rPr>
                      <w:color w:val="auto"/>
                      <w:szCs w:val="21"/>
                    </w:rPr>
                  </w:pPr>
                  <w:r>
                    <w:rPr>
                      <w:color w:val="auto"/>
                      <w:szCs w:val="21"/>
                    </w:rPr>
                    <w:t>本项目执行总量控制指标要求，</w:t>
                  </w:r>
                  <w:r>
                    <w:rPr>
                      <w:rFonts w:hint="eastAsia"/>
                      <w:color w:val="auto"/>
                      <w:szCs w:val="21"/>
                      <w:lang w:val="en-US" w:eastAsia="zh-CN"/>
                    </w:rPr>
                    <w:t>项目</w:t>
                  </w:r>
                  <w:r>
                    <w:rPr>
                      <w:color w:val="auto"/>
                      <w:szCs w:val="21"/>
                    </w:rPr>
                    <w:t>不涉铊。</w:t>
                  </w:r>
                </w:p>
              </w:tc>
              <w:tc>
                <w:tcPr>
                  <w:tcW w:w="501" w:type="pct"/>
                  <w:tcBorders>
                    <w:right w:val="nil"/>
                  </w:tcBorders>
                  <w:vAlign w:val="center"/>
                </w:tcPr>
                <w:p w14:paraId="160C6708">
                  <w:pPr>
                    <w:autoSpaceDE w:val="0"/>
                    <w:autoSpaceDN w:val="0"/>
                    <w:adjustRightInd w:val="0"/>
                    <w:jc w:val="center"/>
                    <w:textAlignment w:val="baseline"/>
                    <w:rPr>
                      <w:rFonts w:hint="eastAsia" w:eastAsia="宋体"/>
                      <w:color w:val="auto"/>
                      <w:szCs w:val="21"/>
                      <w:lang w:eastAsia="zh-CN"/>
                    </w:rPr>
                  </w:pPr>
                  <w:r>
                    <w:rPr>
                      <w:rFonts w:hint="eastAsia"/>
                      <w:bCs/>
                      <w:color w:val="auto"/>
                      <w:szCs w:val="21"/>
                      <w:lang w:val="en-US" w:eastAsia="zh-CN"/>
                    </w:rPr>
                    <w:t>符合</w:t>
                  </w:r>
                </w:p>
              </w:tc>
            </w:tr>
            <w:tr w14:paraId="4ACFB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jc w:val="center"/>
              </w:trPr>
              <w:tc>
                <w:tcPr>
                  <w:tcW w:w="223" w:type="pct"/>
                  <w:vMerge w:val="continue"/>
                  <w:tcBorders>
                    <w:left w:val="nil"/>
                  </w:tcBorders>
                  <w:vAlign w:val="center"/>
                </w:tcPr>
                <w:p w14:paraId="79B749BB">
                  <w:pPr>
                    <w:autoSpaceDE w:val="0"/>
                    <w:autoSpaceDN w:val="0"/>
                    <w:adjustRightInd w:val="0"/>
                    <w:jc w:val="center"/>
                    <w:textAlignment w:val="baseline"/>
                    <w:rPr>
                      <w:color w:val="auto"/>
                      <w:szCs w:val="21"/>
                    </w:rPr>
                  </w:pPr>
                </w:p>
              </w:tc>
              <w:tc>
                <w:tcPr>
                  <w:tcW w:w="476" w:type="pct"/>
                  <w:vAlign w:val="center"/>
                </w:tcPr>
                <w:p w14:paraId="6A4C6260">
                  <w:pPr>
                    <w:autoSpaceDE w:val="0"/>
                    <w:autoSpaceDN w:val="0"/>
                    <w:adjustRightInd w:val="0"/>
                    <w:jc w:val="center"/>
                    <w:textAlignment w:val="baseline"/>
                    <w:rPr>
                      <w:color w:val="auto"/>
                      <w:szCs w:val="21"/>
                    </w:rPr>
                  </w:pPr>
                  <w:r>
                    <w:rPr>
                      <w:color w:val="auto"/>
                      <w:szCs w:val="21"/>
                    </w:rPr>
                    <w:t>现有源提标升级改造</w:t>
                  </w:r>
                </w:p>
              </w:tc>
              <w:tc>
                <w:tcPr>
                  <w:tcW w:w="2300" w:type="pct"/>
                  <w:vAlign w:val="center"/>
                </w:tcPr>
                <w:p w14:paraId="5A0701D5">
                  <w:pPr>
                    <w:autoSpaceDE w:val="0"/>
                    <w:autoSpaceDN w:val="0"/>
                    <w:adjustRightInd w:val="0"/>
                    <w:jc w:val="both"/>
                    <w:textAlignment w:val="baseline"/>
                    <w:rPr>
                      <w:color w:val="auto"/>
                      <w:szCs w:val="21"/>
                    </w:rPr>
                  </w:pPr>
                  <w:r>
                    <w:rPr>
                      <w:color w:val="auto"/>
                      <w:szCs w:val="21"/>
                    </w:rPr>
                    <w:t>到2025年底，城市生活污水集中收集率力争达到70%以上，进水BOD浓度高于100mg/L的城市生活污水处理厂规模占比达90%以上；县城生活污水集中收集率较2021年提高10个百分点以上，各县城生活污水处理率达到95%以上，石脑镇生活污水处理厂进水生化需氧量（BOD）浓度力争达到100mg/L以上或较2021年底提</w:t>
                  </w:r>
                  <w:r>
                    <w:rPr>
                      <w:rFonts w:hint="eastAsia"/>
                      <w:color w:val="auto"/>
                      <w:szCs w:val="21"/>
                      <w:highlight w:val="none"/>
                      <w:lang w:val="en-US" w:eastAsia="zh-CN"/>
                    </w:rPr>
                    <w:t>高</w:t>
                  </w:r>
                  <w:r>
                    <w:rPr>
                      <w:color w:val="auto"/>
                      <w:szCs w:val="21"/>
                    </w:rPr>
                    <w:t>20mg/L以上。</w:t>
                  </w:r>
                </w:p>
              </w:tc>
              <w:tc>
                <w:tcPr>
                  <w:tcW w:w="1498" w:type="pct"/>
                  <w:tcBorders>
                    <w:right w:val="nil"/>
                  </w:tcBorders>
                  <w:vAlign w:val="center"/>
                </w:tcPr>
                <w:p w14:paraId="3E11FB7D">
                  <w:pPr>
                    <w:autoSpaceDE w:val="0"/>
                    <w:autoSpaceDN w:val="0"/>
                    <w:adjustRightInd w:val="0"/>
                    <w:jc w:val="both"/>
                    <w:textAlignment w:val="baseline"/>
                    <w:rPr>
                      <w:rFonts w:hint="eastAsia" w:eastAsia="宋体"/>
                      <w:color w:val="auto"/>
                      <w:szCs w:val="21"/>
                      <w:lang w:val="en-US" w:eastAsia="zh-CN"/>
                    </w:rPr>
                  </w:pPr>
                  <w:r>
                    <w:rPr>
                      <w:rFonts w:hint="eastAsia"/>
                      <w:color w:val="auto"/>
                      <w:szCs w:val="21"/>
                      <w:lang w:val="en-US" w:eastAsia="zh-CN"/>
                    </w:rPr>
                    <w:t>项目生活污</w:t>
                  </w:r>
                  <w:r>
                    <w:rPr>
                      <w:rFonts w:hint="eastAsia"/>
                      <w:color w:val="auto"/>
                      <w:sz w:val="21"/>
                      <w:szCs w:val="21"/>
                      <w:lang w:val="en-US" w:eastAsia="zh-CN"/>
                    </w:rPr>
                    <w:t>水</w:t>
                  </w:r>
                  <w:r>
                    <w:rPr>
                      <w:color w:val="auto"/>
                      <w:sz w:val="21"/>
                      <w:szCs w:val="21"/>
                    </w:rPr>
                    <w:t>经化粪池预处理</w:t>
                  </w:r>
                  <w:r>
                    <w:rPr>
                      <w:rFonts w:hint="eastAsia"/>
                      <w:color w:val="auto"/>
                      <w:sz w:val="21"/>
                      <w:szCs w:val="21"/>
                    </w:rPr>
                    <w:t>后用于周边</w:t>
                  </w:r>
                  <w:r>
                    <w:rPr>
                      <w:rFonts w:hint="eastAsia"/>
                      <w:color w:val="auto"/>
                      <w:sz w:val="21"/>
                      <w:szCs w:val="21"/>
                      <w:lang w:val="en-US" w:eastAsia="zh-CN"/>
                    </w:rPr>
                    <w:t>林地施肥</w:t>
                  </w:r>
                  <w:r>
                    <w:rPr>
                      <w:rFonts w:hint="eastAsia"/>
                      <w:color w:val="auto"/>
                      <w:sz w:val="21"/>
                      <w:szCs w:val="21"/>
                    </w:rPr>
                    <w:t>，不外排</w:t>
                  </w:r>
                  <w:r>
                    <w:rPr>
                      <w:rFonts w:hint="eastAsia"/>
                      <w:color w:val="auto"/>
                      <w:sz w:val="21"/>
                      <w:szCs w:val="21"/>
                      <w:lang w:eastAsia="zh-CN"/>
                    </w:rPr>
                    <w:t>。</w:t>
                  </w:r>
                </w:p>
              </w:tc>
              <w:tc>
                <w:tcPr>
                  <w:tcW w:w="501" w:type="pct"/>
                  <w:tcBorders>
                    <w:right w:val="nil"/>
                  </w:tcBorders>
                  <w:vAlign w:val="center"/>
                </w:tcPr>
                <w:p w14:paraId="407506C1">
                  <w:pPr>
                    <w:jc w:val="center"/>
                    <w:rPr>
                      <w:rFonts w:hint="eastAsia" w:eastAsia="宋体"/>
                      <w:color w:val="auto"/>
                      <w:szCs w:val="21"/>
                      <w:lang w:val="en-US" w:eastAsia="zh-CN"/>
                    </w:rPr>
                  </w:pPr>
                  <w:r>
                    <w:rPr>
                      <w:rFonts w:hint="eastAsia"/>
                      <w:color w:val="auto"/>
                      <w:szCs w:val="21"/>
                      <w:lang w:val="en-US" w:eastAsia="zh-CN"/>
                    </w:rPr>
                    <w:t>符合</w:t>
                  </w:r>
                </w:p>
              </w:tc>
            </w:tr>
            <w:tr w14:paraId="4B6254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7" w:hRule="atLeast"/>
                <w:jc w:val="center"/>
              </w:trPr>
              <w:tc>
                <w:tcPr>
                  <w:tcW w:w="223" w:type="pct"/>
                  <w:tcBorders>
                    <w:left w:val="nil"/>
                  </w:tcBorders>
                  <w:vAlign w:val="center"/>
                </w:tcPr>
                <w:p w14:paraId="7F009D45">
                  <w:pPr>
                    <w:autoSpaceDE w:val="0"/>
                    <w:autoSpaceDN w:val="0"/>
                    <w:adjustRightInd w:val="0"/>
                    <w:jc w:val="center"/>
                    <w:textAlignment w:val="baseline"/>
                    <w:rPr>
                      <w:color w:val="auto"/>
                      <w:szCs w:val="21"/>
                    </w:rPr>
                  </w:pPr>
                  <w:r>
                    <w:rPr>
                      <w:color w:val="auto"/>
                      <w:szCs w:val="21"/>
                    </w:rPr>
                    <w:t>环境风险防控</w:t>
                  </w:r>
                </w:p>
              </w:tc>
              <w:tc>
                <w:tcPr>
                  <w:tcW w:w="476" w:type="pct"/>
                  <w:vAlign w:val="center"/>
                </w:tcPr>
                <w:p w14:paraId="5D753331">
                  <w:pPr>
                    <w:autoSpaceDE w:val="0"/>
                    <w:autoSpaceDN w:val="0"/>
                    <w:adjustRightInd w:val="0"/>
                    <w:jc w:val="center"/>
                    <w:textAlignment w:val="baseline"/>
                    <w:rPr>
                      <w:color w:val="auto"/>
                      <w:szCs w:val="21"/>
                    </w:rPr>
                  </w:pPr>
                  <w:r>
                    <w:rPr>
                      <w:color w:val="auto"/>
                      <w:szCs w:val="21"/>
                    </w:rPr>
                    <w:t>联防联控要求</w:t>
                  </w:r>
                </w:p>
              </w:tc>
              <w:tc>
                <w:tcPr>
                  <w:tcW w:w="2300" w:type="pct"/>
                  <w:vAlign w:val="center"/>
                </w:tcPr>
                <w:p w14:paraId="42519B51">
                  <w:pPr>
                    <w:autoSpaceDE w:val="0"/>
                    <w:autoSpaceDN w:val="0"/>
                    <w:adjustRightInd w:val="0"/>
                    <w:jc w:val="both"/>
                    <w:textAlignment w:val="baseline"/>
                    <w:rPr>
                      <w:color w:val="auto"/>
                      <w:szCs w:val="21"/>
                    </w:rPr>
                  </w:pPr>
                  <w:r>
                    <w:rPr>
                      <w:color w:val="auto"/>
                      <w:szCs w:val="21"/>
                    </w:rPr>
                    <w:t>建立企业、园区、地方政府之间环境风险联防联控体系和联合应急体系；增强与萍乡、新余等地的联系，完善流域合作，推动建立跨区域的袁河流域水污染防治联动协作机制。</w:t>
                  </w:r>
                </w:p>
              </w:tc>
              <w:tc>
                <w:tcPr>
                  <w:tcW w:w="1498" w:type="pct"/>
                  <w:tcBorders>
                    <w:right w:val="nil"/>
                  </w:tcBorders>
                  <w:vAlign w:val="center"/>
                </w:tcPr>
                <w:p w14:paraId="19FD4504">
                  <w:pPr>
                    <w:autoSpaceDE w:val="0"/>
                    <w:autoSpaceDN w:val="0"/>
                    <w:adjustRightInd w:val="0"/>
                    <w:jc w:val="left"/>
                    <w:textAlignment w:val="baseline"/>
                    <w:rPr>
                      <w:color w:val="auto"/>
                      <w:szCs w:val="21"/>
                    </w:rPr>
                  </w:pPr>
                  <w:r>
                    <w:rPr>
                      <w:rFonts w:hint="eastAsia"/>
                      <w:color w:val="auto"/>
                      <w:szCs w:val="21"/>
                    </w:rPr>
                    <w:t>项目建成后按要求制定突发环境事件应急预案</w:t>
                  </w:r>
                </w:p>
              </w:tc>
              <w:tc>
                <w:tcPr>
                  <w:tcW w:w="501" w:type="pct"/>
                  <w:tcBorders>
                    <w:right w:val="nil"/>
                  </w:tcBorders>
                  <w:vAlign w:val="center"/>
                </w:tcPr>
                <w:p w14:paraId="226749D5">
                  <w:pPr>
                    <w:autoSpaceDE w:val="0"/>
                    <w:autoSpaceDN w:val="0"/>
                    <w:adjustRightInd w:val="0"/>
                    <w:jc w:val="center"/>
                    <w:textAlignment w:val="baseline"/>
                    <w:rPr>
                      <w:color w:val="auto"/>
                      <w:szCs w:val="21"/>
                    </w:rPr>
                  </w:pPr>
                  <w:r>
                    <w:rPr>
                      <w:bCs/>
                      <w:color w:val="auto"/>
                      <w:szCs w:val="21"/>
                    </w:rPr>
                    <w:t>符合</w:t>
                  </w:r>
                </w:p>
              </w:tc>
            </w:tr>
            <w:tr w14:paraId="19CC85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jc w:val="center"/>
              </w:trPr>
              <w:tc>
                <w:tcPr>
                  <w:tcW w:w="223" w:type="pct"/>
                  <w:vMerge w:val="restart"/>
                  <w:tcBorders>
                    <w:left w:val="nil"/>
                  </w:tcBorders>
                  <w:vAlign w:val="center"/>
                </w:tcPr>
                <w:p w14:paraId="284270BB">
                  <w:pPr>
                    <w:autoSpaceDE w:val="0"/>
                    <w:autoSpaceDN w:val="0"/>
                    <w:adjustRightInd w:val="0"/>
                    <w:jc w:val="center"/>
                    <w:textAlignment w:val="baseline"/>
                    <w:rPr>
                      <w:color w:val="auto"/>
                      <w:szCs w:val="21"/>
                    </w:rPr>
                  </w:pPr>
                  <w:r>
                    <w:rPr>
                      <w:color w:val="auto"/>
                      <w:szCs w:val="21"/>
                    </w:rPr>
                    <w:t>资源利用效率要求</w:t>
                  </w:r>
                </w:p>
              </w:tc>
              <w:tc>
                <w:tcPr>
                  <w:tcW w:w="476" w:type="pct"/>
                  <w:vAlign w:val="center"/>
                </w:tcPr>
                <w:p w14:paraId="5F9CF6E1">
                  <w:pPr>
                    <w:autoSpaceDE w:val="0"/>
                    <w:autoSpaceDN w:val="0"/>
                    <w:adjustRightInd w:val="0"/>
                    <w:jc w:val="center"/>
                    <w:textAlignment w:val="baseline"/>
                    <w:rPr>
                      <w:color w:val="auto"/>
                      <w:szCs w:val="21"/>
                    </w:rPr>
                  </w:pPr>
                  <w:r>
                    <w:rPr>
                      <w:color w:val="auto"/>
                      <w:szCs w:val="21"/>
                    </w:rPr>
                    <w:t>水资源利用总量要求</w:t>
                  </w:r>
                </w:p>
              </w:tc>
              <w:tc>
                <w:tcPr>
                  <w:tcW w:w="2300" w:type="pct"/>
                  <w:vAlign w:val="center"/>
                </w:tcPr>
                <w:p w14:paraId="7B63DBE2">
                  <w:pPr>
                    <w:autoSpaceDE w:val="0"/>
                    <w:autoSpaceDN w:val="0"/>
                    <w:adjustRightInd w:val="0"/>
                    <w:jc w:val="both"/>
                    <w:textAlignment w:val="baseline"/>
                    <w:rPr>
                      <w:color w:val="auto"/>
                      <w:szCs w:val="21"/>
                    </w:rPr>
                  </w:pPr>
                  <w:r>
                    <w:rPr>
                      <w:color w:val="auto"/>
                      <w:szCs w:val="21"/>
                    </w:rPr>
                    <w:t>到2025年全市水资源利用量控制在36.87亿立方米，万元国内生产总值用水量比2020年下降23%，万元工业增加值用水量比2020年下降16%。</w:t>
                  </w:r>
                </w:p>
              </w:tc>
              <w:tc>
                <w:tcPr>
                  <w:tcW w:w="1498" w:type="pct"/>
                  <w:tcBorders>
                    <w:right w:val="nil"/>
                  </w:tcBorders>
                  <w:vAlign w:val="center"/>
                </w:tcPr>
                <w:p w14:paraId="027E7D57">
                  <w:pPr>
                    <w:autoSpaceDE w:val="0"/>
                    <w:autoSpaceDN w:val="0"/>
                    <w:adjustRightInd w:val="0"/>
                    <w:jc w:val="both"/>
                    <w:textAlignment w:val="baseline"/>
                    <w:rPr>
                      <w:color w:val="auto"/>
                      <w:szCs w:val="21"/>
                    </w:rPr>
                  </w:pPr>
                  <w:r>
                    <w:rPr>
                      <w:color w:val="auto"/>
                      <w:szCs w:val="21"/>
                    </w:rPr>
                    <w:t>本项目水资源消耗量不大</w:t>
                  </w:r>
                </w:p>
              </w:tc>
              <w:tc>
                <w:tcPr>
                  <w:tcW w:w="501" w:type="pct"/>
                  <w:tcBorders>
                    <w:right w:val="nil"/>
                  </w:tcBorders>
                  <w:vAlign w:val="center"/>
                </w:tcPr>
                <w:p w14:paraId="5F63D752">
                  <w:pPr>
                    <w:autoSpaceDE w:val="0"/>
                    <w:autoSpaceDN w:val="0"/>
                    <w:adjustRightInd w:val="0"/>
                    <w:jc w:val="center"/>
                    <w:textAlignment w:val="baseline"/>
                    <w:rPr>
                      <w:color w:val="auto"/>
                      <w:szCs w:val="21"/>
                    </w:rPr>
                  </w:pPr>
                  <w:r>
                    <w:rPr>
                      <w:bCs/>
                      <w:color w:val="auto"/>
                      <w:szCs w:val="21"/>
                    </w:rPr>
                    <w:t>符合</w:t>
                  </w:r>
                </w:p>
              </w:tc>
            </w:tr>
            <w:tr w14:paraId="658731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jc w:val="center"/>
              </w:trPr>
              <w:tc>
                <w:tcPr>
                  <w:tcW w:w="223" w:type="pct"/>
                  <w:vMerge w:val="continue"/>
                  <w:tcBorders>
                    <w:left w:val="nil"/>
                  </w:tcBorders>
                  <w:vAlign w:val="center"/>
                </w:tcPr>
                <w:p w14:paraId="213951A9">
                  <w:pPr>
                    <w:autoSpaceDE w:val="0"/>
                    <w:autoSpaceDN w:val="0"/>
                    <w:adjustRightInd w:val="0"/>
                    <w:jc w:val="center"/>
                    <w:textAlignment w:val="baseline"/>
                    <w:rPr>
                      <w:color w:val="auto"/>
                      <w:szCs w:val="21"/>
                    </w:rPr>
                  </w:pPr>
                </w:p>
              </w:tc>
              <w:tc>
                <w:tcPr>
                  <w:tcW w:w="476" w:type="pct"/>
                  <w:vAlign w:val="center"/>
                </w:tcPr>
                <w:p w14:paraId="2D675DBB">
                  <w:pPr>
                    <w:autoSpaceDE w:val="0"/>
                    <w:autoSpaceDN w:val="0"/>
                    <w:adjustRightInd w:val="0"/>
                    <w:jc w:val="center"/>
                    <w:textAlignment w:val="baseline"/>
                    <w:rPr>
                      <w:color w:val="auto"/>
                      <w:szCs w:val="21"/>
                    </w:rPr>
                  </w:pPr>
                  <w:r>
                    <w:rPr>
                      <w:color w:val="auto"/>
                      <w:szCs w:val="21"/>
                    </w:rPr>
                    <w:t>地下水开采要求</w:t>
                  </w:r>
                </w:p>
              </w:tc>
              <w:tc>
                <w:tcPr>
                  <w:tcW w:w="2300" w:type="pct"/>
                  <w:vAlign w:val="center"/>
                </w:tcPr>
                <w:p w14:paraId="7245A0FD">
                  <w:pPr>
                    <w:autoSpaceDE w:val="0"/>
                    <w:autoSpaceDN w:val="0"/>
                    <w:adjustRightInd w:val="0"/>
                    <w:jc w:val="both"/>
                    <w:textAlignment w:val="baseline"/>
                    <w:rPr>
                      <w:color w:val="auto"/>
                      <w:szCs w:val="21"/>
                    </w:rPr>
                  </w:pPr>
                  <w:r>
                    <w:rPr>
                      <w:color w:val="auto"/>
                      <w:szCs w:val="21"/>
                    </w:rPr>
                    <w:t>禁止在塌陷区、地质灾害危险区域开采地下水。</w:t>
                  </w:r>
                </w:p>
              </w:tc>
              <w:tc>
                <w:tcPr>
                  <w:tcW w:w="1498" w:type="pct"/>
                  <w:tcBorders>
                    <w:right w:val="nil"/>
                  </w:tcBorders>
                  <w:vAlign w:val="center"/>
                </w:tcPr>
                <w:p w14:paraId="18420BD6">
                  <w:pPr>
                    <w:autoSpaceDE w:val="0"/>
                    <w:autoSpaceDN w:val="0"/>
                    <w:adjustRightInd w:val="0"/>
                    <w:jc w:val="center"/>
                    <w:textAlignment w:val="baseline"/>
                    <w:rPr>
                      <w:rFonts w:hint="default" w:eastAsia="宋体"/>
                      <w:color w:val="auto"/>
                      <w:szCs w:val="21"/>
                      <w:lang w:val="en-US" w:eastAsia="zh-CN"/>
                    </w:rPr>
                  </w:pPr>
                  <w:r>
                    <w:rPr>
                      <w:color w:val="auto"/>
                      <w:szCs w:val="21"/>
                    </w:rPr>
                    <w:t>项目不</w:t>
                  </w:r>
                  <w:r>
                    <w:rPr>
                      <w:rFonts w:hint="eastAsia"/>
                      <w:color w:val="auto"/>
                      <w:szCs w:val="21"/>
                      <w:lang w:val="en-US" w:eastAsia="zh-CN"/>
                    </w:rPr>
                    <w:t>开采地下水</w:t>
                  </w:r>
                </w:p>
              </w:tc>
              <w:tc>
                <w:tcPr>
                  <w:tcW w:w="501" w:type="pct"/>
                  <w:tcBorders>
                    <w:right w:val="nil"/>
                  </w:tcBorders>
                  <w:vAlign w:val="center"/>
                </w:tcPr>
                <w:p w14:paraId="1A5F6FFE">
                  <w:pPr>
                    <w:jc w:val="center"/>
                    <w:rPr>
                      <w:color w:val="auto"/>
                      <w:szCs w:val="21"/>
                    </w:rPr>
                  </w:pPr>
                  <w:r>
                    <w:rPr>
                      <w:rFonts w:hint="eastAsia"/>
                      <w:b w:val="0"/>
                      <w:bCs w:val="0"/>
                      <w:color w:val="auto"/>
                      <w:kern w:val="0"/>
                      <w:sz w:val="21"/>
                      <w:szCs w:val="21"/>
                      <w:lang w:val="en-US" w:eastAsia="zh-CN"/>
                    </w:rPr>
                    <w:t>不涉及</w:t>
                  </w:r>
                </w:p>
              </w:tc>
            </w:tr>
            <w:tr w14:paraId="5941D2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 w:hRule="atLeast"/>
                <w:jc w:val="center"/>
              </w:trPr>
              <w:tc>
                <w:tcPr>
                  <w:tcW w:w="223" w:type="pct"/>
                  <w:vMerge w:val="continue"/>
                  <w:tcBorders>
                    <w:left w:val="nil"/>
                  </w:tcBorders>
                  <w:vAlign w:val="center"/>
                </w:tcPr>
                <w:p w14:paraId="2226DB7F">
                  <w:pPr>
                    <w:autoSpaceDE w:val="0"/>
                    <w:autoSpaceDN w:val="0"/>
                    <w:adjustRightInd w:val="0"/>
                    <w:jc w:val="center"/>
                    <w:textAlignment w:val="baseline"/>
                    <w:rPr>
                      <w:color w:val="auto"/>
                      <w:szCs w:val="21"/>
                    </w:rPr>
                  </w:pPr>
                </w:p>
              </w:tc>
              <w:tc>
                <w:tcPr>
                  <w:tcW w:w="476" w:type="pct"/>
                  <w:vAlign w:val="center"/>
                </w:tcPr>
                <w:p w14:paraId="629F4577">
                  <w:pPr>
                    <w:autoSpaceDE w:val="0"/>
                    <w:autoSpaceDN w:val="0"/>
                    <w:adjustRightInd w:val="0"/>
                    <w:jc w:val="center"/>
                    <w:textAlignment w:val="baseline"/>
                    <w:rPr>
                      <w:color w:val="auto"/>
                      <w:szCs w:val="21"/>
                    </w:rPr>
                  </w:pPr>
                  <w:r>
                    <w:rPr>
                      <w:color w:val="auto"/>
                      <w:szCs w:val="21"/>
                    </w:rPr>
                    <w:t>能源利用总量及效率要求</w:t>
                  </w:r>
                </w:p>
              </w:tc>
              <w:tc>
                <w:tcPr>
                  <w:tcW w:w="2300" w:type="pct"/>
                  <w:vAlign w:val="center"/>
                </w:tcPr>
                <w:p w14:paraId="0B4D5E65">
                  <w:pPr>
                    <w:autoSpaceDE w:val="0"/>
                    <w:autoSpaceDN w:val="0"/>
                    <w:adjustRightInd w:val="0"/>
                    <w:jc w:val="both"/>
                    <w:textAlignment w:val="baseline"/>
                    <w:rPr>
                      <w:color w:val="auto"/>
                      <w:szCs w:val="21"/>
                    </w:rPr>
                  </w:pPr>
                  <w:r>
                    <w:rPr>
                      <w:color w:val="auto"/>
                      <w:szCs w:val="21"/>
                    </w:rPr>
                    <w:t>到2025年，全市单位生产总值能源消耗比2020年下降15.5%，力争达到16%，能源消费总量得到合理控制。</w:t>
                  </w:r>
                </w:p>
              </w:tc>
              <w:tc>
                <w:tcPr>
                  <w:tcW w:w="1498" w:type="pct"/>
                  <w:tcBorders>
                    <w:right w:val="nil"/>
                  </w:tcBorders>
                  <w:vAlign w:val="center"/>
                </w:tcPr>
                <w:p w14:paraId="47E5E47B">
                  <w:pPr>
                    <w:autoSpaceDE w:val="0"/>
                    <w:autoSpaceDN w:val="0"/>
                    <w:adjustRightInd w:val="0"/>
                    <w:jc w:val="both"/>
                    <w:textAlignment w:val="baseline"/>
                    <w:rPr>
                      <w:rFonts w:hint="eastAsia" w:eastAsia="宋体"/>
                      <w:color w:val="auto"/>
                      <w:szCs w:val="21"/>
                      <w:lang w:eastAsia="zh-CN"/>
                    </w:rPr>
                  </w:pPr>
                  <w:r>
                    <w:rPr>
                      <w:color w:val="auto"/>
                      <w:szCs w:val="21"/>
                    </w:rPr>
                    <w:t>本项目采用行业</w:t>
                  </w:r>
                  <w:r>
                    <w:rPr>
                      <w:rFonts w:hint="eastAsia"/>
                      <w:color w:val="auto"/>
                      <w:szCs w:val="21"/>
                      <w:lang w:val="en-US" w:eastAsia="zh-CN"/>
                    </w:rPr>
                    <w:t>节</w:t>
                  </w:r>
                  <w:r>
                    <w:rPr>
                      <w:color w:val="auto"/>
                      <w:szCs w:val="21"/>
                    </w:rPr>
                    <w:t>能设备，节电节水</w:t>
                  </w:r>
                  <w:r>
                    <w:rPr>
                      <w:rFonts w:hint="eastAsia"/>
                      <w:color w:val="auto"/>
                      <w:szCs w:val="21"/>
                      <w:lang w:eastAsia="zh-CN"/>
                    </w:rPr>
                    <w:t>。</w:t>
                  </w:r>
                </w:p>
              </w:tc>
              <w:tc>
                <w:tcPr>
                  <w:tcW w:w="501" w:type="pct"/>
                  <w:tcBorders>
                    <w:right w:val="nil"/>
                  </w:tcBorders>
                  <w:vAlign w:val="center"/>
                </w:tcPr>
                <w:p w14:paraId="2B89610F">
                  <w:pPr>
                    <w:autoSpaceDE w:val="0"/>
                    <w:autoSpaceDN w:val="0"/>
                    <w:adjustRightInd w:val="0"/>
                    <w:jc w:val="center"/>
                    <w:textAlignment w:val="baseline"/>
                    <w:rPr>
                      <w:color w:val="auto"/>
                      <w:szCs w:val="21"/>
                    </w:rPr>
                  </w:pPr>
                  <w:r>
                    <w:rPr>
                      <w:bCs/>
                      <w:color w:val="auto"/>
                      <w:szCs w:val="21"/>
                    </w:rPr>
                    <w:t>符合</w:t>
                  </w:r>
                </w:p>
              </w:tc>
            </w:tr>
            <w:tr w14:paraId="0F9435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3" w:hRule="atLeast"/>
                <w:jc w:val="center"/>
              </w:trPr>
              <w:tc>
                <w:tcPr>
                  <w:tcW w:w="223" w:type="pct"/>
                  <w:vMerge w:val="continue"/>
                  <w:tcBorders>
                    <w:left w:val="nil"/>
                  </w:tcBorders>
                  <w:vAlign w:val="center"/>
                </w:tcPr>
                <w:p w14:paraId="2D6C1F05">
                  <w:pPr>
                    <w:autoSpaceDE w:val="0"/>
                    <w:autoSpaceDN w:val="0"/>
                    <w:adjustRightInd w:val="0"/>
                    <w:jc w:val="center"/>
                    <w:textAlignment w:val="baseline"/>
                    <w:rPr>
                      <w:color w:val="auto"/>
                      <w:szCs w:val="21"/>
                    </w:rPr>
                  </w:pPr>
                </w:p>
              </w:tc>
              <w:tc>
                <w:tcPr>
                  <w:tcW w:w="476" w:type="pct"/>
                  <w:vAlign w:val="center"/>
                </w:tcPr>
                <w:p w14:paraId="60ECB21E">
                  <w:pPr>
                    <w:autoSpaceDE w:val="0"/>
                    <w:autoSpaceDN w:val="0"/>
                    <w:adjustRightInd w:val="0"/>
                    <w:jc w:val="center"/>
                    <w:textAlignment w:val="baseline"/>
                    <w:rPr>
                      <w:color w:val="auto"/>
                      <w:szCs w:val="21"/>
                    </w:rPr>
                  </w:pPr>
                  <w:r>
                    <w:rPr>
                      <w:color w:val="auto"/>
                      <w:szCs w:val="21"/>
                    </w:rPr>
                    <w:t>禁燃区要求</w:t>
                  </w:r>
                </w:p>
              </w:tc>
              <w:tc>
                <w:tcPr>
                  <w:tcW w:w="2300" w:type="pct"/>
                  <w:vAlign w:val="center"/>
                </w:tcPr>
                <w:p w14:paraId="6F35CE78">
                  <w:pPr>
                    <w:autoSpaceDE w:val="0"/>
                    <w:autoSpaceDN w:val="0"/>
                    <w:adjustRightInd w:val="0"/>
                    <w:jc w:val="both"/>
                    <w:textAlignment w:val="baseline"/>
                    <w:rPr>
                      <w:color w:val="auto"/>
                      <w:szCs w:val="21"/>
                    </w:rPr>
                  </w:pPr>
                  <w:r>
                    <w:rPr>
                      <w:color w:val="auto"/>
                      <w:szCs w:val="21"/>
                    </w:rPr>
                    <w:t>禁止新建、扩建燃用高污染燃料的项目和设施，已建成的应逐步或依法限期改用天然气、电或者其他清洁能源。</w:t>
                  </w:r>
                </w:p>
              </w:tc>
              <w:tc>
                <w:tcPr>
                  <w:tcW w:w="1498" w:type="pct"/>
                  <w:tcBorders>
                    <w:right w:val="nil"/>
                  </w:tcBorders>
                  <w:vAlign w:val="center"/>
                </w:tcPr>
                <w:p w14:paraId="1F527445">
                  <w:pPr>
                    <w:autoSpaceDE w:val="0"/>
                    <w:autoSpaceDN w:val="0"/>
                    <w:adjustRightInd w:val="0"/>
                    <w:jc w:val="center"/>
                    <w:textAlignment w:val="baseline"/>
                    <w:rPr>
                      <w:rFonts w:hint="default" w:eastAsia="宋体"/>
                      <w:color w:val="auto"/>
                      <w:szCs w:val="21"/>
                      <w:lang w:val="en-US" w:eastAsia="zh-CN"/>
                    </w:rPr>
                  </w:pPr>
                  <w:r>
                    <w:rPr>
                      <w:color w:val="auto"/>
                      <w:szCs w:val="21"/>
                    </w:rPr>
                    <w:t>本项目不</w:t>
                  </w:r>
                  <w:r>
                    <w:rPr>
                      <w:rFonts w:hint="eastAsia"/>
                      <w:color w:val="auto"/>
                      <w:szCs w:val="21"/>
                      <w:lang w:val="en-US" w:eastAsia="zh-CN"/>
                    </w:rPr>
                    <w:t>位于禁燃区</w:t>
                  </w:r>
                </w:p>
              </w:tc>
              <w:tc>
                <w:tcPr>
                  <w:tcW w:w="501" w:type="pct"/>
                  <w:tcBorders>
                    <w:right w:val="nil"/>
                  </w:tcBorders>
                  <w:shd w:val="clear" w:color="auto" w:fill="auto"/>
                  <w:vAlign w:val="center"/>
                </w:tcPr>
                <w:p w14:paraId="48C1A7CA">
                  <w:pPr>
                    <w:jc w:val="center"/>
                    <w:rPr>
                      <w:rFonts w:hint="default" w:ascii="Times New Roman" w:hAnsi="Times New Roman" w:eastAsia="宋体" w:cs="Times New Roman"/>
                      <w:b w:val="0"/>
                      <w:bCs w:val="0"/>
                      <w:color w:val="auto"/>
                      <w:kern w:val="0"/>
                      <w:sz w:val="21"/>
                      <w:szCs w:val="21"/>
                      <w:lang w:val="en-US" w:eastAsia="zh-CN" w:bidi="ar-SA"/>
                    </w:rPr>
                  </w:pPr>
                  <w:r>
                    <w:rPr>
                      <w:rFonts w:hint="eastAsia"/>
                      <w:b w:val="0"/>
                      <w:bCs w:val="0"/>
                      <w:color w:val="auto"/>
                      <w:kern w:val="0"/>
                      <w:sz w:val="21"/>
                      <w:szCs w:val="21"/>
                      <w:lang w:val="en-US" w:eastAsia="zh-CN"/>
                    </w:rPr>
                    <w:t>不涉及</w:t>
                  </w:r>
                </w:p>
              </w:tc>
            </w:tr>
          </w:tbl>
          <w:p w14:paraId="1F8EBBCD">
            <w:pPr>
              <w:spacing w:line="360" w:lineRule="auto"/>
              <w:ind w:firstLine="480" w:firstLineChars="200"/>
              <w:jc w:val="left"/>
              <w:rPr>
                <w:rFonts w:hint="eastAsia" w:eastAsia="宋体"/>
                <w:color w:val="auto"/>
                <w:lang w:eastAsia="zh-CN"/>
              </w:rPr>
            </w:pPr>
            <w:r>
              <w:rPr>
                <w:color w:val="auto"/>
                <w:sz w:val="24"/>
              </w:rPr>
              <w:t>本项目位于</w:t>
            </w:r>
            <w:r>
              <w:rPr>
                <w:rFonts w:hint="eastAsia"/>
                <w:color w:val="auto"/>
                <w:sz w:val="24"/>
                <w:lang w:val="en-US" w:eastAsia="zh-CN"/>
              </w:rPr>
              <w:t>江西省宜春市</w:t>
            </w:r>
            <w:r>
              <w:rPr>
                <w:rFonts w:hint="eastAsia" w:ascii="宋体" w:hAnsi="宋体" w:eastAsia="宋体" w:cs="宋体"/>
                <w:color w:val="auto"/>
                <w:sz w:val="24"/>
                <w:lang w:val="en-US" w:eastAsia="zh-CN"/>
              </w:rPr>
              <w:t>高安市蓝坊镇燕窝村</w:t>
            </w:r>
            <w:r>
              <w:rPr>
                <w:color w:val="auto"/>
                <w:sz w:val="24"/>
              </w:rPr>
              <w:t>，属于宜春市</w:t>
            </w:r>
            <w:r>
              <w:rPr>
                <w:rFonts w:hint="eastAsia"/>
                <w:color w:val="auto"/>
                <w:sz w:val="24"/>
              </w:rPr>
              <w:t>“</w:t>
            </w:r>
            <w:r>
              <w:rPr>
                <w:color w:val="auto"/>
                <w:sz w:val="24"/>
              </w:rPr>
              <w:t>三线一单</w:t>
            </w:r>
            <w:r>
              <w:rPr>
                <w:rFonts w:hint="eastAsia"/>
                <w:color w:val="auto"/>
                <w:sz w:val="24"/>
              </w:rPr>
              <w:t>”</w:t>
            </w:r>
            <w:r>
              <w:rPr>
                <w:color w:val="auto"/>
                <w:sz w:val="24"/>
              </w:rPr>
              <w:t>生态环境准入清单中</w:t>
            </w:r>
            <w:r>
              <w:rPr>
                <w:rFonts w:hint="eastAsia"/>
                <w:b w:val="0"/>
                <w:bCs/>
                <w:color w:val="auto"/>
                <w:kern w:val="0"/>
                <w:sz w:val="24"/>
              </w:rPr>
              <w:t>江西省宜春市高安市一般管控单元1</w:t>
            </w:r>
            <w:r>
              <w:rPr>
                <w:color w:val="auto"/>
                <w:sz w:val="24"/>
              </w:rPr>
              <w:t>（</w:t>
            </w:r>
            <w:r>
              <w:rPr>
                <w:rFonts w:hint="eastAsia"/>
                <w:b w:val="0"/>
                <w:bCs/>
                <w:color w:val="auto"/>
                <w:kern w:val="0"/>
                <w:sz w:val="24"/>
              </w:rPr>
              <w:t>ZH36098330001</w:t>
            </w:r>
            <w:r>
              <w:rPr>
                <w:color w:val="auto"/>
                <w:sz w:val="24"/>
              </w:rPr>
              <w:t>），其准入清单见表1-</w:t>
            </w:r>
            <w:r>
              <w:rPr>
                <w:rFonts w:hint="eastAsia"/>
                <w:color w:val="auto"/>
                <w:sz w:val="24"/>
                <w:lang w:val="en-US" w:eastAsia="zh-CN"/>
              </w:rPr>
              <w:t>4</w:t>
            </w:r>
            <w:r>
              <w:rPr>
                <w:rFonts w:hint="eastAsia"/>
                <w:color w:val="auto"/>
                <w:sz w:val="24"/>
                <w:lang w:eastAsia="zh-CN"/>
              </w:rPr>
              <w:t>。</w:t>
            </w:r>
          </w:p>
          <w:p w14:paraId="2274EE4D">
            <w:pPr>
              <w:jc w:val="center"/>
              <w:rPr>
                <w:color w:val="auto"/>
                <w:sz w:val="24"/>
              </w:rPr>
            </w:pPr>
            <w:r>
              <w:rPr>
                <w:b/>
                <w:bCs/>
                <w:color w:val="auto"/>
                <w:sz w:val="24"/>
              </w:rPr>
              <w:t>表1-</w:t>
            </w:r>
            <w:r>
              <w:rPr>
                <w:rFonts w:hint="eastAsia"/>
                <w:b/>
                <w:bCs/>
                <w:color w:val="auto"/>
                <w:sz w:val="24"/>
                <w:lang w:val="en-US" w:eastAsia="zh-CN"/>
              </w:rPr>
              <w:t>4  项目</w:t>
            </w:r>
            <w:r>
              <w:rPr>
                <w:b/>
                <w:bCs/>
                <w:color w:val="auto"/>
                <w:sz w:val="24"/>
              </w:rPr>
              <w:t>与宜春市</w:t>
            </w:r>
            <w:r>
              <w:rPr>
                <w:rFonts w:hint="eastAsia"/>
                <w:b/>
                <w:bCs/>
                <w:color w:val="auto"/>
                <w:sz w:val="24"/>
                <w:lang w:eastAsia="zh-CN"/>
              </w:rPr>
              <w:t>“</w:t>
            </w:r>
            <w:r>
              <w:rPr>
                <w:b/>
                <w:bCs/>
                <w:color w:val="auto"/>
                <w:sz w:val="24"/>
              </w:rPr>
              <w:t>三线一单</w:t>
            </w:r>
            <w:r>
              <w:rPr>
                <w:rFonts w:hint="eastAsia"/>
                <w:b/>
                <w:bCs/>
                <w:color w:val="auto"/>
                <w:sz w:val="24"/>
                <w:lang w:eastAsia="zh-CN"/>
              </w:rPr>
              <w:t>”</w:t>
            </w:r>
            <w:r>
              <w:rPr>
                <w:b/>
                <w:bCs/>
                <w:color w:val="auto"/>
                <w:sz w:val="24"/>
              </w:rPr>
              <w:t>分区管控单元生态环境准入清单相符性分析</w:t>
            </w:r>
          </w:p>
          <w:tbl>
            <w:tblPr>
              <w:tblStyle w:val="2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7"/>
              <w:gridCol w:w="4168"/>
              <w:gridCol w:w="1870"/>
              <w:gridCol w:w="957"/>
            </w:tblGrid>
            <w:tr w14:paraId="1D073A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74" w:type="pct"/>
                  <w:vAlign w:val="center"/>
                </w:tcPr>
                <w:p w14:paraId="22ACC0AC">
                  <w:pPr>
                    <w:pStyle w:val="86"/>
                    <w:adjustRightInd w:val="0"/>
                    <w:snapToGrid w:val="0"/>
                    <w:rPr>
                      <w:b/>
                      <w:bCs/>
                      <w:color w:val="auto"/>
                      <w:sz w:val="21"/>
                      <w:szCs w:val="21"/>
                    </w:rPr>
                  </w:pPr>
                  <w:r>
                    <w:rPr>
                      <w:color w:val="auto"/>
                      <w:sz w:val="21"/>
                      <w:szCs w:val="21"/>
                    </w:rPr>
                    <w:t>管控单元名称</w:t>
                  </w:r>
                </w:p>
              </w:tc>
              <w:tc>
                <w:tcPr>
                  <w:tcW w:w="2636" w:type="pct"/>
                  <w:vAlign w:val="center"/>
                </w:tcPr>
                <w:p w14:paraId="5127D7C9">
                  <w:pPr>
                    <w:pStyle w:val="86"/>
                    <w:adjustRightInd w:val="0"/>
                    <w:snapToGrid w:val="0"/>
                    <w:rPr>
                      <w:rFonts w:hint="eastAsia" w:eastAsia="宋体"/>
                      <w:b/>
                      <w:bCs/>
                      <w:color w:val="auto"/>
                      <w:sz w:val="21"/>
                      <w:szCs w:val="21"/>
                      <w:lang w:val="en-US" w:eastAsia="zh-CN"/>
                    </w:rPr>
                  </w:pPr>
                  <w:r>
                    <w:rPr>
                      <w:color w:val="auto"/>
                      <w:sz w:val="21"/>
                      <w:szCs w:val="21"/>
                    </w:rPr>
                    <w:t>江西省宜春市高安市</w:t>
                  </w:r>
                  <w:r>
                    <w:rPr>
                      <w:rFonts w:hint="eastAsia"/>
                      <w:b w:val="0"/>
                      <w:bCs/>
                      <w:color w:val="auto"/>
                      <w:kern w:val="0"/>
                      <w:sz w:val="21"/>
                      <w:szCs w:val="21"/>
                    </w:rPr>
                    <w:t>一般管控单元1</w:t>
                  </w:r>
                </w:p>
              </w:tc>
              <w:tc>
                <w:tcPr>
                  <w:tcW w:w="1183" w:type="pct"/>
                  <w:vMerge w:val="restart"/>
                  <w:vAlign w:val="center"/>
                </w:tcPr>
                <w:p w14:paraId="56211FED">
                  <w:pPr>
                    <w:pStyle w:val="86"/>
                    <w:adjustRightInd w:val="0"/>
                    <w:snapToGrid w:val="0"/>
                    <w:rPr>
                      <w:color w:val="auto"/>
                      <w:sz w:val="21"/>
                      <w:szCs w:val="21"/>
                    </w:rPr>
                  </w:pPr>
                  <w:r>
                    <w:rPr>
                      <w:color w:val="auto"/>
                      <w:sz w:val="21"/>
                      <w:szCs w:val="21"/>
                    </w:rPr>
                    <w:t>本项目情况</w:t>
                  </w:r>
                </w:p>
              </w:tc>
              <w:tc>
                <w:tcPr>
                  <w:tcW w:w="605" w:type="pct"/>
                  <w:vMerge w:val="restart"/>
                  <w:vAlign w:val="center"/>
                </w:tcPr>
                <w:p w14:paraId="1686A828">
                  <w:pPr>
                    <w:pStyle w:val="86"/>
                    <w:adjustRightInd w:val="0"/>
                    <w:snapToGrid w:val="0"/>
                    <w:rPr>
                      <w:color w:val="auto"/>
                      <w:sz w:val="21"/>
                      <w:szCs w:val="21"/>
                    </w:rPr>
                  </w:pPr>
                  <w:r>
                    <w:rPr>
                      <w:color w:val="auto"/>
                      <w:sz w:val="21"/>
                      <w:szCs w:val="21"/>
                    </w:rPr>
                    <w:t>相符性</w:t>
                  </w:r>
                </w:p>
              </w:tc>
            </w:tr>
            <w:tr w14:paraId="482324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574" w:type="pct"/>
                  <w:vAlign w:val="center"/>
                </w:tcPr>
                <w:p w14:paraId="378D56E0">
                  <w:pPr>
                    <w:pStyle w:val="86"/>
                    <w:adjustRightInd w:val="0"/>
                    <w:snapToGrid w:val="0"/>
                    <w:rPr>
                      <w:b/>
                      <w:bCs/>
                      <w:color w:val="auto"/>
                      <w:sz w:val="21"/>
                      <w:szCs w:val="21"/>
                    </w:rPr>
                  </w:pPr>
                  <w:r>
                    <w:rPr>
                      <w:color w:val="auto"/>
                      <w:sz w:val="21"/>
                      <w:szCs w:val="21"/>
                    </w:rPr>
                    <w:t>管控单元编码</w:t>
                  </w:r>
                </w:p>
              </w:tc>
              <w:tc>
                <w:tcPr>
                  <w:tcW w:w="2636" w:type="pct"/>
                  <w:vAlign w:val="center"/>
                </w:tcPr>
                <w:p w14:paraId="2B3F0D57">
                  <w:pPr>
                    <w:pStyle w:val="86"/>
                    <w:adjustRightInd w:val="0"/>
                    <w:snapToGrid w:val="0"/>
                    <w:rPr>
                      <w:rFonts w:hint="eastAsia" w:eastAsia="宋体"/>
                      <w:color w:val="auto"/>
                      <w:sz w:val="21"/>
                      <w:szCs w:val="21"/>
                      <w:lang w:val="en-US" w:eastAsia="zh-CN"/>
                    </w:rPr>
                  </w:pPr>
                  <w:r>
                    <w:rPr>
                      <w:rFonts w:hint="eastAsia"/>
                      <w:b w:val="0"/>
                      <w:bCs/>
                      <w:color w:val="auto"/>
                      <w:kern w:val="0"/>
                      <w:sz w:val="21"/>
                      <w:szCs w:val="21"/>
                    </w:rPr>
                    <w:t>ZH36098330001</w:t>
                  </w:r>
                </w:p>
              </w:tc>
              <w:tc>
                <w:tcPr>
                  <w:tcW w:w="1183" w:type="pct"/>
                  <w:vMerge w:val="continue"/>
                  <w:vAlign w:val="center"/>
                </w:tcPr>
                <w:p w14:paraId="1B3250E2">
                  <w:pPr>
                    <w:pStyle w:val="86"/>
                    <w:adjustRightInd w:val="0"/>
                    <w:snapToGrid w:val="0"/>
                    <w:rPr>
                      <w:rFonts w:hint="default" w:eastAsia="宋体"/>
                      <w:color w:val="auto"/>
                      <w:sz w:val="21"/>
                      <w:szCs w:val="21"/>
                      <w:lang w:val="en-US" w:eastAsia="zh-CN"/>
                    </w:rPr>
                  </w:pPr>
                </w:p>
              </w:tc>
              <w:tc>
                <w:tcPr>
                  <w:tcW w:w="605" w:type="pct"/>
                  <w:vMerge w:val="continue"/>
                  <w:vAlign w:val="center"/>
                </w:tcPr>
                <w:p w14:paraId="0D2EB1BD">
                  <w:pPr>
                    <w:pStyle w:val="86"/>
                    <w:adjustRightInd w:val="0"/>
                    <w:snapToGrid w:val="0"/>
                    <w:rPr>
                      <w:rFonts w:hint="eastAsia" w:eastAsia="宋体"/>
                      <w:color w:val="auto"/>
                      <w:sz w:val="21"/>
                      <w:szCs w:val="21"/>
                      <w:lang w:eastAsia="zh-CN"/>
                    </w:rPr>
                  </w:pPr>
                </w:p>
              </w:tc>
            </w:tr>
            <w:tr w14:paraId="5F6D80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trPr>
              <w:tc>
                <w:tcPr>
                  <w:tcW w:w="574" w:type="pct"/>
                  <w:vAlign w:val="center"/>
                </w:tcPr>
                <w:p w14:paraId="108199E3">
                  <w:pPr>
                    <w:pStyle w:val="86"/>
                    <w:adjustRightInd w:val="0"/>
                    <w:snapToGrid w:val="0"/>
                    <w:rPr>
                      <w:b/>
                      <w:bCs/>
                      <w:color w:val="auto"/>
                      <w:sz w:val="21"/>
                      <w:szCs w:val="21"/>
                    </w:rPr>
                  </w:pPr>
                  <w:r>
                    <w:rPr>
                      <w:color w:val="auto"/>
                      <w:sz w:val="21"/>
                      <w:szCs w:val="21"/>
                    </w:rPr>
                    <w:t>范围</w:t>
                  </w:r>
                </w:p>
              </w:tc>
              <w:tc>
                <w:tcPr>
                  <w:tcW w:w="2636" w:type="pct"/>
                  <w:vAlign w:val="center"/>
                </w:tcPr>
                <w:p w14:paraId="3EEC074D">
                  <w:pPr>
                    <w:pStyle w:val="86"/>
                    <w:adjustRightInd w:val="0"/>
                    <w:snapToGrid w:val="0"/>
                    <w:rPr>
                      <w:color w:val="auto"/>
                      <w:sz w:val="21"/>
                      <w:szCs w:val="21"/>
                    </w:rPr>
                  </w:pPr>
                  <w:r>
                    <w:rPr>
                      <w:rFonts w:hint="eastAsia"/>
                      <w:b w:val="0"/>
                      <w:bCs/>
                      <w:color w:val="auto"/>
                      <w:kern w:val="0"/>
                      <w:sz w:val="21"/>
                      <w:szCs w:val="21"/>
                    </w:rPr>
                    <w:t>一般管控</w:t>
                  </w:r>
                  <w:r>
                    <w:rPr>
                      <w:rFonts w:hint="eastAsia"/>
                      <w:color w:val="auto"/>
                      <w:sz w:val="21"/>
                      <w:szCs w:val="21"/>
                    </w:rPr>
                    <w:t>区域</w:t>
                  </w:r>
                </w:p>
              </w:tc>
              <w:tc>
                <w:tcPr>
                  <w:tcW w:w="1183" w:type="pct"/>
                  <w:vAlign w:val="center"/>
                </w:tcPr>
                <w:p w14:paraId="696EDB2B">
                  <w:pPr>
                    <w:pStyle w:val="86"/>
                    <w:adjustRightInd w:val="0"/>
                    <w:snapToGrid w:val="0"/>
                    <w:rPr>
                      <w:color w:val="auto"/>
                      <w:sz w:val="21"/>
                      <w:szCs w:val="21"/>
                    </w:rPr>
                  </w:pPr>
                  <w:r>
                    <w:rPr>
                      <w:rFonts w:hint="eastAsia"/>
                      <w:color w:val="auto"/>
                      <w:sz w:val="21"/>
                      <w:szCs w:val="21"/>
                      <w:lang w:val="en-US" w:eastAsia="zh-CN"/>
                    </w:rPr>
                    <w:t>蓝坊镇</w:t>
                  </w:r>
                </w:p>
              </w:tc>
              <w:tc>
                <w:tcPr>
                  <w:tcW w:w="605" w:type="pct"/>
                  <w:vAlign w:val="center"/>
                </w:tcPr>
                <w:p w14:paraId="39D6855E">
                  <w:pPr>
                    <w:adjustRightInd w:val="0"/>
                    <w:snapToGrid w:val="0"/>
                    <w:jc w:val="center"/>
                    <w:rPr>
                      <w:color w:val="auto"/>
                      <w:sz w:val="21"/>
                      <w:szCs w:val="21"/>
                    </w:rPr>
                  </w:pPr>
                  <w:r>
                    <w:rPr>
                      <w:rFonts w:hint="eastAsia"/>
                      <w:color w:val="auto"/>
                      <w:sz w:val="21"/>
                      <w:szCs w:val="21"/>
                      <w:lang w:val="en-US" w:eastAsia="zh-CN"/>
                    </w:rPr>
                    <w:t>符合</w:t>
                  </w:r>
                </w:p>
              </w:tc>
            </w:tr>
            <w:tr w14:paraId="3EF20E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574" w:type="pct"/>
                  <w:vAlign w:val="center"/>
                </w:tcPr>
                <w:p w14:paraId="3533B0F6">
                  <w:pPr>
                    <w:pStyle w:val="86"/>
                    <w:adjustRightInd w:val="0"/>
                    <w:snapToGrid w:val="0"/>
                    <w:rPr>
                      <w:b/>
                      <w:bCs/>
                      <w:color w:val="auto"/>
                      <w:sz w:val="21"/>
                      <w:szCs w:val="21"/>
                    </w:rPr>
                  </w:pPr>
                  <w:r>
                    <w:rPr>
                      <w:color w:val="auto"/>
                      <w:sz w:val="21"/>
                      <w:szCs w:val="21"/>
                    </w:rPr>
                    <w:t>空间布局约束</w:t>
                  </w:r>
                </w:p>
              </w:tc>
              <w:tc>
                <w:tcPr>
                  <w:tcW w:w="2636" w:type="pct"/>
                  <w:vAlign w:val="center"/>
                </w:tcPr>
                <w:p w14:paraId="06E4025F">
                  <w:pPr>
                    <w:pStyle w:val="43"/>
                    <w:bidi w:val="0"/>
                    <w:jc w:val="left"/>
                    <w:rPr>
                      <w:rFonts w:hint="default"/>
                      <w:color w:val="auto"/>
                      <w:lang w:val="en-US" w:eastAsia="zh-CN"/>
                    </w:rPr>
                  </w:pPr>
                  <w:r>
                    <w:rPr>
                      <w:rFonts w:hint="default"/>
                      <w:color w:val="auto"/>
                      <w:lang w:val="en-US" w:eastAsia="zh-CN"/>
                    </w:rPr>
                    <w:t>1.城镇开发边界外按照国家和江西省相关规定管控开发建设活动，原则上不得进行城镇集中建设，不得设立各类开发区。</w:t>
                  </w:r>
                </w:p>
                <w:p w14:paraId="2540321F">
                  <w:pPr>
                    <w:pStyle w:val="43"/>
                    <w:bidi w:val="0"/>
                    <w:jc w:val="left"/>
                    <w:rPr>
                      <w:rFonts w:hint="default"/>
                      <w:color w:val="auto"/>
                      <w:lang w:val="en-US" w:eastAsia="zh-CN"/>
                    </w:rPr>
                  </w:pPr>
                  <w:r>
                    <w:rPr>
                      <w:rFonts w:hint="default"/>
                      <w:color w:val="auto"/>
                      <w:lang w:val="en-US" w:eastAsia="zh-CN"/>
                    </w:rPr>
                    <w:t>2.加强基本农田保护，严格限制非农项目占用耕地；严格控制在优先保护类耕地集中区域新建有色金属冶炼、石油加工、化工、焦化、电镀、制革等行业企业及新、改、扩建增加重金属污染物排放的项目。</w:t>
                  </w:r>
                </w:p>
                <w:p w14:paraId="392ABCC3">
                  <w:pPr>
                    <w:pStyle w:val="86"/>
                    <w:numPr>
                      <w:ilvl w:val="0"/>
                      <w:numId w:val="0"/>
                    </w:numPr>
                    <w:adjustRightInd w:val="0"/>
                    <w:snapToGrid w:val="0"/>
                    <w:jc w:val="both"/>
                    <w:rPr>
                      <w:b/>
                      <w:bCs/>
                      <w:color w:val="auto"/>
                      <w:sz w:val="21"/>
                      <w:szCs w:val="21"/>
                    </w:rPr>
                  </w:pPr>
                  <w:r>
                    <w:rPr>
                      <w:rFonts w:hint="default"/>
                      <w:color w:val="auto"/>
                      <w:lang w:val="en-US" w:eastAsia="zh-CN"/>
                    </w:rPr>
                    <w:t>3.按照畜禽养殖规划，现有禁养区养殖场逐步退出或关停。</w:t>
                  </w:r>
                </w:p>
              </w:tc>
              <w:tc>
                <w:tcPr>
                  <w:tcW w:w="1183" w:type="pct"/>
                  <w:vAlign w:val="center"/>
                </w:tcPr>
                <w:p w14:paraId="6B582551">
                  <w:pPr>
                    <w:pStyle w:val="86"/>
                    <w:adjustRightInd w:val="0"/>
                    <w:snapToGrid w:val="0"/>
                    <w:jc w:val="both"/>
                    <w:rPr>
                      <w:rFonts w:hint="eastAsia" w:eastAsia="宋体"/>
                      <w:color w:val="auto"/>
                      <w:sz w:val="21"/>
                      <w:szCs w:val="21"/>
                      <w:lang w:val="en-US" w:eastAsia="zh-CN"/>
                    </w:rPr>
                  </w:pPr>
                  <w:r>
                    <w:rPr>
                      <w:rFonts w:hint="eastAsia"/>
                      <w:color w:val="auto"/>
                      <w:sz w:val="21"/>
                      <w:szCs w:val="21"/>
                      <w:lang w:val="en-US" w:eastAsia="zh-CN"/>
                    </w:rPr>
                    <w:t>1、本项目不涉及；2、本项目不占用耕地</w:t>
                  </w:r>
                  <w:r>
                    <w:rPr>
                      <w:rFonts w:hint="eastAsia"/>
                      <w:color w:val="auto"/>
                      <w:sz w:val="21"/>
                      <w:szCs w:val="21"/>
                      <w:lang w:eastAsia="zh-CN"/>
                    </w:rPr>
                    <w:t>；</w:t>
                  </w:r>
                  <w:r>
                    <w:rPr>
                      <w:rFonts w:hint="eastAsia"/>
                      <w:color w:val="auto"/>
                      <w:sz w:val="21"/>
                      <w:szCs w:val="21"/>
                      <w:lang w:val="en-US" w:eastAsia="zh-CN"/>
                    </w:rPr>
                    <w:t>3、本项目不属于</w:t>
                  </w:r>
                  <w:r>
                    <w:rPr>
                      <w:rFonts w:hint="eastAsia"/>
                      <w:color w:val="auto"/>
                      <w:sz w:val="21"/>
                      <w:szCs w:val="21"/>
                    </w:rPr>
                    <w:t>畜禽养殖</w:t>
                  </w:r>
                  <w:r>
                    <w:rPr>
                      <w:rFonts w:hint="eastAsia"/>
                      <w:color w:val="auto"/>
                      <w:sz w:val="21"/>
                      <w:szCs w:val="21"/>
                      <w:lang w:val="en-US" w:eastAsia="zh-CN"/>
                    </w:rPr>
                    <w:t>项目。</w:t>
                  </w:r>
                </w:p>
              </w:tc>
              <w:tc>
                <w:tcPr>
                  <w:tcW w:w="605" w:type="pct"/>
                  <w:vAlign w:val="center"/>
                </w:tcPr>
                <w:p w14:paraId="54E11374">
                  <w:pPr>
                    <w:adjustRightInd w:val="0"/>
                    <w:snapToGrid w:val="0"/>
                    <w:jc w:val="center"/>
                    <w:rPr>
                      <w:rFonts w:hint="default"/>
                      <w:color w:val="auto"/>
                      <w:sz w:val="21"/>
                      <w:szCs w:val="21"/>
                      <w:lang w:val="en-US"/>
                    </w:rPr>
                  </w:pPr>
                  <w:r>
                    <w:rPr>
                      <w:rFonts w:hint="eastAsia"/>
                      <w:color w:val="auto"/>
                      <w:sz w:val="21"/>
                      <w:szCs w:val="21"/>
                      <w:lang w:val="en-US" w:eastAsia="zh-CN"/>
                    </w:rPr>
                    <w:t>不涉及</w:t>
                  </w:r>
                </w:p>
              </w:tc>
            </w:tr>
            <w:tr w14:paraId="7223F5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574" w:type="pct"/>
                  <w:vAlign w:val="center"/>
                </w:tcPr>
                <w:p w14:paraId="597F0423">
                  <w:pPr>
                    <w:pStyle w:val="86"/>
                    <w:adjustRightInd w:val="0"/>
                    <w:snapToGrid w:val="0"/>
                    <w:rPr>
                      <w:color w:val="auto"/>
                      <w:sz w:val="21"/>
                      <w:szCs w:val="21"/>
                    </w:rPr>
                  </w:pPr>
                  <w:r>
                    <w:rPr>
                      <w:color w:val="auto"/>
                      <w:sz w:val="21"/>
                      <w:szCs w:val="21"/>
                    </w:rPr>
                    <w:t>污染物排放管控</w:t>
                  </w:r>
                </w:p>
              </w:tc>
              <w:tc>
                <w:tcPr>
                  <w:tcW w:w="2636" w:type="pct"/>
                  <w:vAlign w:val="center"/>
                </w:tcPr>
                <w:p w14:paraId="30933828">
                  <w:pPr>
                    <w:pStyle w:val="43"/>
                    <w:bidi w:val="0"/>
                    <w:jc w:val="left"/>
                    <w:rPr>
                      <w:rFonts w:hint="default"/>
                      <w:color w:val="auto"/>
                      <w:lang w:val="en-US" w:eastAsia="zh-CN"/>
                    </w:rPr>
                  </w:pPr>
                  <w:r>
                    <w:rPr>
                      <w:rFonts w:hint="default"/>
                      <w:color w:val="auto"/>
                      <w:lang w:val="en-US" w:eastAsia="zh-CN"/>
                    </w:rPr>
                    <w:t>1.改造提升农村生活污水治理设施建设，2023年底前完成集中式（日处理规模20吨以上）设施改造，2025年底前基本完成现有设施改造。</w:t>
                  </w:r>
                </w:p>
                <w:p w14:paraId="28D1583D">
                  <w:pPr>
                    <w:pStyle w:val="43"/>
                    <w:bidi w:val="0"/>
                    <w:jc w:val="left"/>
                    <w:rPr>
                      <w:rFonts w:hint="default"/>
                      <w:color w:val="auto"/>
                      <w:lang w:val="en-US" w:eastAsia="zh-CN"/>
                    </w:rPr>
                  </w:pPr>
                  <w:r>
                    <w:rPr>
                      <w:rFonts w:hint="default"/>
                      <w:color w:val="auto"/>
                      <w:lang w:val="en-US" w:eastAsia="zh-CN"/>
                    </w:rPr>
                    <w:t>2.污染物排放应达到相应排放标准。</w:t>
                  </w:r>
                </w:p>
                <w:p w14:paraId="1DCC1FE2">
                  <w:pPr>
                    <w:widowControl/>
                    <w:adjustRightInd w:val="0"/>
                    <w:snapToGrid w:val="0"/>
                    <w:jc w:val="both"/>
                    <w:rPr>
                      <w:rFonts w:hint="eastAsia" w:eastAsia="宋体"/>
                      <w:color w:val="auto"/>
                      <w:sz w:val="21"/>
                      <w:szCs w:val="21"/>
                      <w:lang w:eastAsia="zh-CN"/>
                    </w:rPr>
                  </w:pPr>
                  <w:r>
                    <w:rPr>
                      <w:rFonts w:hint="default"/>
                      <w:color w:val="auto"/>
                      <w:lang w:val="en-US" w:eastAsia="zh-CN"/>
                    </w:rPr>
                    <w:t>3.污染物排放绩效水平应达到相应水平。</w:t>
                  </w:r>
                </w:p>
              </w:tc>
              <w:tc>
                <w:tcPr>
                  <w:tcW w:w="1183" w:type="pct"/>
                  <w:vAlign w:val="center"/>
                </w:tcPr>
                <w:p w14:paraId="5C06929A">
                  <w:pPr>
                    <w:widowControl/>
                    <w:adjustRightInd w:val="0"/>
                    <w:snapToGrid w:val="0"/>
                    <w:jc w:val="both"/>
                    <w:rPr>
                      <w:rFonts w:hint="default" w:eastAsia="宋体"/>
                      <w:color w:val="auto"/>
                      <w:sz w:val="21"/>
                      <w:szCs w:val="21"/>
                      <w:lang w:val="en-US" w:eastAsia="zh-CN"/>
                    </w:rPr>
                  </w:pPr>
                  <w:r>
                    <w:rPr>
                      <w:rFonts w:hint="eastAsia"/>
                      <w:color w:val="auto"/>
                      <w:sz w:val="21"/>
                      <w:szCs w:val="21"/>
                      <w:lang w:val="en-US" w:eastAsia="zh-CN"/>
                    </w:rPr>
                    <w:t>1、</w:t>
                  </w:r>
                  <w:r>
                    <w:rPr>
                      <w:rFonts w:hint="eastAsia"/>
                      <w:color w:val="auto"/>
                      <w:szCs w:val="21"/>
                      <w:lang w:val="en-US" w:eastAsia="zh-CN"/>
                    </w:rPr>
                    <w:t>项目生活污</w:t>
                  </w:r>
                  <w:r>
                    <w:rPr>
                      <w:rFonts w:hint="eastAsia"/>
                      <w:color w:val="auto"/>
                      <w:sz w:val="21"/>
                      <w:szCs w:val="21"/>
                      <w:lang w:val="en-US" w:eastAsia="zh-CN"/>
                    </w:rPr>
                    <w:t>水</w:t>
                  </w:r>
                  <w:r>
                    <w:rPr>
                      <w:color w:val="auto"/>
                      <w:sz w:val="21"/>
                      <w:szCs w:val="21"/>
                    </w:rPr>
                    <w:t>经化粪池预处理</w:t>
                  </w:r>
                  <w:r>
                    <w:rPr>
                      <w:rFonts w:hint="eastAsia"/>
                      <w:color w:val="auto"/>
                      <w:sz w:val="21"/>
                      <w:szCs w:val="21"/>
                    </w:rPr>
                    <w:t>后用于周边</w:t>
                  </w:r>
                  <w:r>
                    <w:rPr>
                      <w:rFonts w:hint="eastAsia"/>
                      <w:color w:val="auto"/>
                      <w:sz w:val="21"/>
                      <w:szCs w:val="21"/>
                      <w:lang w:val="en-US" w:eastAsia="zh-CN"/>
                    </w:rPr>
                    <w:t>林地施肥</w:t>
                  </w:r>
                  <w:r>
                    <w:rPr>
                      <w:rFonts w:hint="eastAsia"/>
                      <w:color w:val="auto"/>
                      <w:sz w:val="21"/>
                      <w:szCs w:val="21"/>
                    </w:rPr>
                    <w:t>，不外排</w:t>
                  </w:r>
                  <w:r>
                    <w:rPr>
                      <w:rFonts w:hint="eastAsia"/>
                      <w:color w:val="auto"/>
                      <w:sz w:val="21"/>
                      <w:szCs w:val="21"/>
                      <w:lang w:val="en-US" w:eastAsia="zh-CN"/>
                    </w:rPr>
                    <w:t>；2、本项目污染物经处理设施处理后可达标排放；3、本项目</w:t>
                  </w:r>
                  <w:r>
                    <w:rPr>
                      <w:rFonts w:hint="default"/>
                      <w:color w:val="auto"/>
                      <w:lang w:val="en-US" w:eastAsia="zh-CN"/>
                    </w:rPr>
                    <w:t>污染物排放绩效水平</w:t>
                  </w:r>
                  <w:r>
                    <w:rPr>
                      <w:rFonts w:hint="eastAsia"/>
                      <w:color w:val="auto"/>
                      <w:lang w:val="en-US" w:eastAsia="zh-CN"/>
                    </w:rPr>
                    <w:t>可以</w:t>
                  </w:r>
                  <w:r>
                    <w:rPr>
                      <w:rFonts w:hint="default"/>
                      <w:color w:val="auto"/>
                      <w:lang w:val="en-US" w:eastAsia="zh-CN"/>
                    </w:rPr>
                    <w:t>达到相应水平</w:t>
                  </w:r>
                  <w:r>
                    <w:rPr>
                      <w:rFonts w:hint="eastAsia"/>
                      <w:color w:val="auto"/>
                      <w:lang w:val="en-US" w:eastAsia="zh-CN"/>
                    </w:rPr>
                    <w:t>。</w:t>
                  </w:r>
                </w:p>
              </w:tc>
              <w:tc>
                <w:tcPr>
                  <w:tcW w:w="605" w:type="pct"/>
                  <w:vAlign w:val="center"/>
                </w:tcPr>
                <w:p w14:paraId="5D708FD3">
                  <w:pPr>
                    <w:widowControl/>
                    <w:adjustRightInd w:val="0"/>
                    <w:snapToGrid w:val="0"/>
                    <w:jc w:val="center"/>
                    <w:rPr>
                      <w:color w:val="auto"/>
                      <w:sz w:val="21"/>
                      <w:szCs w:val="21"/>
                    </w:rPr>
                  </w:pPr>
                  <w:r>
                    <w:rPr>
                      <w:rFonts w:hint="eastAsia"/>
                      <w:color w:val="auto"/>
                      <w:sz w:val="21"/>
                      <w:szCs w:val="21"/>
                      <w:lang w:val="en-US" w:eastAsia="zh-CN"/>
                    </w:rPr>
                    <w:t>符合</w:t>
                  </w:r>
                </w:p>
              </w:tc>
            </w:tr>
            <w:tr w14:paraId="0B4506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574" w:type="pct"/>
                  <w:vAlign w:val="center"/>
                </w:tcPr>
                <w:p w14:paraId="46AB611D">
                  <w:pPr>
                    <w:autoSpaceDE w:val="0"/>
                    <w:autoSpaceDN w:val="0"/>
                    <w:adjustRightInd w:val="0"/>
                    <w:jc w:val="center"/>
                    <w:textAlignment w:val="baseline"/>
                    <w:rPr>
                      <w:color w:val="auto"/>
                      <w:sz w:val="21"/>
                      <w:szCs w:val="21"/>
                    </w:rPr>
                  </w:pPr>
                  <w:r>
                    <w:rPr>
                      <w:color w:val="auto"/>
                      <w:sz w:val="21"/>
                      <w:szCs w:val="21"/>
                    </w:rPr>
                    <w:t>环境风险防控</w:t>
                  </w:r>
                </w:p>
              </w:tc>
              <w:tc>
                <w:tcPr>
                  <w:tcW w:w="2636" w:type="pct"/>
                  <w:vAlign w:val="center"/>
                </w:tcPr>
                <w:p w14:paraId="61D02F33">
                  <w:pPr>
                    <w:numPr>
                      <w:ilvl w:val="0"/>
                      <w:numId w:val="0"/>
                    </w:numPr>
                    <w:autoSpaceDE w:val="0"/>
                    <w:autoSpaceDN w:val="0"/>
                    <w:adjustRightInd w:val="0"/>
                    <w:jc w:val="both"/>
                    <w:textAlignment w:val="baseline"/>
                    <w:rPr>
                      <w:rFonts w:hint="eastAsia" w:eastAsia="宋体"/>
                      <w:color w:val="auto"/>
                      <w:kern w:val="0"/>
                      <w:sz w:val="21"/>
                      <w:szCs w:val="21"/>
                      <w:lang w:eastAsia="zh-CN" w:bidi="ar"/>
                    </w:rPr>
                  </w:pPr>
                  <w:r>
                    <w:rPr>
                      <w:rFonts w:hint="default"/>
                      <w:color w:val="auto"/>
                      <w:lang w:val="en-US" w:eastAsia="zh-CN"/>
                    </w:rPr>
                    <w:t>安全利用类农用地，应制定农用地等安全利用方案，降低农产品超标风险。</w:t>
                  </w:r>
                </w:p>
              </w:tc>
              <w:tc>
                <w:tcPr>
                  <w:tcW w:w="1183" w:type="pct"/>
                  <w:vAlign w:val="center"/>
                </w:tcPr>
                <w:p w14:paraId="234FEF7E">
                  <w:pPr>
                    <w:autoSpaceDE w:val="0"/>
                    <w:autoSpaceDN w:val="0"/>
                    <w:adjustRightInd w:val="0"/>
                    <w:jc w:val="both"/>
                    <w:textAlignment w:val="baseline"/>
                    <w:rPr>
                      <w:rFonts w:hint="default" w:eastAsia="宋体"/>
                      <w:color w:val="auto"/>
                      <w:sz w:val="21"/>
                      <w:szCs w:val="21"/>
                      <w:lang w:val="en-US" w:eastAsia="zh-CN"/>
                    </w:rPr>
                  </w:pPr>
                  <w:r>
                    <w:rPr>
                      <w:rFonts w:hint="eastAsia"/>
                      <w:color w:val="auto"/>
                      <w:sz w:val="21"/>
                      <w:szCs w:val="21"/>
                    </w:rPr>
                    <w:t>1</w:t>
                  </w:r>
                  <w:r>
                    <w:rPr>
                      <w:rFonts w:hint="eastAsia"/>
                      <w:color w:val="auto"/>
                      <w:sz w:val="21"/>
                      <w:szCs w:val="21"/>
                      <w:lang w:eastAsia="zh-CN"/>
                    </w:rPr>
                    <w:t>、</w:t>
                  </w:r>
                  <w:r>
                    <w:rPr>
                      <w:rFonts w:hint="eastAsia"/>
                      <w:color w:val="auto"/>
                      <w:sz w:val="21"/>
                      <w:szCs w:val="21"/>
                    </w:rPr>
                    <w:t>本项目</w:t>
                  </w:r>
                  <w:r>
                    <w:rPr>
                      <w:rFonts w:hint="eastAsia"/>
                      <w:color w:val="auto"/>
                      <w:sz w:val="21"/>
                      <w:szCs w:val="21"/>
                      <w:lang w:val="en-US" w:eastAsia="zh-CN"/>
                    </w:rPr>
                    <w:t>用地为工业用地，不涉及</w:t>
                  </w:r>
                  <w:r>
                    <w:rPr>
                      <w:rFonts w:hint="default"/>
                      <w:color w:val="auto"/>
                      <w:lang w:val="en-US" w:eastAsia="zh-CN"/>
                    </w:rPr>
                    <w:t>农用地</w:t>
                  </w:r>
                  <w:r>
                    <w:rPr>
                      <w:rFonts w:hint="eastAsia"/>
                      <w:color w:val="auto"/>
                      <w:lang w:val="en-US" w:eastAsia="zh-CN"/>
                    </w:rPr>
                    <w:t>。</w:t>
                  </w:r>
                </w:p>
              </w:tc>
              <w:tc>
                <w:tcPr>
                  <w:tcW w:w="605" w:type="pct"/>
                  <w:vAlign w:val="center"/>
                </w:tcPr>
                <w:p w14:paraId="39A7AC04">
                  <w:pPr>
                    <w:autoSpaceDE w:val="0"/>
                    <w:autoSpaceDN w:val="0"/>
                    <w:adjustRightInd w:val="0"/>
                    <w:jc w:val="center"/>
                    <w:textAlignment w:val="baseline"/>
                    <w:rPr>
                      <w:color w:val="auto"/>
                      <w:sz w:val="21"/>
                      <w:szCs w:val="21"/>
                    </w:rPr>
                  </w:pPr>
                  <w:r>
                    <w:rPr>
                      <w:rFonts w:hint="eastAsia"/>
                      <w:color w:val="auto"/>
                      <w:sz w:val="21"/>
                      <w:szCs w:val="21"/>
                      <w:lang w:val="en-US" w:eastAsia="zh-CN"/>
                    </w:rPr>
                    <w:t>不涉及</w:t>
                  </w:r>
                </w:p>
              </w:tc>
            </w:tr>
          </w:tbl>
          <w:p w14:paraId="0D1E9BB5">
            <w:pPr>
              <w:pStyle w:val="78"/>
              <w:keepNext w:val="0"/>
              <w:keepLines w:val="0"/>
              <w:pageBreakBefore w:val="0"/>
              <w:kinsoku/>
              <w:wordWrap/>
              <w:overflowPunct/>
              <w:topLinePunct w:val="0"/>
              <w:autoSpaceDE/>
              <w:autoSpaceDN/>
              <w:bidi w:val="0"/>
              <w:adjustRightInd/>
              <w:snapToGrid/>
              <w:ind w:firstLine="482"/>
              <w:jc w:val="both"/>
              <w:textAlignment w:val="auto"/>
              <w:rPr>
                <w:rFonts w:hint="eastAsia"/>
                <w:b w:val="0"/>
                <w:bCs/>
                <w:color w:val="auto"/>
                <w:kern w:val="0"/>
                <w:sz w:val="24"/>
                <w:lang w:val="en-US" w:eastAsia="zh-CN" w:bidi="ar"/>
              </w:rPr>
            </w:pPr>
            <w:r>
              <w:rPr>
                <w:b w:val="0"/>
                <w:bCs/>
                <w:color w:val="auto"/>
                <w:kern w:val="0"/>
                <w:sz w:val="24"/>
                <w:lang w:bidi="ar"/>
              </w:rPr>
              <w:t>综上所述，经过与园区</w:t>
            </w:r>
            <w:r>
              <w:rPr>
                <w:rFonts w:hint="eastAsia"/>
                <w:b w:val="0"/>
                <w:bCs/>
                <w:color w:val="auto"/>
                <w:kern w:val="0"/>
                <w:sz w:val="24"/>
                <w:lang w:bidi="ar"/>
              </w:rPr>
              <w:t>“</w:t>
            </w:r>
            <w:r>
              <w:rPr>
                <w:b w:val="0"/>
                <w:bCs/>
                <w:color w:val="auto"/>
                <w:kern w:val="0"/>
                <w:sz w:val="24"/>
                <w:lang w:bidi="ar"/>
              </w:rPr>
              <w:t>三线一单</w:t>
            </w:r>
            <w:r>
              <w:rPr>
                <w:rFonts w:hint="eastAsia"/>
                <w:b w:val="0"/>
                <w:bCs/>
                <w:color w:val="auto"/>
                <w:kern w:val="0"/>
                <w:sz w:val="24"/>
                <w:lang w:bidi="ar"/>
              </w:rPr>
              <w:t>”</w:t>
            </w:r>
            <w:r>
              <w:rPr>
                <w:b w:val="0"/>
                <w:bCs/>
                <w:color w:val="auto"/>
                <w:kern w:val="0"/>
                <w:sz w:val="24"/>
                <w:lang w:bidi="ar"/>
              </w:rPr>
              <w:t>进行对照后，本项目不在生态保护红线内、未超出环境质量底线及资源利用上线、未列入环境准入负面清单</w:t>
            </w:r>
            <w:r>
              <w:rPr>
                <w:rFonts w:hint="eastAsia"/>
                <w:b w:val="0"/>
                <w:bCs/>
                <w:color w:val="auto"/>
                <w:kern w:val="0"/>
                <w:sz w:val="24"/>
                <w:lang w:val="en-US" w:eastAsia="zh-CN" w:bidi="ar"/>
              </w:rPr>
              <w:t>内。</w:t>
            </w:r>
          </w:p>
          <w:p w14:paraId="211F04D3">
            <w:pPr>
              <w:pStyle w:val="78"/>
              <w:keepNext w:val="0"/>
              <w:keepLines w:val="0"/>
              <w:pageBreakBefore w:val="0"/>
              <w:kinsoku/>
              <w:wordWrap/>
              <w:overflowPunct/>
              <w:topLinePunct w:val="0"/>
              <w:autoSpaceDE/>
              <w:autoSpaceDN/>
              <w:bidi w:val="0"/>
              <w:adjustRightInd/>
              <w:snapToGrid/>
              <w:ind w:firstLine="482"/>
              <w:jc w:val="both"/>
              <w:textAlignment w:val="auto"/>
              <w:rPr>
                <w:color w:val="auto"/>
                <w:kern w:val="2"/>
              </w:rPr>
            </w:pPr>
            <w:r>
              <w:rPr>
                <w:rFonts w:hint="eastAsia" w:ascii="Times New Roman" w:hAnsi="Times New Roman" w:cs="Times New Roman"/>
                <w:b/>
                <w:bCs w:val="0"/>
                <w:color w:val="auto"/>
                <w:kern w:val="0"/>
                <w:sz w:val="24"/>
                <w:lang w:val="en-US" w:eastAsia="zh-CN" w:bidi="ar"/>
              </w:rPr>
              <w:t>4</w:t>
            </w:r>
            <w:r>
              <w:rPr>
                <w:rFonts w:hint="default" w:ascii="Times New Roman" w:hAnsi="Times New Roman" w:cs="Times New Roman"/>
                <w:b/>
                <w:bCs w:val="0"/>
                <w:color w:val="auto"/>
                <w:kern w:val="0"/>
                <w:sz w:val="24"/>
                <w:lang w:val="en-US" w:eastAsia="zh-CN" w:bidi="ar"/>
              </w:rPr>
              <w:t>、</w:t>
            </w:r>
            <w:r>
              <w:rPr>
                <w:rFonts w:hint="default" w:ascii="Times New Roman" w:hAnsi="Times New Roman" w:cs="Times New Roman"/>
                <w:color w:val="auto"/>
                <w:kern w:val="2"/>
              </w:rPr>
              <w:t>与</w:t>
            </w:r>
            <w:r>
              <w:rPr>
                <w:color w:val="auto"/>
                <w:kern w:val="2"/>
              </w:rPr>
              <w:t>周边企业相容性分析</w:t>
            </w:r>
          </w:p>
          <w:p w14:paraId="38B83C38">
            <w:pPr>
              <w:widowControl/>
              <w:spacing w:line="360" w:lineRule="auto"/>
              <w:ind w:firstLine="480" w:firstLineChars="200"/>
              <w:jc w:val="both"/>
              <w:rPr>
                <w:rFonts w:hint="default" w:eastAsia="宋体"/>
                <w:color w:val="FF0000"/>
                <w:sz w:val="24"/>
                <w:lang w:val="en-US" w:eastAsia="zh-CN"/>
              </w:rPr>
            </w:pPr>
            <w:r>
              <w:rPr>
                <w:rFonts w:hint="eastAsia"/>
                <w:color w:val="FF0000"/>
                <w:kern w:val="0"/>
                <w:sz w:val="24"/>
                <w:lang w:val="en-US" w:eastAsia="zh-CN" w:bidi="ar"/>
              </w:rPr>
              <w:t>本</w:t>
            </w:r>
            <w:r>
              <w:rPr>
                <w:color w:val="FF0000"/>
                <w:kern w:val="0"/>
                <w:sz w:val="24"/>
                <w:lang w:bidi="ar"/>
              </w:rPr>
              <w:t>项目</w:t>
            </w:r>
            <w:r>
              <w:rPr>
                <w:rFonts w:hint="eastAsia"/>
                <w:color w:val="FF0000"/>
                <w:kern w:val="0"/>
                <w:sz w:val="24"/>
                <w:lang w:val="en-US" w:eastAsia="zh-CN" w:bidi="ar"/>
              </w:rPr>
              <w:t>东面、西面、南面皆为山地，项目北面15m处为高安市凯吉纸箱包装有限公司，该企业是一家从事纸板、纸箱、纸类包装生产、销售的公司，生产过程中污染物主要为包装废气</w:t>
            </w:r>
            <w:r>
              <w:rPr>
                <w:rFonts w:hint="eastAsia"/>
                <w:color w:val="FF0000"/>
                <w:kern w:val="0"/>
                <w:sz w:val="24"/>
                <w:szCs w:val="24"/>
                <w:lang w:val="en-US" w:eastAsia="zh-CN" w:bidi="ar"/>
              </w:rPr>
              <w:t>（</w:t>
            </w:r>
            <w:r>
              <w:rPr>
                <w:rFonts w:hint="default" w:ascii="Times New Roman" w:hAnsi="Times New Roman" w:cs="Times New Roman"/>
                <w:bCs/>
                <w:color w:val="FF0000"/>
                <w:sz w:val="24"/>
                <w:szCs w:val="24"/>
                <w:vertAlign w:val="baseline"/>
                <w:lang w:val="en-US" w:eastAsia="zh-CN"/>
              </w:rPr>
              <w:t>NMHC</w:t>
            </w:r>
            <w:r>
              <w:rPr>
                <w:rFonts w:hint="eastAsia"/>
                <w:color w:val="FF0000"/>
                <w:kern w:val="0"/>
                <w:sz w:val="24"/>
                <w:lang w:val="en-US" w:eastAsia="zh-CN" w:bidi="ar"/>
              </w:rPr>
              <w:t>）、员工生活污水、机械噪声、固体废物；项目东北面80m处为江西莎沐妮食品有限公司，该企业为初级农产品加工企业，生产过程中污染物主要为废气（油烟）、员工生活污水、机械噪声、固体废物。项目周边企业污染性较小，不会影响本项目生产。本项目卫生防护距离以生产区为界50m，未超出与江西莎沐妮食品有限公司防护距离。项目</w:t>
            </w:r>
            <w:r>
              <w:rPr>
                <w:color w:val="FF0000"/>
                <w:sz w:val="24"/>
              </w:rPr>
              <w:t>污染物在采取各项污染物防治措施后均可达标排放</w:t>
            </w:r>
            <w:r>
              <w:rPr>
                <w:rFonts w:hint="eastAsia"/>
                <w:color w:val="FF0000"/>
                <w:sz w:val="24"/>
                <w:lang w:eastAsia="zh-CN"/>
              </w:rPr>
              <w:t>，</w:t>
            </w:r>
            <w:r>
              <w:rPr>
                <w:rFonts w:hint="eastAsia"/>
                <w:color w:val="FF0000"/>
                <w:sz w:val="24"/>
                <w:lang w:val="en-US" w:eastAsia="zh-CN"/>
              </w:rPr>
              <w:t>对</w:t>
            </w:r>
            <w:r>
              <w:rPr>
                <w:rFonts w:hint="eastAsia"/>
                <w:color w:val="FF0000"/>
                <w:kern w:val="0"/>
                <w:sz w:val="24"/>
                <w:lang w:val="en-US" w:eastAsia="zh-CN" w:bidi="ar"/>
              </w:rPr>
              <w:t>周边企业污染影响较小，不会影响周边企业生产。综上所述，项目选址可行。</w:t>
            </w:r>
          </w:p>
          <w:tbl>
            <w:tblPr>
              <w:tblStyle w:val="2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61"/>
              <w:gridCol w:w="3932"/>
            </w:tblGrid>
            <w:tr w14:paraId="46047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9" w:type="pct"/>
                  <w:vAlign w:val="center"/>
                </w:tcPr>
                <w:p w14:paraId="62005CD8">
                  <w:pPr>
                    <w:jc w:val="center"/>
                    <w:rPr>
                      <w:rFonts w:hint="eastAsia" w:eastAsia="宋体"/>
                      <w:color w:val="auto"/>
                      <w:lang w:eastAsia="zh-CN"/>
                    </w:rPr>
                  </w:pPr>
                  <w:r>
                    <w:rPr>
                      <w:rFonts w:hint="eastAsia" w:eastAsia="宋体"/>
                      <w:color w:val="auto"/>
                      <w:lang w:eastAsia="zh-CN"/>
                    </w:rPr>
                    <w:drawing>
                      <wp:inline distT="0" distB="0" distL="114300" distR="114300">
                        <wp:extent cx="2341245" cy="1755775"/>
                        <wp:effectExtent l="0" t="0" r="1905" b="15875"/>
                        <wp:docPr id="11" name="图片 11" descr="12bf76c524aba1453c4fe1de539b0a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2bf76c524aba1453c4fe1de539b0ac8"/>
                                <pic:cNvPicPr>
                                  <a:picLocks noChangeAspect="1"/>
                                </pic:cNvPicPr>
                              </pic:nvPicPr>
                              <pic:blipFill>
                                <a:blip r:embed="rId10"/>
                                <a:stretch>
                                  <a:fillRect/>
                                </a:stretch>
                              </pic:blipFill>
                              <pic:spPr>
                                <a:xfrm>
                                  <a:off x="0" y="0"/>
                                  <a:ext cx="2341245" cy="1755775"/>
                                </a:xfrm>
                                <a:prstGeom prst="rect">
                                  <a:avLst/>
                                </a:prstGeom>
                              </pic:spPr>
                            </pic:pic>
                          </a:graphicData>
                        </a:graphic>
                      </wp:inline>
                    </w:drawing>
                  </w:r>
                </w:p>
              </w:tc>
              <w:tc>
                <w:tcPr>
                  <w:tcW w:w="2490" w:type="pct"/>
                  <w:vAlign w:val="center"/>
                </w:tcPr>
                <w:p w14:paraId="796487FB">
                  <w:pPr>
                    <w:jc w:val="center"/>
                    <w:rPr>
                      <w:rFonts w:hint="eastAsia" w:eastAsia="宋体"/>
                      <w:color w:val="auto"/>
                      <w:lang w:eastAsia="zh-CN"/>
                    </w:rPr>
                  </w:pPr>
                  <w:r>
                    <w:rPr>
                      <w:rFonts w:hint="eastAsia" w:eastAsia="宋体"/>
                      <w:color w:val="auto"/>
                      <w:lang w:eastAsia="zh-CN"/>
                    </w:rPr>
                    <w:drawing>
                      <wp:inline distT="0" distB="0" distL="114300" distR="114300">
                        <wp:extent cx="2341245" cy="1755775"/>
                        <wp:effectExtent l="0" t="0" r="1905" b="15875"/>
                        <wp:docPr id="12" name="图片 12" descr="3df3e38d42e54031db05a3236eb721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df3e38d42e54031db05a3236eb7212e"/>
                                <pic:cNvPicPr>
                                  <a:picLocks noChangeAspect="1"/>
                                </pic:cNvPicPr>
                              </pic:nvPicPr>
                              <pic:blipFill>
                                <a:blip r:embed="rId11"/>
                                <a:stretch>
                                  <a:fillRect/>
                                </a:stretch>
                              </pic:blipFill>
                              <pic:spPr>
                                <a:xfrm>
                                  <a:off x="0" y="0"/>
                                  <a:ext cx="2341245" cy="1755775"/>
                                </a:xfrm>
                                <a:prstGeom prst="rect">
                                  <a:avLst/>
                                </a:prstGeom>
                              </pic:spPr>
                            </pic:pic>
                          </a:graphicData>
                        </a:graphic>
                      </wp:inline>
                    </w:drawing>
                  </w:r>
                </w:p>
              </w:tc>
            </w:tr>
            <w:tr w14:paraId="33C9F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9" w:type="pct"/>
                  <w:vAlign w:val="center"/>
                </w:tcPr>
                <w:p w14:paraId="1B788398">
                  <w:pPr>
                    <w:jc w:val="center"/>
                    <w:rPr>
                      <w:color w:val="auto"/>
                    </w:rPr>
                  </w:pPr>
                  <w:r>
                    <w:rPr>
                      <w:b/>
                      <w:bCs/>
                      <w:color w:val="auto"/>
                      <w:szCs w:val="21"/>
                    </w:rPr>
                    <w:t>项目东面</w:t>
                  </w:r>
                </w:p>
              </w:tc>
              <w:tc>
                <w:tcPr>
                  <w:tcW w:w="2490" w:type="pct"/>
                  <w:vAlign w:val="center"/>
                </w:tcPr>
                <w:p w14:paraId="5E3AFB6B">
                  <w:pPr>
                    <w:jc w:val="center"/>
                    <w:rPr>
                      <w:color w:val="auto"/>
                    </w:rPr>
                  </w:pPr>
                  <w:r>
                    <w:rPr>
                      <w:b/>
                      <w:bCs/>
                      <w:color w:val="auto"/>
                      <w:szCs w:val="21"/>
                    </w:rPr>
                    <w:t>项目南面</w:t>
                  </w:r>
                </w:p>
              </w:tc>
            </w:tr>
            <w:tr w14:paraId="08EC7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9" w:type="pct"/>
                  <w:vAlign w:val="center"/>
                </w:tcPr>
                <w:p w14:paraId="729B89F3">
                  <w:pPr>
                    <w:jc w:val="center"/>
                    <w:rPr>
                      <w:rFonts w:hint="eastAsia" w:eastAsia="宋体"/>
                      <w:color w:val="auto"/>
                      <w:lang w:eastAsia="zh-CN"/>
                    </w:rPr>
                  </w:pPr>
                  <w:r>
                    <w:rPr>
                      <w:rFonts w:hint="eastAsia" w:eastAsia="宋体"/>
                      <w:color w:val="auto"/>
                      <w:lang w:eastAsia="zh-CN"/>
                    </w:rPr>
                    <w:drawing>
                      <wp:inline distT="0" distB="0" distL="114300" distR="114300">
                        <wp:extent cx="2341245" cy="1755775"/>
                        <wp:effectExtent l="0" t="0" r="1905" b="15875"/>
                        <wp:docPr id="8" name="图片 8" descr="f408a71daef22811f7eee897777e22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408a71daef22811f7eee897777e22f3"/>
                                <pic:cNvPicPr>
                                  <a:picLocks noChangeAspect="1"/>
                                </pic:cNvPicPr>
                              </pic:nvPicPr>
                              <pic:blipFill>
                                <a:blip r:embed="rId12"/>
                                <a:stretch>
                                  <a:fillRect/>
                                </a:stretch>
                              </pic:blipFill>
                              <pic:spPr>
                                <a:xfrm>
                                  <a:off x="0" y="0"/>
                                  <a:ext cx="2341245" cy="1755775"/>
                                </a:xfrm>
                                <a:prstGeom prst="rect">
                                  <a:avLst/>
                                </a:prstGeom>
                              </pic:spPr>
                            </pic:pic>
                          </a:graphicData>
                        </a:graphic>
                      </wp:inline>
                    </w:drawing>
                  </w:r>
                </w:p>
              </w:tc>
              <w:tc>
                <w:tcPr>
                  <w:tcW w:w="2490" w:type="pct"/>
                  <w:vAlign w:val="center"/>
                </w:tcPr>
                <w:p w14:paraId="40B9A84C">
                  <w:pPr>
                    <w:jc w:val="center"/>
                    <w:rPr>
                      <w:rFonts w:hint="eastAsia" w:eastAsia="宋体"/>
                      <w:color w:val="auto"/>
                      <w:lang w:eastAsia="zh-CN"/>
                    </w:rPr>
                  </w:pPr>
                  <w:r>
                    <w:rPr>
                      <w:rFonts w:hint="eastAsia" w:eastAsia="宋体"/>
                      <w:color w:val="auto"/>
                      <w:lang w:eastAsia="zh-CN"/>
                    </w:rPr>
                    <w:drawing>
                      <wp:inline distT="0" distB="0" distL="114300" distR="114300">
                        <wp:extent cx="2325370" cy="1743710"/>
                        <wp:effectExtent l="0" t="0" r="17780" b="8890"/>
                        <wp:docPr id="10" name="图片 10" descr="2baef0bd52fb86d92f99cf6997fb71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baef0bd52fb86d92f99cf6997fb71e0"/>
                                <pic:cNvPicPr>
                                  <a:picLocks noChangeAspect="1"/>
                                </pic:cNvPicPr>
                              </pic:nvPicPr>
                              <pic:blipFill>
                                <a:blip r:embed="rId13"/>
                                <a:stretch>
                                  <a:fillRect/>
                                </a:stretch>
                              </pic:blipFill>
                              <pic:spPr>
                                <a:xfrm>
                                  <a:off x="0" y="0"/>
                                  <a:ext cx="2325370" cy="1743710"/>
                                </a:xfrm>
                                <a:prstGeom prst="rect">
                                  <a:avLst/>
                                </a:prstGeom>
                              </pic:spPr>
                            </pic:pic>
                          </a:graphicData>
                        </a:graphic>
                      </wp:inline>
                    </w:drawing>
                  </w:r>
                </w:p>
              </w:tc>
            </w:tr>
            <w:tr w14:paraId="79051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09" w:type="pct"/>
                  <w:vAlign w:val="center"/>
                </w:tcPr>
                <w:p w14:paraId="775E2BE5">
                  <w:pPr>
                    <w:jc w:val="center"/>
                    <w:rPr>
                      <w:color w:val="auto"/>
                    </w:rPr>
                  </w:pPr>
                  <w:r>
                    <w:rPr>
                      <w:b/>
                      <w:bCs/>
                      <w:color w:val="auto"/>
                      <w:szCs w:val="21"/>
                    </w:rPr>
                    <w:t>项目西面</w:t>
                  </w:r>
                </w:p>
              </w:tc>
              <w:tc>
                <w:tcPr>
                  <w:tcW w:w="2490" w:type="pct"/>
                  <w:vAlign w:val="center"/>
                </w:tcPr>
                <w:p w14:paraId="2B826308">
                  <w:pPr>
                    <w:jc w:val="center"/>
                    <w:rPr>
                      <w:color w:val="auto"/>
                    </w:rPr>
                  </w:pPr>
                  <w:r>
                    <w:rPr>
                      <w:b/>
                      <w:bCs/>
                      <w:color w:val="auto"/>
                      <w:szCs w:val="21"/>
                    </w:rPr>
                    <w:t>项目北面</w:t>
                  </w:r>
                </w:p>
              </w:tc>
            </w:tr>
          </w:tbl>
          <w:p w14:paraId="4A79B8E0">
            <w:pPr>
              <w:pStyle w:val="7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color w:val="auto"/>
              </w:rPr>
            </w:pPr>
            <w:r>
              <w:rPr>
                <w:color w:val="auto"/>
              </w:rPr>
              <w:t>图1-1  项目四周图</w:t>
            </w:r>
          </w:p>
          <w:p w14:paraId="01213FD5">
            <w:pPr>
              <w:pStyle w:val="77"/>
              <w:keepNext w:val="0"/>
              <w:keepLines w:val="0"/>
              <w:pageBreakBefore w:val="0"/>
              <w:widowControl w:val="0"/>
              <w:kinsoku/>
              <w:wordWrap/>
              <w:overflowPunct/>
              <w:topLinePunct w:val="0"/>
              <w:autoSpaceDE/>
              <w:autoSpaceDN/>
              <w:bidi w:val="0"/>
              <w:adjustRightInd/>
              <w:snapToGrid/>
              <w:ind w:left="0" w:leftChars="0" w:firstLine="482" w:firstLineChars="200"/>
              <w:jc w:val="both"/>
              <w:textAlignment w:val="auto"/>
              <w:rPr>
                <w:color w:val="auto"/>
                <w:kern w:val="2"/>
              </w:rPr>
            </w:pPr>
            <w:r>
              <w:rPr>
                <w:color w:val="auto"/>
                <w:kern w:val="2"/>
              </w:rPr>
              <w:t>5、平面布置合理性分析</w:t>
            </w:r>
          </w:p>
          <w:p w14:paraId="54FA4309">
            <w:pPr>
              <w:pStyle w:val="74"/>
              <w:ind w:firstLine="480"/>
              <w:rPr>
                <w:rFonts w:hint="default"/>
                <w:color w:val="auto"/>
                <w:kern w:val="2"/>
                <w:szCs w:val="24"/>
                <w:lang w:val="en-US" w:eastAsia="zh-CN"/>
              </w:rPr>
            </w:pPr>
            <w:r>
              <w:rPr>
                <w:color w:val="auto"/>
                <w:kern w:val="2"/>
                <w:szCs w:val="24"/>
              </w:rPr>
              <w:t>本项目出入口设置在</w:t>
            </w:r>
            <w:r>
              <w:rPr>
                <w:rFonts w:hint="eastAsia"/>
                <w:color w:val="auto"/>
                <w:kern w:val="2"/>
                <w:szCs w:val="24"/>
                <w:lang w:val="en-US" w:eastAsia="zh-CN"/>
              </w:rPr>
              <w:t>厂房西</w:t>
            </w:r>
            <w:r>
              <w:rPr>
                <w:color w:val="auto"/>
                <w:kern w:val="2"/>
                <w:szCs w:val="24"/>
              </w:rPr>
              <w:t>侧，</w:t>
            </w:r>
            <w:r>
              <w:rPr>
                <w:rFonts w:hint="eastAsia"/>
                <w:color w:val="auto"/>
                <w:kern w:val="2"/>
                <w:szCs w:val="24"/>
                <w:lang w:val="en-US" w:eastAsia="zh-CN"/>
              </w:rPr>
              <w:t>出口</w:t>
            </w:r>
            <w:r>
              <w:rPr>
                <w:color w:val="auto"/>
                <w:kern w:val="2"/>
                <w:szCs w:val="24"/>
              </w:rPr>
              <w:t>接入交通干道，生产车间内部生产设备按生产顺序先后放置，</w:t>
            </w:r>
            <w:r>
              <w:rPr>
                <w:rFonts w:hint="eastAsia"/>
                <w:color w:val="auto"/>
                <w:kern w:val="2"/>
                <w:szCs w:val="24"/>
                <w:lang w:val="en-US" w:eastAsia="zh-CN"/>
              </w:rPr>
              <w:t>以</w:t>
            </w:r>
            <w:r>
              <w:rPr>
                <w:color w:val="auto"/>
                <w:kern w:val="2"/>
                <w:szCs w:val="24"/>
              </w:rPr>
              <w:t>减少物流能源消耗</w:t>
            </w:r>
            <w:r>
              <w:rPr>
                <w:rFonts w:hint="eastAsia"/>
                <w:color w:val="auto"/>
                <w:kern w:val="2"/>
                <w:szCs w:val="24"/>
                <w:lang w:eastAsia="zh-CN"/>
              </w:rPr>
              <w:t>；</w:t>
            </w:r>
            <w:r>
              <w:rPr>
                <w:rFonts w:hint="eastAsia"/>
                <w:color w:val="auto"/>
                <w:kern w:val="2"/>
                <w:szCs w:val="24"/>
                <w:lang w:val="en-US" w:eastAsia="zh-CN"/>
              </w:rPr>
              <w:t>根据功能对厂区</w:t>
            </w:r>
            <w:r>
              <w:rPr>
                <w:rFonts w:hint="default" w:ascii="Times New Roman" w:hAnsi="Times New Roman" w:cs="Times New Roman"/>
                <w:color w:val="auto"/>
                <w:kern w:val="10"/>
                <w:sz w:val="24"/>
              </w:rPr>
              <w:t>进行了比较明显的功能分区</w:t>
            </w:r>
            <w:r>
              <w:rPr>
                <w:rFonts w:hint="eastAsia"/>
                <w:color w:val="auto"/>
                <w:kern w:val="2"/>
                <w:szCs w:val="24"/>
                <w:lang w:val="en-US" w:eastAsia="zh-CN"/>
              </w:rPr>
              <w:t>，以提高工业效率、保障生产安全、明确生产责任、便于生产管理；</w:t>
            </w:r>
            <w:r>
              <w:rPr>
                <w:color w:val="auto"/>
                <w:kern w:val="2"/>
                <w:szCs w:val="24"/>
              </w:rPr>
              <w:t>厂区按相关要求布设消防设施</w:t>
            </w:r>
            <w:r>
              <w:rPr>
                <w:rFonts w:hint="eastAsia"/>
                <w:color w:val="auto"/>
                <w:kern w:val="2"/>
                <w:szCs w:val="24"/>
                <w:lang w:eastAsia="zh-CN"/>
              </w:rPr>
              <w:t>；</w:t>
            </w:r>
            <w:r>
              <w:rPr>
                <w:rFonts w:hint="eastAsia"/>
                <w:color w:val="auto"/>
                <w:kern w:val="2"/>
                <w:szCs w:val="24"/>
                <w:lang w:val="en-US" w:eastAsia="zh-CN"/>
              </w:rPr>
              <w:t>项目废气排气筒位于项目厂界西侧，远离东北侧</w:t>
            </w:r>
            <w:r>
              <w:rPr>
                <w:rFonts w:hint="eastAsia"/>
                <w:color w:val="auto"/>
                <w:kern w:val="0"/>
                <w:sz w:val="24"/>
                <w:lang w:val="en-US" w:eastAsia="zh-CN" w:bidi="ar"/>
              </w:rPr>
              <w:t>江西莎沐妮食品有限公司。</w:t>
            </w:r>
          </w:p>
          <w:p w14:paraId="0828AA98">
            <w:pPr>
              <w:pStyle w:val="74"/>
              <w:ind w:firstLine="480"/>
              <w:rPr>
                <w:color w:val="auto"/>
                <w:kern w:val="2"/>
                <w:szCs w:val="24"/>
              </w:rPr>
            </w:pPr>
            <w:r>
              <w:rPr>
                <w:rFonts w:hint="eastAsia" w:cs="Times New Roman"/>
                <w:color w:val="auto"/>
                <w:kern w:val="10"/>
                <w:sz w:val="24"/>
                <w:lang w:val="en-US" w:eastAsia="zh-CN"/>
              </w:rPr>
              <w:t>项目充</w:t>
            </w:r>
            <w:r>
              <w:rPr>
                <w:color w:val="auto"/>
                <w:sz w:val="24"/>
                <w:lang w:bidi="ar"/>
              </w:rPr>
              <w:t>分考虑生产的适用性、合理性、经济性等要求，厂房整体结构紧凑，同时在车间留有足够物流通道，能实现原材料和产品的良好运转。</w:t>
            </w:r>
            <w:r>
              <w:rPr>
                <w:color w:val="auto"/>
                <w:kern w:val="2"/>
                <w:szCs w:val="24"/>
              </w:rPr>
              <w:t>综上所述，本项目的总平面布置基本合理。厂区平面布置见附图2。</w:t>
            </w:r>
          </w:p>
          <w:p w14:paraId="0D773B6F">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360" w:lineRule="auto"/>
              <w:ind w:left="0" w:right="0" w:firstLine="482" w:firstLineChars="200"/>
              <w:textAlignment w:val="auto"/>
              <w:rPr>
                <w:rFonts w:hint="eastAsia" w:ascii="Times New Roman" w:hAnsi="Times New Roman" w:eastAsia="宋体" w:cs="Times New Roman"/>
                <w:b/>
                <w:bCs/>
                <w:color w:val="auto"/>
                <w:kern w:val="0"/>
                <w:sz w:val="24"/>
                <w:lang w:val="en-US" w:eastAsia="zh-CN"/>
              </w:rPr>
            </w:pPr>
            <w:r>
              <w:rPr>
                <w:rFonts w:hint="eastAsia" w:cs="Times New Roman"/>
                <w:b/>
                <w:bCs/>
                <w:color w:val="auto"/>
                <w:kern w:val="0"/>
                <w:sz w:val="24"/>
                <w:lang w:val="en-US" w:eastAsia="zh-CN"/>
              </w:rPr>
              <w:t>6、项目与</w:t>
            </w:r>
            <w:r>
              <w:rPr>
                <w:rFonts w:hint="default" w:ascii="Times New Roman" w:hAnsi="Times New Roman" w:eastAsia="宋体" w:cs="Times New Roman"/>
                <w:b/>
                <w:bCs/>
                <w:color w:val="auto"/>
                <w:kern w:val="0"/>
                <w:sz w:val="24"/>
                <w:lang w:val="en-US" w:eastAsia="zh-CN"/>
              </w:rPr>
              <w:t>《江西省长江经济带发展负面清单实施细则（试行</w:t>
            </w:r>
            <w:r>
              <w:rPr>
                <w:rFonts w:hint="eastAsia" w:ascii="Times New Roman" w:hAnsi="Times New Roman" w:eastAsia="宋体" w:cs="Times New Roman"/>
                <w:b/>
                <w:bCs/>
                <w:color w:val="auto"/>
                <w:kern w:val="0"/>
                <w:sz w:val="24"/>
                <w:lang w:val="en-US" w:eastAsia="zh-CN"/>
              </w:rPr>
              <w:t>，</w:t>
            </w:r>
            <w:r>
              <w:rPr>
                <w:rFonts w:hint="default" w:ascii="Times New Roman" w:hAnsi="Times New Roman" w:eastAsia="宋体" w:cs="Times New Roman"/>
                <w:b/>
                <w:bCs/>
                <w:color w:val="auto"/>
                <w:kern w:val="0"/>
                <w:sz w:val="24"/>
                <w:lang w:val="en-US" w:eastAsia="zh-CN"/>
              </w:rPr>
              <w:t>2022年版</w:t>
            </w:r>
            <w:r>
              <w:rPr>
                <w:rFonts w:hint="eastAsia" w:ascii="Times New Roman" w:hAnsi="Times New Roman" w:eastAsia="宋体" w:cs="Times New Roman"/>
                <w:b/>
                <w:bCs/>
                <w:color w:val="auto"/>
                <w:kern w:val="0"/>
                <w:sz w:val="24"/>
                <w:lang w:val="en-US" w:eastAsia="zh-CN"/>
              </w:rPr>
              <w:t>）</w:t>
            </w:r>
            <w:r>
              <w:rPr>
                <w:rFonts w:hint="default" w:ascii="Times New Roman" w:hAnsi="Times New Roman" w:eastAsia="宋体" w:cs="Times New Roman"/>
                <w:b/>
                <w:bCs/>
                <w:color w:val="auto"/>
                <w:kern w:val="0"/>
                <w:sz w:val="24"/>
                <w:lang w:val="en-US" w:eastAsia="zh-CN"/>
              </w:rPr>
              <w:t>》</w:t>
            </w:r>
            <w:r>
              <w:rPr>
                <w:rFonts w:hint="default" w:ascii="Times New Roman" w:hAnsi="Times New Roman" w:eastAsia="宋体" w:cs="Times New Roman"/>
                <w:b/>
                <w:bCs/>
                <w:color w:val="auto"/>
                <w:kern w:val="2"/>
                <w:sz w:val="24"/>
                <w:szCs w:val="24"/>
                <w:lang w:val="en-US" w:eastAsia="zh-CN" w:bidi="ar-SA"/>
              </w:rPr>
              <w:t>（赣长江办〔2022〕7号）相符性分析</w:t>
            </w:r>
            <w:r>
              <w:rPr>
                <w:rFonts w:hint="eastAsia" w:ascii="Times New Roman" w:hAnsi="Times New Roman" w:eastAsia="宋体" w:cs="Times New Roman"/>
                <w:b/>
                <w:bCs/>
                <w:color w:val="auto"/>
                <w:kern w:val="2"/>
                <w:sz w:val="24"/>
                <w:szCs w:val="24"/>
                <w:lang w:val="en-US" w:eastAsia="zh-CN" w:bidi="ar-SA"/>
              </w:rPr>
              <w:t>。</w:t>
            </w:r>
          </w:p>
          <w:p w14:paraId="3B26401D">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auto"/>
                <w:kern w:val="0"/>
                <w:sz w:val="24"/>
              </w:rPr>
            </w:pPr>
            <w:r>
              <w:rPr>
                <w:rFonts w:hint="default" w:ascii="Times New Roman" w:hAnsi="Times New Roman" w:eastAsia="宋体" w:cs="Times New Roman"/>
                <w:b/>
                <w:bCs/>
                <w:color w:val="auto"/>
                <w:kern w:val="0"/>
                <w:sz w:val="24"/>
              </w:rPr>
              <w:t>表1-</w:t>
            </w:r>
            <w:r>
              <w:rPr>
                <w:rFonts w:hint="eastAsia" w:cs="Times New Roman"/>
                <w:b/>
                <w:bCs/>
                <w:color w:val="auto"/>
                <w:kern w:val="0"/>
                <w:sz w:val="24"/>
                <w:lang w:val="en-US" w:eastAsia="zh-CN"/>
              </w:rPr>
              <w:t xml:space="preserve">5  </w:t>
            </w:r>
            <w:r>
              <w:rPr>
                <w:rFonts w:hint="eastAsia" w:ascii="Times New Roman" w:hAnsi="Times New Roman" w:eastAsia="宋体" w:cs="Times New Roman"/>
                <w:b/>
                <w:bCs/>
                <w:color w:val="auto"/>
                <w:kern w:val="0"/>
                <w:sz w:val="24"/>
                <w:lang w:val="en-US" w:eastAsia="zh-CN"/>
              </w:rPr>
              <w:t>项目</w:t>
            </w:r>
            <w:r>
              <w:rPr>
                <w:rFonts w:hint="eastAsia" w:cs="Times New Roman"/>
                <w:b/>
                <w:bCs/>
                <w:color w:val="auto"/>
                <w:kern w:val="0"/>
                <w:sz w:val="24"/>
                <w:lang w:val="en-US" w:eastAsia="zh-CN"/>
              </w:rPr>
              <w:t>与</w:t>
            </w:r>
            <w:r>
              <w:rPr>
                <w:rFonts w:hint="default" w:ascii="Times New Roman" w:hAnsi="Times New Roman" w:eastAsia="宋体" w:cs="Times New Roman"/>
                <w:b/>
                <w:bCs/>
                <w:color w:val="auto"/>
                <w:kern w:val="0"/>
                <w:sz w:val="24"/>
                <w:lang w:val="en-US" w:eastAsia="zh-CN"/>
              </w:rPr>
              <w:t>《江西省长江经济带发展负面清单实施细则</w:t>
            </w:r>
            <w:r>
              <w:rPr>
                <w:rFonts w:hint="eastAsia" w:cs="Times New Roman"/>
                <w:b/>
                <w:bCs/>
                <w:color w:val="auto"/>
                <w:kern w:val="0"/>
                <w:sz w:val="24"/>
                <w:lang w:val="en-US" w:eastAsia="zh-CN"/>
              </w:rPr>
              <w:t>》</w:t>
            </w:r>
            <w:r>
              <w:rPr>
                <w:rFonts w:hint="default" w:ascii="Times New Roman" w:hAnsi="Times New Roman" w:eastAsia="宋体" w:cs="Times New Roman"/>
                <w:b/>
                <w:bCs/>
                <w:color w:val="auto"/>
                <w:kern w:val="0"/>
                <w:sz w:val="24"/>
              </w:rPr>
              <w:t>相符性分析</w:t>
            </w:r>
          </w:p>
          <w:tbl>
            <w:tblPr>
              <w:tblStyle w:val="28"/>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88"/>
              <w:gridCol w:w="4484"/>
              <w:gridCol w:w="2098"/>
              <w:gridCol w:w="732"/>
            </w:tblGrid>
            <w:tr w14:paraId="29AC2B5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372" w:type="pct"/>
                  <w:tcBorders>
                    <w:tl2br w:val="nil"/>
                    <w:tr2bl w:val="nil"/>
                  </w:tcBorders>
                  <w:shd w:val="clear" w:color="auto" w:fill="auto"/>
                  <w:vAlign w:val="center"/>
                </w:tcPr>
                <w:p w14:paraId="0333D989">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ascii="Times New Roman" w:hAnsi="Times New Roman" w:eastAsia="宋体" w:cs="Times New Roman"/>
                      <w:b/>
                      <w:bCs/>
                      <w:color w:val="auto"/>
                      <w:szCs w:val="21"/>
                      <w:lang w:val="en-US" w:eastAsia="zh-CN" w:bidi="ar"/>
                    </w:rPr>
                  </w:pPr>
                  <w:r>
                    <w:rPr>
                      <w:rFonts w:hint="eastAsia" w:cs="Times New Roman"/>
                      <w:b/>
                      <w:bCs/>
                      <w:color w:val="auto"/>
                      <w:szCs w:val="21"/>
                      <w:lang w:val="en-US" w:eastAsia="zh-CN" w:bidi="ar"/>
                    </w:rPr>
                    <w:t>序号</w:t>
                  </w:r>
                </w:p>
              </w:tc>
              <w:tc>
                <w:tcPr>
                  <w:tcW w:w="2836" w:type="pct"/>
                  <w:tcBorders>
                    <w:tl2br w:val="nil"/>
                    <w:tr2bl w:val="nil"/>
                  </w:tcBorders>
                  <w:shd w:val="clear" w:color="auto" w:fill="auto"/>
                  <w:vAlign w:val="center"/>
                </w:tcPr>
                <w:p w14:paraId="66506682">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ascii="Times New Roman" w:hAnsi="Times New Roman" w:eastAsia="宋体" w:cs="Times New Roman"/>
                      <w:b/>
                      <w:bCs/>
                      <w:color w:val="auto"/>
                      <w:sz w:val="21"/>
                      <w:szCs w:val="21"/>
                      <w:highlight w:val="lightGray"/>
                      <w:lang w:val="en-US" w:eastAsia="zh-CN"/>
                    </w:rPr>
                  </w:pPr>
                  <w:r>
                    <w:rPr>
                      <w:rFonts w:hint="default" w:ascii="Times New Roman" w:hAnsi="Times New Roman" w:eastAsia="宋体" w:cs="Times New Roman"/>
                      <w:b/>
                      <w:bCs/>
                      <w:color w:val="auto"/>
                      <w:szCs w:val="21"/>
                      <w:lang w:val="en-US" w:eastAsia="zh-CN" w:bidi="ar"/>
                    </w:rPr>
                    <w:t>负面清单内容</w:t>
                  </w:r>
                </w:p>
              </w:tc>
              <w:tc>
                <w:tcPr>
                  <w:tcW w:w="1327" w:type="pct"/>
                  <w:tcBorders>
                    <w:tl2br w:val="nil"/>
                    <w:tr2bl w:val="nil"/>
                  </w:tcBorders>
                  <w:shd w:val="clear" w:color="auto" w:fill="auto"/>
                  <w:vAlign w:val="center"/>
                </w:tcPr>
                <w:p w14:paraId="2EDBACA2">
                  <w:pPr>
                    <w:pStyle w:val="86"/>
                    <w:adjustRightInd w:val="0"/>
                    <w:snapToGrid w:val="0"/>
                    <w:rPr>
                      <w:rFonts w:hint="default" w:ascii="Times New Roman" w:hAnsi="Times New Roman" w:eastAsia="宋体" w:cs="Times New Roman"/>
                      <w:color w:val="auto"/>
                      <w:sz w:val="21"/>
                      <w:szCs w:val="21"/>
                      <w:lang w:val="en-US" w:eastAsia="zh-CN" w:bidi="ar-SA"/>
                    </w:rPr>
                  </w:pPr>
                  <w:r>
                    <w:rPr>
                      <w:b/>
                      <w:bCs/>
                      <w:color w:val="auto"/>
                      <w:sz w:val="21"/>
                      <w:szCs w:val="21"/>
                    </w:rPr>
                    <w:t>本项目情况</w:t>
                  </w:r>
                </w:p>
              </w:tc>
              <w:tc>
                <w:tcPr>
                  <w:tcW w:w="463" w:type="pct"/>
                  <w:tcBorders>
                    <w:tl2br w:val="nil"/>
                    <w:tr2bl w:val="nil"/>
                  </w:tcBorders>
                  <w:vAlign w:val="center"/>
                </w:tcPr>
                <w:p w14:paraId="333A1468">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Cs w:val="21"/>
                      <w:lang w:val="en-US" w:eastAsia="zh-CN" w:bidi="ar"/>
                    </w:rPr>
                  </w:pPr>
                  <w:r>
                    <w:rPr>
                      <w:rFonts w:hint="eastAsia" w:cs="Times New Roman"/>
                      <w:b/>
                      <w:bCs/>
                      <w:color w:val="auto"/>
                      <w:szCs w:val="21"/>
                      <w:lang w:val="en-US" w:eastAsia="zh-CN" w:bidi="ar"/>
                    </w:rPr>
                    <w:t>相符性</w:t>
                  </w:r>
                </w:p>
              </w:tc>
            </w:tr>
            <w:tr w14:paraId="4AEBEE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40" w:hRule="atLeast"/>
                <w:jc w:val="center"/>
              </w:trPr>
              <w:tc>
                <w:tcPr>
                  <w:tcW w:w="372" w:type="pct"/>
                  <w:tcBorders>
                    <w:tl2br w:val="nil"/>
                    <w:tr2bl w:val="nil"/>
                  </w:tcBorders>
                  <w:shd w:val="clear" w:color="auto" w:fill="auto"/>
                  <w:vAlign w:val="center"/>
                </w:tcPr>
                <w:p w14:paraId="148AE334">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Cs w:val="21"/>
                      <w:lang w:val="en-US" w:eastAsia="zh-CN" w:bidi="ar"/>
                    </w:rPr>
                  </w:pPr>
                  <w:r>
                    <w:rPr>
                      <w:rFonts w:hint="eastAsia" w:cs="Times New Roman"/>
                      <w:color w:val="auto"/>
                      <w:szCs w:val="21"/>
                      <w:lang w:val="en-US" w:eastAsia="zh-CN" w:bidi="ar"/>
                    </w:rPr>
                    <w:t>1</w:t>
                  </w:r>
                </w:p>
              </w:tc>
              <w:tc>
                <w:tcPr>
                  <w:tcW w:w="2836" w:type="pct"/>
                  <w:tcBorders>
                    <w:tl2br w:val="nil"/>
                    <w:tr2bl w:val="nil"/>
                  </w:tcBorders>
                  <w:shd w:val="clear" w:color="auto" w:fill="auto"/>
                  <w:vAlign w:val="center"/>
                </w:tcPr>
                <w:p w14:paraId="37FC4B2C">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bCs/>
                      <w:color w:val="auto"/>
                      <w:sz w:val="21"/>
                      <w:szCs w:val="21"/>
                      <w:highlight w:val="lightGray"/>
                      <w:lang w:val="zh-CN"/>
                    </w:rPr>
                  </w:pPr>
                  <w:r>
                    <w:rPr>
                      <w:rFonts w:hint="default" w:ascii="Times New Roman" w:hAnsi="Times New Roman" w:eastAsia="宋体" w:cs="Times New Roman"/>
                      <w:color w:val="auto"/>
                      <w:szCs w:val="21"/>
                      <w:lang w:bidi="ar"/>
                    </w:rPr>
                    <w:t>禁止建设不符合全国和省级港口布局规划以及港口总体规划的码头项目，禁止建设不符合《长江</w:t>
                  </w:r>
                  <w:r>
                    <w:rPr>
                      <w:rFonts w:hint="eastAsia" w:cs="Times New Roman"/>
                      <w:color w:val="auto"/>
                      <w:szCs w:val="21"/>
                      <w:lang w:val="en-US" w:eastAsia="zh-CN" w:bidi="ar"/>
                    </w:rPr>
                    <w:t>干</w:t>
                  </w:r>
                  <w:r>
                    <w:rPr>
                      <w:rFonts w:hint="default" w:ascii="Times New Roman" w:hAnsi="Times New Roman" w:eastAsia="宋体" w:cs="Times New Roman"/>
                      <w:color w:val="auto"/>
                      <w:szCs w:val="21"/>
                      <w:lang w:bidi="ar"/>
                    </w:rPr>
                    <w:t>线过江通道</w:t>
                  </w:r>
                  <w:r>
                    <w:rPr>
                      <w:rFonts w:hint="eastAsia" w:cs="Times New Roman"/>
                      <w:color w:val="auto"/>
                      <w:szCs w:val="21"/>
                      <w:lang w:val="en-US" w:eastAsia="zh-CN" w:bidi="ar"/>
                    </w:rPr>
                    <w:t>布</w:t>
                  </w:r>
                  <w:r>
                    <w:rPr>
                      <w:rFonts w:hint="default" w:ascii="Times New Roman" w:hAnsi="Times New Roman" w:eastAsia="宋体" w:cs="Times New Roman"/>
                      <w:color w:val="auto"/>
                      <w:szCs w:val="21"/>
                      <w:lang w:bidi="ar"/>
                    </w:rPr>
                    <w:t>局规划》的过长江通道项目。</w:t>
                  </w:r>
                </w:p>
              </w:tc>
              <w:tc>
                <w:tcPr>
                  <w:tcW w:w="1327" w:type="pct"/>
                  <w:tcBorders>
                    <w:tl2br w:val="nil"/>
                    <w:tr2bl w:val="nil"/>
                  </w:tcBorders>
                  <w:vAlign w:val="center"/>
                </w:tcPr>
                <w:p w14:paraId="047E89D0">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
                      <w:bCs/>
                      <w:color w:val="auto"/>
                      <w:sz w:val="21"/>
                      <w:szCs w:val="21"/>
                      <w:highlight w:val="lightGray"/>
                      <w:lang w:val="zh-CN" w:eastAsia="zh-CN"/>
                    </w:rPr>
                  </w:pPr>
                  <w:r>
                    <w:rPr>
                      <w:rFonts w:hint="default" w:ascii="Times New Roman" w:hAnsi="Times New Roman" w:eastAsia="宋体" w:cs="Times New Roman"/>
                      <w:color w:val="auto"/>
                      <w:sz w:val="21"/>
                      <w:szCs w:val="21"/>
                      <w:lang w:bidi="ar"/>
                    </w:rPr>
                    <w:t>本项目</w:t>
                  </w:r>
                  <w:r>
                    <w:rPr>
                      <w:rFonts w:hint="default" w:ascii="Times New Roman" w:hAnsi="Times New Roman" w:eastAsia="宋体" w:cs="Times New Roman"/>
                      <w:color w:val="auto"/>
                      <w:szCs w:val="21"/>
                      <w:lang w:bidi="ar"/>
                    </w:rPr>
                    <w:t>不属于码头项目及过长江通道项目</w:t>
                  </w:r>
                </w:p>
              </w:tc>
              <w:tc>
                <w:tcPr>
                  <w:tcW w:w="463" w:type="pct"/>
                  <w:tcBorders>
                    <w:tl2br w:val="nil"/>
                    <w:tr2bl w:val="nil"/>
                  </w:tcBorders>
                  <w:vAlign w:val="center"/>
                </w:tcPr>
                <w:p w14:paraId="269B3AAB">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Times New Roman" w:hAnsi="Times New Roman" w:eastAsia="宋体" w:cs="Times New Roman"/>
                      <w:color w:val="auto"/>
                      <w:szCs w:val="21"/>
                      <w:lang w:val="en-US" w:eastAsia="zh-CN" w:bidi="ar"/>
                    </w:rPr>
                  </w:pPr>
                  <w:r>
                    <w:rPr>
                      <w:rFonts w:hint="eastAsia" w:cs="Times New Roman"/>
                      <w:color w:val="auto"/>
                      <w:szCs w:val="21"/>
                      <w:lang w:val="en-US" w:eastAsia="zh-CN" w:bidi="ar"/>
                    </w:rPr>
                    <w:t>不涉及</w:t>
                  </w:r>
                </w:p>
              </w:tc>
            </w:tr>
            <w:tr w14:paraId="59C017A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1" w:hRule="atLeast"/>
                <w:jc w:val="center"/>
              </w:trPr>
              <w:tc>
                <w:tcPr>
                  <w:tcW w:w="372" w:type="pct"/>
                  <w:tcBorders>
                    <w:tl2br w:val="nil"/>
                    <w:tr2bl w:val="nil"/>
                  </w:tcBorders>
                  <w:shd w:val="clear" w:color="auto" w:fill="auto"/>
                  <w:vAlign w:val="center"/>
                </w:tcPr>
                <w:p w14:paraId="43860282">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Cs w:val="21"/>
                      <w:lang w:val="en-US" w:eastAsia="zh-CN" w:bidi="ar"/>
                    </w:rPr>
                  </w:pPr>
                  <w:r>
                    <w:rPr>
                      <w:rFonts w:hint="eastAsia" w:cs="Times New Roman"/>
                      <w:color w:val="auto"/>
                      <w:szCs w:val="21"/>
                      <w:lang w:val="en-US" w:eastAsia="zh-CN" w:bidi="ar"/>
                    </w:rPr>
                    <w:t>2</w:t>
                  </w:r>
                </w:p>
              </w:tc>
              <w:tc>
                <w:tcPr>
                  <w:tcW w:w="2836" w:type="pct"/>
                  <w:tcBorders>
                    <w:tl2br w:val="nil"/>
                    <w:tr2bl w:val="nil"/>
                  </w:tcBorders>
                  <w:shd w:val="clear" w:color="auto" w:fill="auto"/>
                  <w:vAlign w:val="center"/>
                </w:tcPr>
                <w:p w14:paraId="6B4955E4">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bCs/>
                      <w:color w:val="auto"/>
                      <w:sz w:val="21"/>
                      <w:szCs w:val="21"/>
                      <w:highlight w:val="lightGray"/>
                      <w:lang w:val="en-US" w:eastAsia="zh-CN"/>
                    </w:rPr>
                  </w:pPr>
                  <w:r>
                    <w:rPr>
                      <w:rFonts w:hint="default" w:ascii="Times New Roman" w:hAnsi="Times New Roman" w:eastAsia="宋体" w:cs="Times New Roman"/>
                      <w:color w:val="auto"/>
                      <w:szCs w:val="21"/>
                      <w:lang w:bidi="ar"/>
                    </w:rPr>
                    <w:t>禁止在自然保护区核心区、缓冲区的岸线和河段范围内投资建设旅游和生产经营项目。禁止在</w:t>
                  </w:r>
                  <w:r>
                    <w:rPr>
                      <w:rFonts w:hint="eastAsia" w:cs="Times New Roman"/>
                      <w:color w:val="auto"/>
                      <w:szCs w:val="21"/>
                      <w:lang w:val="en-US" w:eastAsia="zh-CN" w:bidi="ar"/>
                    </w:rPr>
                    <w:t>风</w:t>
                  </w:r>
                  <w:r>
                    <w:rPr>
                      <w:rFonts w:hint="default" w:ascii="Times New Roman" w:hAnsi="Times New Roman" w:eastAsia="宋体" w:cs="Times New Roman"/>
                      <w:color w:val="auto"/>
                      <w:szCs w:val="21"/>
                      <w:lang w:bidi="ar"/>
                    </w:rPr>
                    <w:t>景名胜区核心景区的岸线和河段范围内投资建设与风景名胜</w:t>
                  </w:r>
                  <w:r>
                    <w:rPr>
                      <w:rFonts w:hint="default" w:ascii="Times New Roman" w:hAnsi="Times New Roman" w:eastAsia="宋体" w:cs="Times New Roman"/>
                      <w:color w:val="auto"/>
                      <w:szCs w:val="21"/>
                      <w:lang w:val="en-US" w:eastAsia="zh-CN" w:bidi="ar"/>
                    </w:rPr>
                    <w:t>资源保护无关的项目。</w:t>
                  </w:r>
                </w:p>
              </w:tc>
              <w:tc>
                <w:tcPr>
                  <w:tcW w:w="1327" w:type="pct"/>
                  <w:tcBorders>
                    <w:tl2br w:val="nil"/>
                    <w:tr2bl w:val="nil"/>
                  </w:tcBorders>
                  <w:vAlign w:val="center"/>
                </w:tcPr>
                <w:p w14:paraId="006D2083">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
                      <w:bCs/>
                      <w:color w:val="auto"/>
                      <w:sz w:val="21"/>
                      <w:szCs w:val="21"/>
                      <w:highlight w:val="lightGray"/>
                      <w:lang w:val="zh-CN" w:eastAsia="zh-CN"/>
                    </w:rPr>
                  </w:pPr>
                  <w:r>
                    <w:rPr>
                      <w:rFonts w:hint="default" w:ascii="Times New Roman" w:hAnsi="Times New Roman" w:eastAsia="宋体" w:cs="Times New Roman"/>
                      <w:color w:val="auto"/>
                      <w:szCs w:val="21"/>
                      <w:lang w:bidi="ar"/>
                    </w:rPr>
                    <w:t>本项目</w:t>
                  </w:r>
                  <w:r>
                    <w:rPr>
                      <w:rFonts w:hint="eastAsia" w:eastAsia="宋体" w:cs="Times New Roman"/>
                      <w:color w:val="auto"/>
                      <w:szCs w:val="21"/>
                      <w:lang w:val="en-US" w:eastAsia="zh-CN" w:bidi="ar"/>
                    </w:rPr>
                    <w:t>所在地</w:t>
                  </w:r>
                  <w:r>
                    <w:rPr>
                      <w:rFonts w:hint="default" w:ascii="Times New Roman" w:hAnsi="Times New Roman" w:eastAsia="宋体" w:cs="Times New Roman"/>
                      <w:color w:val="auto"/>
                      <w:szCs w:val="21"/>
                      <w:lang w:bidi="ar"/>
                    </w:rPr>
                    <w:t>不在自然保护区范围及风景名胜区</w:t>
                  </w:r>
                </w:p>
              </w:tc>
              <w:tc>
                <w:tcPr>
                  <w:tcW w:w="463" w:type="pct"/>
                  <w:tcBorders>
                    <w:tl2br w:val="nil"/>
                    <w:tr2bl w:val="nil"/>
                  </w:tcBorders>
                  <w:vAlign w:val="center"/>
                </w:tcPr>
                <w:p w14:paraId="28ED2BB0">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auto"/>
                      <w:szCs w:val="21"/>
                      <w:lang w:bidi="ar"/>
                    </w:rPr>
                  </w:pPr>
                  <w:r>
                    <w:rPr>
                      <w:rFonts w:hint="eastAsia" w:cs="Times New Roman"/>
                      <w:color w:val="auto"/>
                      <w:szCs w:val="21"/>
                      <w:lang w:val="en-US" w:eastAsia="zh-CN" w:bidi="ar"/>
                    </w:rPr>
                    <w:t>不涉及</w:t>
                  </w:r>
                </w:p>
              </w:tc>
            </w:tr>
            <w:tr w14:paraId="2A7056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22" w:hRule="atLeast"/>
                <w:jc w:val="center"/>
              </w:trPr>
              <w:tc>
                <w:tcPr>
                  <w:tcW w:w="372" w:type="pct"/>
                  <w:tcBorders>
                    <w:tl2br w:val="nil"/>
                    <w:tr2bl w:val="nil"/>
                  </w:tcBorders>
                  <w:shd w:val="clear" w:color="auto" w:fill="auto"/>
                  <w:vAlign w:val="center"/>
                </w:tcPr>
                <w:p w14:paraId="4049F2EA">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Cs w:val="21"/>
                      <w:lang w:val="en-US" w:eastAsia="zh-CN" w:bidi="ar"/>
                    </w:rPr>
                  </w:pPr>
                  <w:r>
                    <w:rPr>
                      <w:rFonts w:hint="eastAsia" w:cs="Times New Roman"/>
                      <w:color w:val="auto"/>
                      <w:szCs w:val="21"/>
                      <w:lang w:val="en-US" w:eastAsia="zh-CN" w:bidi="ar"/>
                    </w:rPr>
                    <w:t>3</w:t>
                  </w:r>
                </w:p>
              </w:tc>
              <w:tc>
                <w:tcPr>
                  <w:tcW w:w="2836" w:type="pct"/>
                  <w:tcBorders>
                    <w:tl2br w:val="nil"/>
                    <w:tr2bl w:val="nil"/>
                  </w:tcBorders>
                  <w:shd w:val="clear" w:color="auto" w:fill="auto"/>
                  <w:vAlign w:val="center"/>
                </w:tcPr>
                <w:p w14:paraId="04033AB0">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bCs/>
                      <w:color w:val="auto"/>
                      <w:sz w:val="21"/>
                      <w:szCs w:val="21"/>
                      <w:highlight w:val="lightGray"/>
                      <w:lang w:val="en-US" w:eastAsia="zh-CN"/>
                    </w:rPr>
                  </w:pPr>
                  <w:r>
                    <w:rPr>
                      <w:rFonts w:hint="default" w:ascii="Times New Roman" w:hAnsi="Times New Roman" w:eastAsia="宋体" w:cs="Times New Roman"/>
                      <w:color w:val="auto"/>
                      <w:szCs w:val="21"/>
                      <w:lang w:bidi="ar"/>
                    </w:rPr>
                    <w:t>禁止在饮用水水源一级保护区的岸线和河段范围内新建、改建、扩建与供水设施和保护</w:t>
                  </w:r>
                  <w:r>
                    <w:rPr>
                      <w:rFonts w:hint="default" w:ascii="Times New Roman" w:hAnsi="Times New Roman" w:eastAsia="宋体" w:cs="Times New Roman"/>
                      <w:color w:val="auto"/>
                      <w:sz w:val="21"/>
                      <w:szCs w:val="21"/>
                      <w:lang w:bidi="ar"/>
                    </w:rPr>
                    <w:t>水源无关的项目以及网箱养殖、旅游等可能污染饮用水水体的投资建设项目。禁</w:t>
                  </w:r>
                  <w:r>
                    <w:rPr>
                      <w:rFonts w:hint="default" w:ascii="Times New Roman" w:hAnsi="Times New Roman" w:eastAsia="宋体" w:cs="Times New Roman"/>
                      <w:color w:val="auto"/>
                      <w:szCs w:val="21"/>
                      <w:lang w:bidi="ar"/>
                    </w:rPr>
                    <w:t>止在饮用水水源二级保护区的声线和河段范围内新建、改建、扩建排放污染物的投资建设项目禁止在水产种质资源保护区的岸线和河段范</w:t>
                  </w:r>
                  <w:r>
                    <w:rPr>
                      <w:rFonts w:hint="eastAsia" w:cs="Times New Roman"/>
                      <w:color w:val="auto"/>
                      <w:szCs w:val="21"/>
                      <w:lang w:val="en-US" w:eastAsia="zh-CN" w:bidi="ar"/>
                    </w:rPr>
                    <w:t>围</w:t>
                  </w:r>
                  <w:r>
                    <w:rPr>
                      <w:rFonts w:hint="default" w:ascii="Times New Roman" w:hAnsi="Times New Roman" w:eastAsia="宋体" w:cs="Times New Roman"/>
                      <w:color w:val="auto"/>
                      <w:szCs w:val="21"/>
                      <w:lang w:bidi="ar"/>
                    </w:rPr>
                    <w:t>内新建排污口，以及围湖造田、围海造地或围填海等投资建设项目。禁止在国家湿地公园的岸线和河段范围内挖沙、采矿，以及任何不符合主体功能定位的投资建</w:t>
                  </w:r>
                  <w:r>
                    <w:rPr>
                      <w:rFonts w:hint="default" w:ascii="Times New Roman" w:hAnsi="Times New Roman" w:eastAsia="宋体" w:cs="Times New Roman"/>
                      <w:color w:val="auto"/>
                      <w:szCs w:val="21"/>
                      <w:lang w:val="en-US" w:eastAsia="zh-CN" w:bidi="ar"/>
                    </w:rPr>
                    <w:t>设项目。</w:t>
                  </w:r>
                </w:p>
              </w:tc>
              <w:tc>
                <w:tcPr>
                  <w:tcW w:w="1327" w:type="pct"/>
                  <w:tcBorders>
                    <w:tl2br w:val="nil"/>
                    <w:tr2bl w:val="nil"/>
                  </w:tcBorders>
                  <w:vAlign w:val="center"/>
                </w:tcPr>
                <w:p w14:paraId="72AFB6EA">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
                      <w:bCs/>
                      <w:color w:val="auto"/>
                      <w:sz w:val="21"/>
                      <w:szCs w:val="21"/>
                      <w:highlight w:val="lightGray"/>
                      <w:lang w:val="zh-CN" w:eastAsia="zh-CN"/>
                    </w:rPr>
                  </w:pPr>
                  <w:r>
                    <w:rPr>
                      <w:rFonts w:hint="default" w:ascii="Times New Roman" w:hAnsi="Times New Roman" w:eastAsia="宋体" w:cs="Times New Roman"/>
                      <w:color w:val="auto"/>
                      <w:szCs w:val="21"/>
                      <w:lang w:bidi="ar"/>
                    </w:rPr>
                    <w:t>本项目</w:t>
                  </w:r>
                  <w:r>
                    <w:rPr>
                      <w:rFonts w:hint="eastAsia" w:eastAsia="宋体" w:cs="Times New Roman"/>
                      <w:color w:val="auto"/>
                      <w:szCs w:val="21"/>
                      <w:lang w:val="en-US" w:eastAsia="zh-CN" w:bidi="ar"/>
                    </w:rPr>
                    <w:t>所在地</w:t>
                  </w:r>
                  <w:r>
                    <w:rPr>
                      <w:rFonts w:hint="default" w:ascii="Times New Roman" w:hAnsi="Times New Roman" w:eastAsia="宋体" w:cs="Times New Roman"/>
                      <w:color w:val="auto"/>
                      <w:szCs w:val="21"/>
                      <w:lang w:bidi="ar"/>
                    </w:rPr>
                    <w:t>不在饮用水一级保护区及二级保护区范围内</w:t>
                  </w:r>
                </w:p>
              </w:tc>
              <w:tc>
                <w:tcPr>
                  <w:tcW w:w="463" w:type="pct"/>
                  <w:tcBorders>
                    <w:tl2br w:val="nil"/>
                    <w:tr2bl w:val="nil"/>
                  </w:tcBorders>
                  <w:shd w:val="clear" w:color="auto" w:fill="auto"/>
                  <w:vAlign w:val="center"/>
                </w:tcPr>
                <w:p w14:paraId="2EFFCD00">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auto"/>
                      <w:sz w:val="21"/>
                      <w:szCs w:val="21"/>
                      <w:lang w:val="en-US" w:eastAsia="zh-CN" w:bidi="ar"/>
                    </w:rPr>
                  </w:pPr>
                  <w:r>
                    <w:rPr>
                      <w:rFonts w:hint="eastAsia" w:cs="Times New Roman"/>
                      <w:color w:val="auto"/>
                      <w:szCs w:val="21"/>
                      <w:lang w:val="en-US" w:eastAsia="zh-CN" w:bidi="ar"/>
                    </w:rPr>
                    <w:t>不涉及</w:t>
                  </w:r>
                </w:p>
              </w:tc>
            </w:tr>
            <w:tr w14:paraId="020DCE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372" w:type="pct"/>
                  <w:tcBorders>
                    <w:tl2br w:val="nil"/>
                    <w:tr2bl w:val="nil"/>
                  </w:tcBorders>
                  <w:shd w:val="clear" w:color="auto" w:fill="auto"/>
                  <w:vAlign w:val="center"/>
                </w:tcPr>
                <w:p w14:paraId="34BB348E">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Cs w:val="21"/>
                      <w:lang w:val="en-US" w:eastAsia="zh-CN" w:bidi="ar"/>
                    </w:rPr>
                  </w:pPr>
                  <w:r>
                    <w:rPr>
                      <w:rFonts w:hint="eastAsia" w:cs="Times New Roman"/>
                      <w:color w:val="auto"/>
                      <w:szCs w:val="21"/>
                      <w:lang w:val="en-US" w:eastAsia="zh-CN" w:bidi="ar"/>
                    </w:rPr>
                    <w:t>4</w:t>
                  </w:r>
                </w:p>
              </w:tc>
              <w:tc>
                <w:tcPr>
                  <w:tcW w:w="2836" w:type="pct"/>
                  <w:tcBorders>
                    <w:tl2br w:val="nil"/>
                    <w:tr2bl w:val="nil"/>
                  </w:tcBorders>
                  <w:shd w:val="clear" w:color="auto" w:fill="auto"/>
                  <w:vAlign w:val="center"/>
                </w:tcPr>
                <w:p w14:paraId="6D522589">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bCs/>
                      <w:color w:val="auto"/>
                      <w:sz w:val="21"/>
                      <w:szCs w:val="21"/>
                      <w:highlight w:val="lightGray"/>
                      <w:lang w:val="en-US" w:eastAsia="zh-CN"/>
                    </w:rPr>
                  </w:pPr>
                  <w:r>
                    <w:rPr>
                      <w:rFonts w:hint="default" w:ascii="Times New Roman" w:hAnsi="Times New Roman" w:eastAsia="宋体" w:cs="Times New Roman"/>
                      <w:color w:val="auto"/>
                      <w:szCs w:val="21"/>
                      <w:lang w:bidi="ar"/>
                    </w:rPr>
                    <w:t>禁止在水产种质资源保护区的岸线和河段范</w:t>
                  </w:r>
                  <w:r>
                    <w:rPr>
                      <w:rFonts w:hint="eastAsia" w:cs="Times New Roman"/>
                      <w:color w:val="auto"/>
                      <w:szCs w:val="21"/>
                      <w:lang w:val="en-US" w:eastAsia="zh-CN" w:bidi="ar"/>
                    </w:rPr>
                    <w:t>围</w:t>
                  </w:r>
                  <w:r>
                    <w:rPr>
                      <w:rFonts w:hint="default" w:ascii="Times New Roman" w:hAnsi="Times New Roman" w:eastAsia="宋体" w:cs="Times New Roman"/>
                      <w:color w:val="auto"/>
                      <w:szCs w:val="21"/>
                      <w:lang w:bidi="ar"/>
                    </w:rPr>
                    <w:t>内新建排污口，以及围湖造田、围海造地或围填海等投资建设项目。禁止在国家湿地公园的岸线和河段范围内挖沙、采矿，以及任何不符合主体功能定位的投资建</w:t>
                  </w:r>
                  <w:r>
                    <w:rPr>
                      <w:rFonts w:hint="default" w:ascii="Times New Roman" w:hAnsi="Times New Roman" w:eastAsia="宋体" w:cs="Times New Roman"/>
                      <w:color w:val="auto"/>
                      <w:szCs w:val="21"/>
                      <w:lang w:val="en-US" w:eastAsia="zh-CN" w:bidi="ar"/>
                    </w:rPr>
                    <w:t>设项目。</w:t>
                  </w:r>
                </w:p>
              </w:tc>
              <w:tc>
                <w:tcPr>
                  <w:tcW w:w="1327" w:type="pct"/>
                  <w:tcBorders>
                    <w:tl2br w:val="nil"/>
                    <w:tr2bl w:val="nil"/>
                  </w:tcBorders>
                  <w:vAlign w:val="center"/>
                </w:tcPr>
                <w:p w14:paraId="035705FB">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
                      <w:bCs/>
                      <w:color w:val="auto"/>
                      <w:sz w:val="21"/>
                      <w:szCs w:val="21"/>
                      <w:highlight w:val="lightGray"/>
                      <w:lang w:val="zh-CN" w:eastAsia="zh-CN"/>
                    </w:rPr>
                  </w:pPr>
                  <w:r>
                    <w:rPr>
                      <w:rFonts w:hint="default" w:ascii="Times New Roman" w:hAnsi="Times New Roman" w:eastAsia="宋体" w:cs="Times New Roman"/>
                      <w:color w:val="auto"/>
                      <w:szCs w:val="21"/>
                      <w:lang w:bidi="ar"/>
                    </w:rPr>
                    <w:t>本项目不</w:t>
                  </w:r>
                  <w:r>
                    <w:rPr>
                      <w:rFonts w:hint="eastAsia" w:eastAsia="宋体" w:cs="Times New Roman"/>
                      <w:color w:val="auto"/>
                      <w:szCs w:val="21"/>
                      <w:lang w:val="en-US" w:eastAsia="zh-CN" w:bidi="ar"/>
                    </w:rPr>
                    <w:t>在</w:t>
                  </w:r>
                  <w:r>
                    <w:rPr>
                      <w:rFonts w:hint="default" w:ascii="Times New Roman" w:hAnsi="Times New Roman" w:eastAsia="宋体" w:cs="Times New Roman"/>
                      <w:color w:val="auto"/>
                      <w:szCs w:val="21"/>
                      <w:lang w:bidi="ar"/>
                    </w:rPr>
                    <w:t>水产种质保护区及国家湿地公园的岸线和河段范围内</w:t>
                  </w:r>
                </w:p>
              </w:tc>
              <w:tc>
                <w:tcPr>
                  <w:tcW w:w="463" w:type="pct"/>
                  <w:tcBorders>
                    <w:tl2br w:val="nil"/>
                    <w:tr2bl w:val="nil"/>
                  </w:tcBorders>
                  <w:shd w:val="clear" w:color="auto" w:fill="auto"/>
                  <w:vAlign w:val="center"/>
                </w:tcPr>
                <w:p w14:paraId="6CB0E111">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auto"/>
                      <w:sz w:val="21"/>
                      <w:szCs w:val="21"/>
                      <w:lang w:val="en-US" w:eastAsia="zh-CN" w:bidi="ar"/>
                    </w:rPr>
                  </w:pPr>
                  <w:r>
                    <w:rPr>
                      <w:rFonts w:hint="eastAsia" w:cs="Times New Roman"/>
                      <w:color w:val="auto"/>
                      <w:szCs w:val="21"/>
                      <w:lang w:val="en-US" w:eastAsia="zh-CN" w:bidi="ar"/>
                    </w:rPr>
                    <w:t>不涉及</w:t>
                  </w:r>
                </w:p>
              </w:tc>
            </w:tr>
            <w:tr w14:paraId="51596C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2" w:type="pct"/>
                  <w:tcBorders>
                    <w:tl2br w:val="nil"/>
                    <w:tr2bl w:val="nil"/>
                  </w:tcBorders>
                  <w:shd w:val="clear" w:color="auto" w:fill="auto"/>
                  <w:vAlign w:val="center"/>
                </w:tcPr>
                <w:p w14:paraId="47A07BDC">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Cs w:val="21"/>
                      <w:lang w:val="en-US" w:eastAsia="zh-CN" w:bidi="ar"/>
                    </w:rPr>
                  </w:pPr>
                  <w:r>
                    <w:rPr>
                      <w:rFonts w:hint="eastAsia" w:cs="Times New Roman"/>
                      <w:color w:val="auto"/>
                      <w:szCs w:val="21"/>
                      <w:lang w:val="en-US" w:eastAsia="zh-CN" w:bidi="ar"/>
                    </w:rPr>
                    <w:t>5</w:t>
                  </w:r>
                </w:p>
              </w:tc>
              <w:tc>
                <w:tcPr>
                  <w:tcW w:w="2836" w:type="pct"/>
                  <w:tcBorders>
                    <w:tl2br w:val="nil"/>
                    <w:tr2bl w:val="nil"/>
                  </w:tcBorders>
                  <w:shd w:val="clear" w:color="auto" w:fill="auto"/>
                  <w:vAlign w:val="center"/>
                </w:tcPr>
                <w:p w14:paraId="48B9A038">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bCs/>
                      <w:color w:val="auto"/>
                      <w:sz w:val="21"/>
                      <w:szCs w:val="21"/>
                      <w:highlight w:val="lightGray"/>
                      <w:lang w:val="zh-CN"/>
                    </w:rPr>
                  </w:pPr>
                  <w:r>
                    <w:rPr>
                      <w:rFonts w:hint="default" w:ascii="Times New Roman" w:hAnsi="Times New Roman" w:eastAsia="宋体" w:cs="Times New Roman"/>
                      <w:color w:val="auto"/>
                      <w:szCs w:val="21"/>
                      <w:lang w:bidi="ar"/>
                    </w:rPr>
                    <w:t>禁止在《长江岸线保护和开发利用总体规划》划定的岸线保护区内投资建设除保障防洪安全、河势稳定、供水安全以及保护生态环境、已建重要枢纽工程以外的项目，禁止在岸</w:t>
                  </w:r>
                  <w:r>
                    <w:rPr>
                      <w:rFonts w:hint="eastAsia" w:cs="Times New Roman"/>
                      <w:color w:val="auto"/>
                      <w:szCs w:val="21"/>
                      <w:lang w:val="en-US" w:eastAsia="zh-CN" w:bidi="ar"/>
                    </w:rPr>
                    <w:t>线</w:t>
                  </w:r>
                  <w:r>
                    <w:rPr>
                      <w:rFonts w:hint="default" w:ascii="Times New Roman" w:hAnsi="Times New Roman" w:eastAsia="宋体" w:cs="Times New Roman"/>
                      <w:color w:val="auto"/>
                      <w:szCs w:val="21"/>
                      <w:lang w:bidi="ar"/>
                    </w:rPr>
                    <w:t>保留区内投资建设除保障防洪安全、河势稳定、供水安全、航道</w:t>
                  </w:r>
                  <w:r>
                    <w:rPr>
                      <w:rFonts w:hint="eastAsia" w:cs="Times New Roman"/>
                      <w:color w:val="auto"/>
                      <w:szCs w:val="21"/>
                      <w:lang w:val="en-US" w:eastAsia="zh-CN" w:bidi="ar"/>
                    </w:rPr>
                    <w:t>稳</w:t>
                  </w:r>
                  <w:r>
                    <w:rPr>
                      <w:rFonts w:hint="default" w:ascii="Times New Roman" w:hAnsi="Times New Roman" w:eastAsia="宋体" w:cs="Times New Roman"/>
                      <w:color w:val="auto"/>
                      <w:szCs w:val="21"/>
                      <w:lang w:bidi="ar"/>
                    </w:rPr>
                    <w:t>定以及</w:t>
                  </w:r>
                  <w:r>
                    <w:rPr>
                      <w:rFonts w:hint="eastAsia" w:cs="Times New Roman"/>
                      <w:color w:val="auto"/>
                      <w:szCs w:val="21"/>
                      <w:lang w:val="en-US" w:eastAsia="zh-CN" w:bidi="ar"/>
                    </w:rPr>
                    <w:t>保</w:t>
                  </w:r>
                  <w:r>
                    <w:rPr>
                      <w:rFonts w:hint="default" w:ascii="Times New Roman" w:hAnsi="Times New Roman" w:eastAsia="宋体" w:cs="Times New Roman"/>
                      <w:color w:val="auto"/>
                      <w:szCs w:val="21"/>
                      <w:lang w:bidi="ar"/>
                    </w:rPr>
                    <w:t>护生态环境以外的项目。禁止在《全国重要江河湖泊水功能区划》划定的河段保护区、保留区内投资建设不利于水资源及自然生态保护的项目。</w:t>
                  </w:r>
                </w:p>
              </w:tc>
              <w:tc>
                <w:tcPr>
                  <w:tcW w:w="1327" w:type="pct"/>
                  <w:tcBorders>
                    <w:tl2br w:val="nil"/>
                    <w:tr2bl w:val="nil"/>
                  </w:tcBorders>
                  <w:vAlign w:val="center"/>
                </w:tcPr>
                <w:p w14:paraId="3E187A19">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bCs/>
                      <w:color w:val="auto"/>
                      <w:sz w:val="21"/>
                      <w:szCs w:val="21"/>
                      <w:highlight w:val="lightGray"/>
                      <w:lang w:val="en-US" w:eastAsia="zh-CN"/>
                    </w:rPr>
                  </w:pPr>
                  <w:r>
                    <w:rPr>
                      <w:rFonts w:hint="default" w:ascii="Times New Roman" w:hAnsi="Times New Roman" w:eastAsia="宋体" w:cs="Times New Roman"/>
                      <w:color w:val="auto"/>
                      <w:szCs w:val="21"/>
                      <w:lang w:val="en-US" w:eastAsia="zh-CN" w:bidi="ar"/>
                    </w:rPr>
                    <w:t>本项目不在</w:t>
                  </w:r>
                  <w:r>
                    <w:rPr>
                      <w:rFonts w:hint="default" w:ascii="Times New Roman" w:hAnsi="Times New Roman" w:eastAsia="宋体" w:cs="Times New Roman"/>
                      <w:color w:val="auto"/>
                      <w:szCs w:val="21"/>
                      <w:lang w:bidi="ar"/>
                    </w:rPr>
                    <w:t>《长江岸线保护和开发利用总体规划》</w:t>
                  </w:r>
                  <w:r>
                    <w:rPr>
                      <w:rFonts w:hint="eastAsia" w:cs="Times New Roman"/>
                      <w:color w:val="auto"/>
                      <w:szCs w:val="21"/>
                      <w:lang w:val="en-US" w:eastAsia="zh-CN" w:bidi="ar"/>
                    </w:rPr>
                    <w:t>规划</w:t>
                  </w:r>
                  <w:r>
                    <w:rPr>
                      <w:rFonts w:hint="default" w:ascii="Times New Roman" w:hAnsi="Times New Roman" w:eastAsia="宋体" w:cs="Times New Roman"/>
                      <w:color w:val="auto"/>
                      <w:szCs w:val="21"/>
                      <w:lang w:val="en-US" w:eastAsia="zh-CN" w:bidi="ar"/>
                    </w:rPr>
                    <w:t>范围内</w:t>
                  </w:r>
                </w:p>
              </w:tc>
              <w:tc>
                <w:tcPr>
                  <w:tcW w:w="463" w:type="pct"/>
                  <w:tcBorders>
                    <w:tl2br w:val="nil"/>
                    <w:tr2bl w:val="nil"/>
                  </w:tcBorders>
                  <w:shd w:val="clear" w:color="auto" w:fill="auto"/>
                  <w:vAlign w:val="center"/>
                </w:tcPr>
                <w:p w14:paraId="721BF096">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auto"/>
                      <w:sz w:val="21"/>
                      <w:szCs w:val="21"/>
                      <w:lang w:val="en-US" w:eastAsia="zh-CN" w:bidi="ar"/>
                    </w:rPr>
                  </w:pPr>
                  <w:r>
                    <w:rPr>
                      <w:rFonts w:hint="eastAsia" w:cs="Times New Roman"/>
                      <w:color w:val="auto"/>
                      <w:szCs w:val="21"/>
                      <w:lang w:val="en-US" w:eastAsia="zh-CN" w:bidi="ar"/>
                    </w:rPr>
                    <w:t>不涉及</w:t>
                  </w:r>
                </w:p>
              </w:tc>
            </w:tr>
            <w:tr w14:paraId="02AD782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2" w:type="pct"/>
                  <w:tcBorders>
                    <w:tl2br w:val="nil"/>
                    <w:tr2bl w:val="nil"/>
                  </w:tcBorders>
                  <w:shd w:val="clear" w:color="auto" w:fill="auto"/>
                  <w:vAlign w:val="center"/>
                </w:tcPr>
                <w:p w14:paraId="36B26592">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6</w:t>
                  </w:r>
                </w:p>
              </w:tc>
              <w:tc>
                <w:tcPr>
                  <w:tcW w:w="2836" w:type="pct"/>
                  <w:tcBorders>
                    <w:tl2br w:val="nil"/>
                    <w:tr2bl w:val="nil"/>
                  </w:tcBorders>
                  <w:shd w:val="clear" w:color="auto" w:fill="auto"/>
                  <w:vAlign w:val="center"/>
                </w:tcPr>
                <w:p w14:paraId="12FCFF39">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val="0"/>
                      <w:bCs w:val="0"/>
                      <w:color w:val="auto"/>
                      <w:sz w:val="21"/>
                      <w:szCs w:val="21"/>
                      <w:highlight w:val="none"/>
                      <w:lang w:val="zh-CN"/>
                    </w:rPr>
                  </w:pPr>
                  <w:r>
                    <w:rPr>
                      <w:rFonts w:hint="default" w:ascii="Times New Roman" w:hAnsi="Times New Roman" w:eastAsia="宋体" w:cs="Times New Roman"/>
                      <w:b w:val="0"/>
                      <w:bCs w:val="0"/>
                      <w:color w:val="auto"/>
                      <w:sz w:val="21"/>
                      <w:szCs w:val="21"/>
                      <w:highlight w:val="none"/>
                      <w:lang w:val="zh-CN"/>
                    </w:rPr>
                    <w:t>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1327" w:type="pct"/>
                  <w:tcBorders>
                    <w:tl2br w:val="nil"/>
                    <w:tr2bl w:val="nil"/>
                  </w:tcBorders>
                  <w:vAlign w:val="center"/>
                </w:tcPr>
                <w:p w14:paraId="7EE3BE87">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本项目不在生态红线</w:t>
                  </w:r>
                  <w:r>
                    <w:rPr>
                      <w:rFonts w:hint="eastAsia" w:cs="Times New Roman"/>
                      <w:b w:val="0"/>
                      <w:bCs w:val="0"/>
                      <w:color w:val="auto"/>
                      <w:sz w:val="21"/>
                      <w:szCs w:val="21"/>
                      <w:highlight w:val="none"/>
                      <w:lang w:val="en-US" w:eastAsia="zh-CN"/>
                    </w:rPr>
                    <w:t>内、且不涉及</w:t>
                  </w:r>
                  <w:r>
                    <w:rPr>
                      <w:rFonts w:hint="default" w:ascii="Times New Roman" w:hAnsi="Times New Roman" w:eastAsia="宋体" w:cs="Times New Roman"/>
                      <w:b w:val="0"/>
                      <w:bCs w:val="0"/>
                      <w:color w:val="auto"/>
                      <w:sz w:val="21"/>
                      <w:szCs w:val="21"/>
                      <w:highlight w:val="none"/>
                      <w:lang w:val="en-US" w:eastAsia="zh-CN"/>
                    </w:rPr>
                    <w:t>基本农田</w:t>
                  </w:r>
                  <w:r>
                    <w:rPr>
                      <w:rFonts w:hint="eastAsia" w:cs="Times New Roman"/>
                      <w:b w:val="0"/>
                      <w:bCs w:val="0"/>
                      <w:color w:val="auto"/>
                      <w:sz w:val="21"/>
                      <w:szCs w:val="21"/>
                      <w:highlight w:val="none"/>
                      <w:lang w:val="en-US" w:eastAsia="zh-CN"/>
                    </w:rPr>
                    <w:t>。</w:t>
                  </w:r>
                </w:p>
              </w:tc>
              <w:tc>
                <w:tcPr>
                  <w:tcW w:w="463" w:type="pct"/>
                  <w:tcBorders>
                    <w:tl2br w:val="nil"/>
                    <w:tr2bl w:val="nil"/>
                  </w:tcBorders>
                  <w:shd w:val="clear" w:color="auto" w:fill="auto"/>
                  <w:vAlign w:val="center"/>
                </w:tcPr>
                <w:p w14:paraId="00F8B1E6">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auto"/>
                      <w:sz w:val="21"/>
                      <w:szCs w:val="21"/>
                      <w:lang w:val="en-US" w:eastAsia="zh-CN" w:bidi="ar"/>
                    </w:rPr>
                  </w:pPr>
                  <w:r>
                    <w:rPr>
                      <w:rFonts w:hint="eastAsia" w:cs="Times New Roman"/>
                      <w:color w:val="auto"/>
                      <w:szCs w:val="21"/>
                      <w:lang w:val="en-US" w:eastAsia="zh-CN" w:bidi="ar"/>
                    </w:rPr>
                    <w:t>不涉及</w:t>
                  </w:r>
                </w:p>
              </w:tc>
            </w:tr>
            <w:tr w14:paraId="4D41C2F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2" w:type="pct"/>
                  <w:tcBorders>
                    <w:tl2br w:val="nil"/>
                    <w:tr2bl w:val="nil"/>
                  </w:tcBorders>
                  <w:shd w:val="clear" w:color="auto" w:fill="auto"/>
                  <w:vAlign w:val="center"/>
                </w:tcPr>
                <w:p w14:paraId="5A06A0D0">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center"/>
                    <w:textAlignment w:val="baseline"/>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7</w:t>
                  </w:r>
                </w:p>
              </w:tc>
              <w:tc>
                <w:tcPr>
                  <w:tcW w:w="2836" w:type="pct"/>
                  <w:tcBorders>
                    <w:tl2br w:val="nil"/>
                    <w:tr2bl w:val="nil"/>
                  </w:tcBorders>
                  <w:shd w:val="clear" w:color="auto" w:fill="auto"/>
                  <w:vAlign w:val="center"/>
                </w:tcPr>
                <w:p w14:paraId="5E4AC022">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auto"/>
                      <w:sz w:val="21"/>
                      <w:szCs w:val="21"/>
                      <w:highlight w:val="lightGray"/>
                      <w:lang w:val="en-US" w:eastAsia="zh-CN"/>
                    </w:rPr>
                  </w:pPr>
                  <w:r>
                    <w:rPr>
                      <w:rFonts w:hint="default" w:ascii="Times New Roman" w:hAnsi="Times New Roman" w:eastAsia="宋体" w:cs="Times New Roman"/>
                      <w:bCs/>
                      <w:color w:val="auto"/>
                      <w:sz w:val="21"/>
                      <w:szCs w:val="21"/>
                      <w:highlight w:val="none"/>
                      <w:lang w:val="en-US" w:eastAsia="zh-CN"/>
                    </w:rPr>
                    <w:t>禁止在长江干支流1公里范围内新建、扩建化工园区和化工项目。禁止在合规园区外新建、扩建钢铁、石化、化工、焦化、建材、有色等高污染项目。</w:t>
                  </w:r>
                </w:p>
              </w:tc>
              <w:tc>
                <w:tcPr>
                  <w:tcW w:w="1327" w:type="pct"/>
                  <w:tcBorders>
                    <w:tl2br w:val="nil"/>
                    <w:tr2bl w:val="nil"/>
                  </w:tcBorders>
                  <w:vAlign w:val="center"/>
                </w:tcPr>
                <w:p w14:paraId="55B3BB48">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本项目不在长江干支流1公里范围内</w:t>
                  </w:r>
                </w:p>
              </w:tc>
              <w:tc>
                <w:tcPr>
                  <w:tcW w:w="463" w:type="pct"/>
                  <w:tcBorders>
                    <w:tl2br w:val="nil"/>
                    <w:tr2bl w:val="nil"/>
                  </w:tcBorders>
                  <w:shd w:val="clear" w:color="auto" w:fill="auto"/>
                  <w:vAlign w:val="center"/>
                </w:tcPr>
                <w:p w14:paraId="68058AAE">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auto"/>
                      <w:sz w:val="21"/>
                      <w:szCs w:val="21"/>
                      <w:lang w:val="en-US" w:eastAsia="zh-CN" w:bidi="ar"/>
                    </w:rPr>
                  </w:pPr>
                  <w:r>
                    <w:rPr>
                      <w:rFonts w:hint="eastAsia" w:cs="Times New Roman"/>
                      <w:color w:val="auto"/>
                      <w:szCs w:val="21"/>
                      <w:lang w:val="en-US" w:eastAsia="zh-CN" w:bidi="ar"/>
                    </w:rPr>
                    <w:t>不涉及</w:t>
                  </w:r>
                </w:p>
              </w:tc>
            </w:tr>
            <w:tr w14:paraId="7164A3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82" w:hRule="atLeast"/>
                <w:jc w:val="center"/>
              </w:trPr>
              <w:tc>
                <w:tcPr>
                  <w:tcW w:w="372" w:type="pct"/>
                  <w:tcBorders>
                    <w:tl2br w:val="nil"/>
                    <w:tr2bl w:val="nil"/>
                  </w:tcBorders>
                  <w:shd w:val="clear" w:color="auto" w:fill="auto"/>
                  <w:vAlign w:val="center"/>
                </w:tcPr>
                <w:p w14:paraId="37F9710A">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center"/>
                    <w:textAlignment w:val="baseline"/>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8</w:t>
                  </w:r>
                </w:p>
              </w:tc>
              <w:tc>
                <w:tcPr>
                  <w:tcW w:w="2836" w:type="pct"/>
                  <w:tcBorders>
                    <w:tl2br w:val="nil"/>
                    <w:tr2bl w:val="nil"/>
                  </w:tcBorders>
                  <w:shd w:val="clear" w:color="auto" w:fill="auto"/>
                  <w:vAlign w:val="center"/>
                </w:tcPr>
                <w:p w14:paraId="7BB9A1C4">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禁止新建、扩建不符合国家石化、现代煤化工等产业</w:t>
                  </w:r>
                  <w:r>
                    <w:rPr>
                      <w:rFonts w:hint="eastAsia" w:cs="Times New Roman"/>
                      <w:bCs/>
                      <w:color w:val="auto"/>
                      <w:sz w:val="21"/>
                      <w:szCs w:val="21"/>
                      <w:highlight w:val="none"/>
                      <w:lang w:val="en-US" w:eastAsia="zh-CN"/>
                    </w:rPr>
                    <w:t>布</w:t>
                  </w:r>
                  <w:r>
                    <w:rPr>
                      <w:rFonts w:hint="default" w:ascii="Times New Roman" w:hAnsi="Times New Roman" w:eastAsia="宋体" w:cs="Times New Roman"/>
                      <w:bCs/>
                      <w:color w:val="auto"/>
                      <w:sz w:val="21"/>
                      <w:szCs w:val="21"/>
                      <w:highlight w:val="none"/>
                      <w:lang w:val="en-US" w:eastAsia="zh-CN"/>
                    </w:rPr>
                    <w:t>局规划的项目。</w:t>
                  </w:r>
                </w:p>
              </w:tc>
              <w:tc>
                <w:tcPr>
                  <w:tcW w:w="1327" w:type="pct"/>
                  <w:tcBorders>
                    <w:tl2br w:val="nil"/>
                    <w:tr2bl w:val="nil"/>
                  </w:tcBorders>
                  <w:vAlign w:val="center"/>
                </w:tcPr>
                <w:p w14:paraId="452E6175">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本项目不属于国家石化、现代煤化工等产业</w:t>
                  </w:r>
                  <w:r>
                    <w:rPr>
                      <w:rFonts w:hint="eastAsia" w:cs="Times New Roman"/>
                      <w:bCs/>
                      <w:color w:val="auto"/>
                      <w:sz w:val="21"/>
                      <w:szCs w:val="21"/>
                      <w:highlight w:val="none"/>
                      <w:lang w:val="en-US" w:eastAsia="zh-CN"/>
                    </w:rPr>
                    <w:t>。</w:t>
                  </w:r>
                </w:p>
              </w:tc>
              <w:tc>
                <w:tcPr>
                  <w:tcW w:w="463" w:type="pct"/>
                  <w:tcBorders>
                    <w:tl2br w:val="nil"/>
                    <w:tr2bl w:val="nil"/>
                  </w:tcBorders>
                  <w:shd w:val="clear" w:color="auto" w:fill="auto"/>
                  <w:vAlign w:val="center"/>
                </w:tcPr>
                <w:p w14:paraId="2D3F21D0">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不涉及</w:t>
                  </w:r>
                </w:p>
              </w:tc>
            </w:tr>
            <w:tr w14:paraId="23CDCAE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2" w:type="pct"/>
                  <w:tcBorders>
                    <w:tl2br w:val="nil"/>
                    <w:tr2bl w:val="nil"/>
                  </w:tcBorders>
                  <w:shd w:val="clear" w:color="auto" w:fill="auto"/>
                  <w:vAlign w:val="center"/>
                </w:tcPr>
                <w:p w14:paraId="0406615E">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center"/>
                    <w:textAlignment w:val="baseline"/>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9</w:t>
                  </w:r>
                </w:p>
              </w:tc>
              <w:tc>
                <w:tcPr>
                  <w:tcW w:w="2836" w:type="pct"/>
                  <w:tcBorders>
                    <w:tl2br w:val="nil"/>
                    <w:tr2bl w:val="nil"/>
                  </w:tcBorders>
                  <w:shd w:val="clear" w:color="auto" w:fill="auto"/>
                  <w:vAlign w:val="center"/>
                </w:tcPr>
                <w:p w14:paraId="06D6FF64">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auto"/>
                      <w:sz w:val="21"/>
                      <w:szCs w:val="21"/>
                      <w:highlight w:val="lightGray"/>
                      <w:lang w:val="en-US" w:eastAsia="zh-CN"/>
                    </w:rPr>
                  </w:pPr>
                  <w:r>
                    <w:rPr>
                      <w:rFonts w:hint="default" w:ascii="Times New Roman" w:hAnsi="Times New Roman" w:eastAsia="宋体" w:cs="Times New Roman"/>
                      <w:bCs/>
                      <w:color w:val="auto"/>
                      <w:sz w:val="21"/>
                      <w:szCs w:val="21"/>
                      <w:highlight w:val="none"/>
                      <w:lang w:val="en-US" w:eastAsia="zh-CN"/>
                    </w:rPr>
                    <w:t>禁止新建、扩建法律法规和相关政策明令禁止的落后产能项目。</w:t>
                  </w:r>
                </w:p>
              </w:tc>
              <w:tc>
                <w:tcPr>
                  <w:tcW w:w="1327" w:type="pct"/>
                  <w:tcBorders>
                    <w:tl2br w:val="nil"/>
                    <w:tr2bl w:val="nil"/>
                  </w:tcBorders>
                  <w:vAlign w:val="center"/>
                </w:tcPr>
                <w:p w14:paraId="7BF77423">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本项目不属于禁止</w:t>
                  </w:r>
                  <w:r>
                    <w:rPr>
                      <w:rFonts w:hint="eastAsia" w:cs="Times New Roman"/>
                      <w:bCs/>
                      <w:color w:val="auto"/>
                      <w:sz w:val="21"/>
                      <w:szCs w:val="21"/>
                      <w:highlight w:val="none"/>
                      <w:lang w:val="en-US" w:eastAsia="zh-CN"/>
                    </w:rPr>
                    <w:t>的</w:t>
                  </w:r>
                  <w:r>
                    <w:rPr>
                      <w:rFonts w:hint="default" w:ascii="Times New Roman" w:hAnsi="Times New Roman" w:eastAsia="宋体" w:cs="Times New Roman"/>
                      <w:bCs/>
                      <w:color w:val="auto"/>
                      <w:sz w:val="21"/>
                      <w:szCs w:val="21"/>
                      <w:highlight w:val="none"/>
                      <w:lang w:val="en-US" w:eastAsia="zh-CN"/>
                    </w:rPr>
                    <w:t>落后产能项目</w:t>
                  </w:r>
                </w:p>
              </w:tc>
              <w:tc>
                <w:tcPr>
                  <w:tcW w:w="463" w:type="pct"/>
                  <w:tcBorders>
                    <w:tl2br w:val="nil"/>
                    <w:tr2bl w:val="nil"/>
                  </w:tcBorders>
                  <w:shd w:val="clear" w:color="auto" w:fill="auto"/>
                  <w:vAlign w:val="center"/>
                </w:tcPr>
                <w:p w14:paraId="3230862A">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auto"/>
                      <w:sz w:val="21"/>
                      <w:szCs w:val="21"/>
                      <w:lang w:val="en-US" w:eastAsia="zh-CN" w:bidi="ar"/>
                    </w:rPr>
                  </w:pPr>
                  <w:r>
                    <w:rPr>
                      <w:rFonts w:hint="eastAsia" w:cs="Times New Roman"/>
                      <w:color w:val="auto"/>
                      <w:szCs w:val="21"/>
                      <w:lang w:val="en-US" w:eastAsia="zh-CN" w:bidi="ar"/>
                    </w:rPr>
                    <w:t>符合</w:t>
                  </w:r>
                </w:p>
              </w:tc>
            </w:tr>
            <w:tr w14:paraId="1B9B2B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2" w:type="pct"/>
                  <w:tcBorders>
                    <w:tl2br w:val="nil"/>
                    <w:tr2bl w:val="nil"/>
                  </w:tcBorders>
                  <w:shd w:val="clear" w:color="auto" w:fill="auto"/>
                  <w:vAlign w:val="center"/>
                </w:tcPr>
                <w:p w14:paraId="2AFA36C7">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center"/>
                    <w:textAlignment w:val="baseline"/>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10</w:t>
                  </w:r>
                </w:p>
              </w:tc>
              <w:tc>
                <w:tcPr>
                  <w:tcW w:w="2836" w:type="pct"/>
                  <w:tcBorders>
                    <w:tl2br w:val="nil"/>
                    <w:tr2bl w:val="nil"/>
                  </w:tcBorders>
                  <w:shd w:val="clear" w:color="auto" w:fill="auto"/>
                  <w:vAlign w:val="center"/>
                </w:tcPr>
                <w:p w14:paraId="53FFCAC3">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auto"/>
                      <w:sz w:val="21"/>
                      <w:szCs w:val="21"/>
                      <w:highlight w:val="lightGray"/>
                      <w:lang w:val="en-US" w:eastAsia="zh-CN"/>
                    </w:rPr>
                  </w:pPr>
                  <w:r>
                    <w:rPr>
                      <w:rFonts w:hint="default" w:ascii="Times New Roman" w:hAnsi="Times New Roman" w:eastAsia="宋体" w:cs="Times New Roman"/>
                      <w:bCs/>
                      <w:color w:val="auto"/>
                      <w:sz w:val="21"/>
                      <w:szCs w:val="21"/>
                      <w:highlight w:val="none"/>
                      <w:lang w:val="en-US" w:eastAsia="zh-CN"/>
                    </w:rPr>
                    <w:t>禁止新建、扩建不符合国家产能置换要求的严重过剩产能行业的项目。</w:t>
                  </w:r>
                </w:p>
              </w:tc>
              <w:tc>
                <w:tcPr>
                  <w:tcW w:w="1327" w:type="pct"/>
                  <w:tcBorders>
                    <w:tl2br w:val="nil"/>
                    <w:tr2bl w:val="nil"/>
                  </w:tcBorders>
                  <w:vAlign w:val="center"/>
                </w:tcPr>
                <w:p w14:paraId="1BB5E7BD">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本项目不属于国家产能置换要求的严重</w:t>
                  </w:r>
                  <w:r>
                    <w:rPr>
                      <w:rFonts w:hint="default" w:ascii="Times New Roman" w:hAnsi="Times New Roman" w:eastAsia="宋体" w:cs="Times New Roman"/>
                      <w:bCs/>
                      <w:color w:val="auto"/>
                      <w:sz w:val="21"/>
                      <w:szCs w:val="21"/>
                      <w:highlight w:val="none"/>
                      <w:lang w:val="en-US" w:eastAsia="zh-CN"/>
                    </w:rPr>
                    <w:t>过剩产能行业的项目</w:t>
                  </w:r>
                </w:p>
              </w:tc>
              <w:tc>
                <w:tcPr>
                  <w:tcW w:w="463" w:type="pct"/>
                  <w:tcBorders>
                    <w:tl2br w:val="nil"/>
                    <w:tr2bl w:val="nil"/>
                  </w:tcBorders>
                  <w:vAlign w:val="center"/>
                </w:tcPr>
                <w:p w14:paraId="5E69D502">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bCs/>
                      <w:color w:val="auto"/>
                      <w:sz w:val="21"/>
                      <w:szCs w:val="21"/>
                      <w:highlight w:val="none"/>
                    </w:rPr>
                  </w:pPr>
                  <w:r>
                    <w:rPr>
                      <w:rFonts w:hint="eastAsia" w:cs="Times New Roman"/>
                      <w:color w:val="auto"/>
                      <w:szCs w:val="21"/>
                      <w:lang w:val="en-US" w:eastAsia="zh-CN" w:bidi="ar"/>
                    </w:rPr>
                    <w:t>符合</w:t>
                  </w:r>
                </w:p>
              </w:tc>
            </w:tr>
          </w:tbl>
          <w:p w14:paraId="365988C5">
            <w:pPr>
              <w:pStyle w:val="9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根据长江经济带发展负面清单</w:t>
            </w:r>
            <w:r>
              <w:rPr>
                <w:rFonts w:hint="default" w:ascii="Times New Roman" w:hAnsi="Times New Roman" w:eastAsia="宋体" w:cs="Times New Roman"/>
                <w:color w:val="auto"/>
                <w:sz w:val="24"/>
                <w:szCs w:val="24"/>
                <w:lang w:val="en-US" w:eastAsia="zh-CN"/>
              </w:rPr>
              <w:t>实施细则</w:t>
            </w:r>
            <w:r>
              <w:rPr>
                <w:rFonts w:hint="default" w:ascii="Times New Roman" w:hAnsi="Times New Roman" w:eastAsia="宋体" w:cs="Times New Roman"/>
                <w:color w:val="auto"/>
                <w:sz w:val="24"/>
                <w:szCs w:val="24"/>
              </w:rPr>
              <w:t>可知，本项目不在长江经济带发展负面清单内。</w:t>
            </w:r>
          </w:p>
          <w:p w14:paraId="63A3F0DD">
            <w:pPr>
              <w:pStyle w:val="9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2" w:firstLineChars="200"/>
              <w:textAlignment w:val="auto"/>
              <w:rPr>
                <w:rFonts w:hint="default"/>
                <w:b/>
                <w:bCs/>
                <w:color w:val="auto"/>
                <w:kern w:val="2"/>
                <w:sz w:val="24"/>
                <w:szCs w:val="24"/>
              </w:rPr>
            </w:pPr>
            <w:r>
              <w:rPr>
                <w:rFonts w:hint="eastAsia" w:cs="Times New Roman"/>
                <w:b/>
                <w:bCs/>
                <w:color w:val="auto"/>
                <w:sz w:val="24"/>
                <w:szCs w:val="24"/>
                <w:lang w:val="en-US" w:eastAsia="zh-CN"/>
              </w:rPr>
              <w:t>7、项目与《鄱阳湖生态经济区环境保护条例》</w:t>
            </w:r>
            <w:r>
              <w:rPr>
                <w:rFonts w:hint="default"/>
                <w:b/>
                <w:bCs/>
                <w:color w:val="auto"/>
                <w:kern w:val="2"/>
                <w:sz w:val="24"/>
                <w:szCs w:val="24"/>
              </w:rPr>
              <w:t>相符性</w:t>
            </w:r>
          </w:p>
          <w:p w14:paraId="087F3E5F">
            <w:pPr>
              <w:pStyle w:val="9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eastAsia"/>
                <w:b/>
                <w:bCs w:val="0"/>
                <w:color w:val="auto"/>
                <w:kern w:val="2"/>
                <w:sz w:val="24"/>
                <w:szCs w:val="24"/>
                <w:lang w:val="en-US" w:eastAsia="zh-CN"/>
              </w:rPr>
            </w:pPr>
            <w:r>
              <w:rPr>
                <w:rFonts w:hint="default" w:ascii="Times New Roman" w:hAnsi="Times New Roman"/>
                <w:b/>
                <w:bCs w:val="0"/>
                <w:color w:val="auto"/>
                <w:sz w:val="24"/>
                <w:szCs w:val="24"/>
              </w:rPr>
              <w:t>表1-</w:t>
            </w:r>
            <w:r>
              <w:rPr>
                <w:rFonts w:hint="eastAsia"/>
                <w:b/>
                <w:bCs w:val="0"/>
                <w:color w:val="auto"/>
                <w:sz w:val="24"/>
                <w:szCs w:val="24"/>
                <w:lang w:val="en-US" w:eastAsia="zh-CN"/>
              </w:rPr>
              <w:t xml:space="preserve">6  </w:t>
            </w:r>
            <w:r>
              <w:rPr>
                <w:rFonts w:hint="eastAsia" w:cs="Times New Roman"/>
                <w:b/>
                <w:bCs w:val="0"/>
                <w:color w:val="auto"/>
                <w:sz w:val="24"/>
                <w:szCs w:val="24"/>
                <w:lang w:val="en-US" w:eastAsia="zh-CN"/>
              </w:rPr>
              <w:t>项目与《鄱阳湖生态经济区环境保护条例》</w:t>
            </w:r>
            <w:r>
              <w:rPr>
                <w:rFonts w:hint="default"/>
                <w:b/>
                <w:bCs w:val="0"/>
                <w:color w:val="auto"/>
                <w:kern w:val="2"/>
                <w:sz w:val="24"/>
                <w:szCs w:val="24"/>
              </w:rPr>
              <w:t>相符性</w:t>
            </w:r>
            <w:r>
              <w:rPr>
                <w:rFonts w:hint="eastAsia"/>
                <w:b/>
                <w:bCs w:val="0"/>
                <w:color w:val="auto"/>
                <w:kern w:val="2"/>
                <w:sz w:val="24"/>
                <w:szCs w:val="24"/>
                <w:lang w:val="en-US" w:eastAsia="zh-CN"/>
              </w:rPr>
              <w:t>分析</w:t>
            </w:r>
          </w:p>
          <w:tbl>
            <w:tblPr>
              <w:tblStyle w:val="29"/>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0"/>
              <w:gridCol w:w="4635"/>
              <w:gridCol w:w="1937"/>
              <w:gridCol w:w="860"/>
            </w:tblGrid>
            <w:tr w14:paraId="35F88D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7" w:type="pct"/>
                  <w:vAlign w:val="center"/>
                </w:tcPr>
                <w:p w14:paraId="47DF3A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auto"/>
                      <w:kern w:val="2"/>
                      <w:sz w:val="21"/>
                      <w:szCs w:val="21"/>
                      <w:vertAlign w:val="baseline"/>
                      <w:lang w:val="en-US" w:eastAsia="zh-CN"/>
                    </w:rPr>
                  </w:pPr>
                  <w:r>
                    <w:rPr>
                      <w:rFonts w:hint="eastAsia" w:eastAsia="宋体"/>
                      <w:b/>
                      <w:bCs w:val="0"/>
                      <w:color w:val="auto"/>
                      <w:kern w:val="2"/>
                      <w:sz w:val="21"/>
                      <w:szCs w:val="21"/>
                      <w:vertAlign w:val="baseline"/>
                      <w:lang w:val="en-US" w:eastAsia="zh-CN"/>
                    </w:rPr>
                    <w:t>序号</w:t>
                  </w:r>
                </w:p>
              </w:tc>
              <w:tc>
                <w:tcPr>
                  <w:tcW w:w="2931" w:type="pct"/>
                  <w:vAlign w:val="center"/>
                </w:tcPr>
                <w:p w14:paraId="45CE1F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auto"/>
                      <w:kern w:val="2"/>
                      <w:sz w:val="21"/>
                      <w:szCs w:val="21"/>
                      <w:vertAlign w:val="baseline"/>
                      <w:lang w:val="en-US" w:eastAsia="zh-CN"/>
                    </w:rPr>
                  </w:pPr>
                  <w:r>
                    <w:rPr>
                      <w:rFonts w:hint="eastAsia" w:eastAsia="宋体"/>
                      <w:b/>
                      <w:bCs w:val="0"/>
                      <w:color w:val="auto"/>
                      <w:kern w:val="2"/>
                      <w:sz w:val="21"/>
                      <w:szCs w:val="21"/>
                      <w:vertAlign w:val="baseline"/>
                      <w:lang w:val="en-US" w:eastAsia="zh-CN"/>
                    </w:rPr>
                    <w:t>文件要求</w:t>
                  </w:r>
                </w:p>
              </w:tc>
              <w:tc>
                <w:tcPr>
                  <w:tcW w:w="1225" w:type="pct"/>
                  <w:vAlign w:val="center"/>
                </w:tcPr>
                <w:p w14:paraId="790E8072">
                  <w:pPr>
                    <w:pStyle w:val="86"/>
                    <w:adjustRightInd w:val="0"/>
                    <w:snapToGrid w:val="0"/>
                    <w:rPr>
                      <w:rFonts w:hint="default" w:eastAsia="宋体"/>
                      <w:b/>
                      <w:bCs w:val="0"/>
                      <w:color w:val="auto"/>
                      <w:kern w:val="2"/>
                      <w:sz w:val="21"/>
                      <w:szCs w:val="21"/>
                      <w:vertAlign w:val="baseline"/>
                      <w:lang w:val="en-US" w:eastAsia="zh-CN"/>
                    </w:rPr>
                  </w:pPr>
                  <w:r>
                    <w:rPr>
                      <w:b/>
                      <w:bCs/>
                      <w:color w:val="auto"/>
                      <w:sz w:val="21"/>
                      <w:szCs w:val="21"/>
                    </w:rPr>
                    <w:t>本项目情况</w:t>
                  </w:r>
                </w:p>
              </w:tc>
              <w:tc>
                <w:tcPr>
                  <w:tcW w:w="544" w:type="pct"/>
                  <w:vAlign w:val="center"/>
                </w:tcPr>
                <w:p w14:paraId="164235CE">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eastAsia="宋体"/>
                      <w:b/>
                      <w:bCs w:val="0"/>
                      <w:color w:val="auto"/>
                      <w:kern w:val="2"/>
                      <w:sz w:val="21"/>
                      <w:szCs w:val="21"/>
                      <w:vertAlign w:val="baseline"/>
                      <w:lang w:val="en-US" w:eastAsia="zh-CN"/>
                    </w:rPr>
                  </w:pPr>
                  <w:r>
                    <w:rPr>
                      <w:rFonts w:hint="eastAsia" w:cs="Times New Roman"/>
                      <w:b/>
                      <w:bCs/>
                      <w:color w:val="auto"/>
                      <w:szCs w:val="21"/>
                      <w:lang w:val="en-US" w:eastAsia="zh-CN" w:bidi="ar"/>
                    </w:rPr>
                    <w:t>相符性</w:t>
                  </w:r>
                </w:p>
              </w:tc>
            </w:tr>
            <w:tr w14:paraId="53DA50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7" w:type="pct"/>
                  <w:vAlign w:val="center"/>
                </w:tcPr>
                <w:p w14:paraId="5E2E94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1</w:t>
                  </w:r>
                </w:p>
              </w:tc>
              <w:tc>
                <w:tcPr>
                  <w:tcW w:w="2931" w:type="pct"/>
                  <w:vAlign w:val="center"/>
                </w:tcPr>
                <w:p w14:paraId="58C4E8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在鄱阳湖内从事采砂活动，应当依法办理采砂许可证。依法取得采砂许可证的单位和个人必须按照批准的开采时间、种类、作业方式以及开采范围、深度和开采量进行开采；在鄱阳湖内从事采砂活动不得危害水利、交通等工程设施安全，不得破坏河湖岸线和生态环境;造成损害的，应当依法承担赔偿责任；在鄱阳湖禁采期内，采砂船舶应当按照所在地县级人民政府指定的地点集中停放。无正当理由，不得擅自驶离指定停放地点禁采区内不得滞留采砂船舶。</w:t>
                  </w:r>
                </w:p>
              </w:tc>
              <w:tc>
                <w:tcPr>
                  <w:tcW w:w="1225" w:type="pct"/>
                  <w:vAlign w:val="center"/>
                </w:tcPr>
                <w:p w14:paraId="1F3E5B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本项目不涉及采砂活动</w:t>
                  </w:r>
                </w:p>
              </w:tc>
              <w:tc>
                <w:tcPr>
                  <w:tcW w:w="544" w:type="pct"/>
                  <w:vAlign w:val="center"/>
                </w:tcPr>
                <w:p w14:paraId="425843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auto"/>
                      <w:kern w:val="2"/>
                      <w:sz w:val="21"/>
                      <w:szCs w:val="21"/>
                      <w:vertAlign w:val="baseline"/>
                      <w:lang w:val="en-US" w:eastAsia="zh-CN"/>
                    </w:rPr>
                  </w:pPr>
                  <w:r>
                    <w:rPr>
                      <w:rFonts w:hint="eastAsia"/>
                      <w:b w:val="0"/>
                      <w:bCs/>
                      <w:color w:val="auto"/>
                      <w:kern w:val="2"/>
                      <w:sz w:val="21"/>
                      <w:szCs w:val="21"/>
                      <w:vertAlign w:val="baseline"/>
                      <w:lang w:val="en-US" w:eastAsia="zh-CN"/>
                    </w:rPr>
                    <w:t>不涉及</w:t>
                  </w:r>
                </w:p>
              </w:tc>
            </w:tr>
            <w:tr w14:paraId="56D230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7" w:type="pct"/>
                  <w:vAlign w:val="center"/>
                </w:tcPr>
                <w:p w14:paraId="08F7AC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2</w:t>
                  </w:r>
                </w:p>
              </w:tc>
              <w:tc>
                <w:tcPr>
                  <w:tcW w:w="2931" w:type="pct"/>
                  <w:vAlign w:val="center"/>
                </w:tcPr>
                <w:p w14:paraId="79D345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湖体核心保护区内禁止下列行为：</w:t>
                  </w:r>
                </w:p>
                <w:p w14:paraId="49A258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（一）围湖造地、围湖养殖；</w:t>
                  </w:r>
                </w:p>
                <w:p w14:paraId="71015D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（二）非法围(开)垦、填埋湿地，烧荒，采矿，排放湿地水资源，或者修建阻水、排水设施；</w:t>
                  </w:r>
                </w:p>
                <w:p w14:paraId="204C6F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（三）向鄱阳湖水体排放、倾倒工业废渣、城镇垃圾或者其他废弃物，或者在鄱阳湖最高水位线以下的滩地、岸坡堆放、存贮固体废弃物或者其他污染物；</w:t>
                  </w:r>
                </w:p>
                <w:p w14:paraId="73BF5F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（四）破坏鱼类等水生动物洄游通道，采用炸鱼、电鱼、毒鱼、耙网、定置网、机动底拖网等破坏渔业资源的方式和渔具捕捞鱼类、螺蚌及其他水生动物和底栖动物，或者在禁渔区、禁渔期内进行捕捞；</w:t>
                  </w:r>
                </w:p>
                <w:p w14:paraId="04C6B5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（五）投放无机肥、有机肥和生物复合肥进行水产养殖；</w:t>
                  </w:r>
                </w:p>
                <w:p w14:paraId="39190D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（六）采用天网、投毒、强光、仿声等方式非法猎捕以及非法出售、收购、运输、携带候鸟及其他受保护的野生动物；</w:t>
                  </w:r>
                </w:p>
                <w:p w14:paraId="0F835F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（七）种植有碍湿地保护或者阻碍行洪的林木和高秆作物；</w:t>
                  </w:r>
                </w:p>
              </w:tc>
              <w:tc>
                <w:tcPr>
                  <w:tcW w:w="1225" w:type="pct"/>
                  <w:vAlign w:val="center"/>
                </w:tcPr>
                <w:p w14:paraId="1C7C50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本项目不在湖体核心保护区内</w:t>
                  </w:r>
                </w:p>
              </w:tc>
              <w:tc>
                <w:tcPr>
                  <w:tcW w:w="544" w:type="pct"/>
                  <w:vAlign w:val="center"/>
                </w:tcPr>
                <w:p w14:paraId="230D1B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auto"/>
                      <w:kern w:val="2"/>
                      <w:sz w:val="21"/>
                      <w:szCs w:val="21"/>
                      <w:vertAlign w:val="baseline"/>
                      <w:lang w:val="en-US" w:eastAsia="zh-CN"/>
                    </w:rPr>
                  </w:pPr>
                  <w:r>
                    <w:rPr>
                      <w:rFonts w:hint="eastAsia"/>
                      <w:b w:val="0"/>
                      <w:bCs/>
                      <w:color w:val="auto"/>
                      <w:kern w:val="2"/>
                      <w:sz w:val="21"/>
                      <w:szCs w:val="21"/>
                      <w:vertAlign w:val="baseline"/>
                      <w:lang w:val="en-US" w:eastAsia="zh-CN"/>
                    </w:rPr>
                    <w:t>不涉及</w:t>
                  </w:r>
                </w:p>
              </w:tc>
            </w:tr>
            <w:tr w14:paraId="00FE83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7" w:type="pct"/>
                  <w:vAlign w:val="center"/>
                </w:tcPr>
                <w:p w14:paraId="7D6BC5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3</w:t>
                  </w:r>
                </w:p>
              </w:tc>
              <w:tc>
                <w:tcPr>
                  <w:tcW w:w="2931" w:type="pct"/>
                </w:tcPr>
                <w:p w14:paraId="445646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滨湖控制开发带内建设项目应当符合国家和省产业政策以及沿湖岸线资源保护与利用规划。禁止新建、改建扩建化学制浆造纸、印染、制革、电镀等排放含磷、氮、重金属等污染物的企业和项目。</w:t>
                  </w:r>
                </w:p>
              </w:tc>
              <w:tc>
                <w:tcPr>
                  <w:tcW w:w="1225" w:type="pct"/>
                  <w:vAlign w:val="center"/>
                </w:tcPr>
                <w:p w14:paraId="021BF4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本项目不在滨湖控制开发带内</w:t>
                  </w:r>
                </w:p>
              </w:tc>
              <w:tc>
                <w:tcPr>
                  <w:tcW w:w="544" w:type="pct"/>
                  <w:vAlign w:val="center"/>
                </w:tcPr>
                <w:p w14:paraId="617BD1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auto"/>
                      <w:kern w:val="2"/>
                      <w:sz w:val="21"/>
                      <w:szCs w:val="21"/>
                      <w:vertAlign w:val="baseline"/>
                      <w:lang w:val="en-US" w:eastAsia="zh-CN"/>
                    </w:rPr>
                  </w:pPr>
                  <w:r>
                    <w:rPr>
                      <w:rFonts w:hint="eastAsia"/>
                      <w:b w:val="0"/>
                      <w:bCs/>
                      <w:color w:val="auto"/>
                      <w:kern w:val="2"/>
                      <w:sz w:val="21"/>
                      <w:szCs w:val="21"/>
                      <w:vertAlign w:val="baseline"/>
                      <w:lang w:val="en-US" w:eastAsia="zh-CN"/>
                    </w:rPr>
                    <w:t>不涉及</w:t>
                  </w:r>
                </w:p>
              </w:tc>
            </w:tr>
            <w:tr w14:paraId="0B05DA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7" w:type="pct"/>
                  <w:vAlign w:val="center"/>
                </w:tcPr>
                <w:p w14:paraId="7E25BE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4</w:t>
                  </w:r>
                </w:p>
              </w:tc>
              <w:tc>
                <w:tcPr>
                  <w:tcW w:w="2931" w:type="pct"/>
                </w:tcPr>
                <w:p w14:paraId="28CBF1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重点排污单位应当按照有关规定，在环境保护主管部门的指导和监督下，安装、使用在线监测装置或者视频监控系统，且不得擅自拆除、闲置、改变或者损毁。</w:t>
                  </w:r>
                </w:p>
              </w:tc>
              <w:tc>
                <w:tcPr>
                  <w:tcW w:w="1225" w:type="pct"/>
                  <w:vAlign w:val="center"/>
                </w:tcPr>
                <w:p w14:paraId="66BD2B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本项目不属于重点排污单位</w:t>
                  </w:r>
                </w:p>
              </w:tc>
              <w:tc>
                <w:tcPr>
                  <w:tcW w:w="544" w:type="pct"/>
                  <w:shd w:val="clear" w:color="auto" w:fill="auto"/>
                  <w:vAlign w:val="center"/>
                </w:tcPr>
                <w:p w14:paraId="612D99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r>
                    <w:rPr>
                      <w:rFonts w:hint="eastAsia"/>
                      <w:b w:val="0"/>
                      <w:bCs/>
                      <w:color w:val="auto"/>
                      <w:kern w:val="2"/>
                      <w:sz w:val="21"/>
                      <w:szCs w:val="21"/>
                      <w:vertAlign w:val="baseline"/>
                      <w:lang w:val="en-US" w:eastAsia="zh-CN"/>
                    </w:rPr>
                    <w:t>不涉及</w:t>
                  </w:r>
                </w:p>
              </w:tc>
            </w:tr>
            <w:tr w14:paraId="79A9BB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7" w:type="pct"/>
                  <w:vAlign w:val="center"/>
                </w:tcPr>
                <w:p w14:paraId="06D57B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5</w:t>
                  </w:r>
                </w:p>
              </w:tc>
              <w:tc>
                <w:tcPr>
                  <w:tcW w:w="2931" w:type="pct"/>
                </w:tcPr>
                <w:p w14:paraId="487903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在鄱阳湖生态经济区的核心保护区和滨湖控制开发带内新建、改建、扩建畜禽养殖场（区）的，应当按照建设项目环境保护法律、法规的规定，编制环境影响报告书，并办理相关审批手续。</w:t>
                  </w:r>
                </w:p>
              </w:tc>
              <w:tc>
                <w:tcPr>
                  <w:tcW w:w="1225" w:type="pct"/>
                  <w:vAlign w:val="center"/>
                </w:tcPr>
                <w:p w14:paraId="62E75E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项目所在地不涉及鄱阳湖生态经济区的核心保护区和滨湖控制开发带</w:t>
                  </w:r>
                </w:p>
              </w:tc>
              <w:tc>
                <w:tcPr>
                  <w:tcW w:w="544" w:type="pct"/>
                  <w:vAlign w:val="center"/>
                </w:tcPr>
                <w:p w14:paraId="5E28D1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auto"/>
                      <w:kern w:val="2"/>
                      <w:sz w:val="21"/>
                      <w:szCs w:val="21"/>
                      <w:vertAlign w:val="baseline"/>
                      <w:lang w:val="en-US" w:eastAsia="zh-CN"/>
                    </w:rPr>
                  </w:pPr>
                  <w:r>
                    <w:rPr>
                      <w:rFonts w:hint="eastAsia"/>
                      <w:b w:val="0"/>
                      <w:bCs/>
                      <w:color w:val="auto"/>
                      <w:kern w:val="2"/>
                      <w:sz w:val="21"/>
                      <w:szCs w:val="21"/>
                      <w:vertAlign w:val="baseline"/>
                      <w:lang w:val="en-US" w:eastAsia="zh-CN"/>
                    </w:rPr>
                    <w:t>不涉及</w:t>
                  </w:r>
                </w:p>
              </w:tc>
            </w:tr>
            <w:tr w14:paraId="628265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7" w:type="pct"/>
                  <w:vAlign w:val="center"/>
                </w:tcPr>
                <w:p w14:paraId="73C730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6</w:t>
                  </w:r>
                </w:p>
              </w:tc>
              <w:tc>
                <w:tcPr>
                  <w:tcW w:w="2931" w:type="pct"/>
                </w:tcPr>
                <w:p w14:paraId="36DF1F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在鄱阳湖生态经济区内实行矿产资源勘查、开采规划分区制度。在禁止勘查、开采规划区内，不得新设固体矿产探矿权、采矿权；已取得固体矿产探矿权、采矿权的采矿企业，应当逐步有序退出。</w:t>
                  </w:r>
                </w:p>
              </w:tc>
              <w:tc>
                <w:tcPr>
                  <w:tcW w:w="1225" w:type="pct"/>
                  <w:vAlign w:val="center"/>
                </w:tcPr>
                <w:p w14:paraId="1E442D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auto"/>
                      <w:kern w:val="2"/>
                      <w:sz w:val="21"/>
                      <w:szCs w:val="21"/>
                      <w:vertAlign w:val="baseline"/>
                      <w:lang w:val="en-US" w:eastAsia="zh-CN"/>
                    </w:rPr>
                  </w:pPr>
                  <w:r>
                    <w:rPr>
                      <w:rFonts w:hint="eastAsia" w:eastAsia="宋体"/>
                      <w:b w:val="0"/>
                      <w:bCs/>
                      <w:color w:val="auto"/>
                      <w:kern w:val="2"/>
                      <w:sz w:val="21"/>
                      <w:szCs w:val="21"/>
                      <w:vertAlign w:val="baseline"/>
                      <w:lang w:val="en-US" w:eastAsia="zh-CN"/>
                    </w:rPr>
                    <w:t>本项目不涉及采矿</w:t>
                  </w:r>
                </w:p>
              </w:tc>
              <w:tc>
                <w:tcPr>
                  <w:tcW w:w="544" w:type="pct"/>
                  <w:shd w:val="clear" w:color="auto" w:fill="auto"/>
                  <w:vAlign w:val="center"/>
                </w:tcPr>
                <w:p w14:paraId="203C06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r>
                    <w:rPr>
                      <w:rFonts w:hint="eastAsia"/>
                      <w:b w:val="0"/>
                      <w:bCs/>
                      <w:color w:val="auto"/>
                      <w:kern w:val="2"/>
                      <w:sz w:val="21"/>
                      <w:szCs w:val="21"/>
                      <w:vertAlign w:val="baseline"/>
                      <w:lang w:val="en-US" w:eastAsia="zh-CN"/>
                    </w:rPr>
                    <w:t>不涉及</w:t>
                  </w:r>
                </w:p>
              </w:tc>
            </w:tr>
          </w:tbl>
          <w:p w14:paraId="097F55B3">
            <w:pPr>
              <w:widowControl/>
              <w:spacing w:line="360" w:lineRule="auto"/>
              <w:ind w:firstLine="482" w:firstLineChars="200"/>
              <w:jc w:val="left"/>
              <w:rPr>
                <w:b/>
                <w:color w:val="auto"/>
                <w:sz w:val="24"/>
              </w:rPr>
            </w:pPr>
            <w:r>
              <w:rPr>
                <w:rFonts w:hint="eastAsia"/>
                <w:b/>
                <w:color w:val="auto"/>
                <w:sz w:val="24"/>
                <w:lang w:val="en-US" w:eastAsia="zh-CN"/>
              </w:rPr>
              <w:t>8</w:t>
            </w:r>
            <w:r>
              <w:rPr>
                <w:rFonts w:hint="eastAsia"/>
                <w:b/>
                <w:color w:val="auto"/>
                <w:sz w:val="24"/>
              </w:rPr>
              <w:t>、</w:t>
            </w:r>
            <w:r>
              <w:rPr>
                <w:b/>
                <w:color w:val="auto"/>
                <w:sz w:val="24"/>
              </w:rPr>
              <w:t>与《江西省深入打好污染防治攻坚战挥发性有机物治理专项行动实施方案》（赣环委字〔2022〕22号）相符性分析</w:t>
            </w:r>
          </w:p>
          <w:p w14:paraId="1071CA18">
            <w:pPr>
              <w:pStyle w:val="14"/>
              <w:keepNext w:val="0"/>
              <w:keepLines w:val="0"/>
              <w:pageBreakBefore w:val="0"/>
              <w:widowControl w:val="0"/>
              <w:kinsoku/>
              <w:wordWrap/>
              <w:overflowPunct/>
              <w:topLinePunct w:val="0"/>
              <w:autoSpaceDE/>
              <w:autoSpaceDN/>
              <w:bidi w:val="0"/>
              <w:adjustRightInd/>
              <w:snapToGrid/>
              <w:spacing w:after="0"/>
              <w:ind w:left="0" w:leftChars="0"/>
              <w:jc w:val="center"/>
              <w:textAlignment w:val="auto"/>
              <w:rPr>
                <w:b/>
                <w:bCs/>
                <w:color w:val="auto"/>
              </w:rPr>
            </w:pPr>
            <w:r>
              <w:rPr>
                <w:b/>
                <w:bCs/>
                <w:color w:val="auto"/>
              </w:rPr>
              <w:t>表1-</w:t>
            </w:r>
            <w:r>
              <w:rPr>
                <w:rFonts w:hint="eastAsia"/>
                <w:b/>
                <w:bCs/>
                <w:color w:val="auto"/>
                <w:lang w:val="en-US" w:eastAsia="zh-CN"/>
              </w:rPr>
              <w:t xml:space="preserve">7  </w:t>
            </w:r>
            <w:r>
              <w:rPr>
                <w:b/>
                <w:bCs/>
                <w:color w:val="auto"/>
              </w:rPr>
              <w:t>与《江西省深入打好污染防治攻坚战挥发性有机物治理专项行动实施方案》（赣环委办字〔2022〕22号）符合性分析</w:t>
            </w:r>
          </w:p>
          <w:tbl>
            <w:tblPr>
              <w:tblStyle w:val="28"/>
              <w:tblW w:w="4998" w:type="pct"/>
              <w:jc w:val="center"/>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431"/>
              <w:gridCol w:w="4698"/>
              <w:gridCol w:w="1894"/>
              <w:gridCol w:w="879"/>
            </w:tblGrid>
            <w:tr w14:paraId="7BC12441">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273" w:type="pct"/>
                  <w:noWrap w:val="0"/>
                  <w:vAlign w:val="center"/>
                </w:tcPr>
                <w:p w14:paraId="4A2AC4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bCs/>
                      <w:color w:val="auto"/>
                      <w:sz w:val="21"/>
                      <w:szCs w:val="21"/>
                    </w:rPr>
                  </w:pPr>
                  <w:r>
                    <w:rPr>
                      <w:rFonts w:hint="eastAsia"/>
                      <w:b/>
                      <w:bCs/>
                      <w:color w:val="auto"/>
                      <w:sz w:val="21"/>
                      <w:szCs w:val="21"/>
                      <w:lang w:val="en-US" w:eastAsia="zh-CN"/>
                    </w:rPr>
                    <w:t>序</w:t>
                  </w:r>
                  <w:r>
                    <w:rPr>
                      <w:rFonts w:hint="default"/>
                      <w:b/>
                      <w:bCs/>
                      <w:color w:val="auto"/>
                      <w:sz w:val="21"/>
                      <w:szCs w:val="21"/>
                    </w:rPr>
                    <w:t>号</w:t>
                  </w:r>
                </w:p>
              </w:tc>
              <w:tc>
                <w:tcPr>
                  <w:tcW w:w="2972" w:type="pct"/>
                  <w:noWrap w:val="0"/>
                  <w:vAlign w:val="center"/>
                </w:tcPr>
                <w:p w14:paraId="69E0D37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b/>
                      <w:bCs/>
                      <w:color w:val="auto"/>
                      <w:sz w:val="21"/>
                      <w:szCs w:val="21"/>
                    </w:rPr>
                  </w:pPr>
                  <w:r>
                    <w:rPr>
                      <w:rFonts w:hint="default"/>
                      <w:b/>
                      <w:bCs/>
                      <w:color w:val="auto"/>
                      <w:sz w:val="21"/>
                      <w:szCs w:val="21"/>
                    </w:rPr>
                    <w:t>要求</w:t>
                  </w:r>
                </w:p>
              </w:tc>
              <w:tc>
                <w:tcPr>
                  <w:tcW w:w="1198" w:type="pct"/>
                  <w:noWrap w:val="0"/>
                  <w:vAlign w:val="center"/>
                </w:tcPr>
                <w:p w14:paraId="6ADA9E8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b/>
                      <w:bCs/>
                      <w:color w:val="auto"/>
                      <w:sz w:val="21"/>
                      <w:szCs w:val="21"/>
                    </w:rPr>
                  </w:pPr>
                  <w:r>
                    <w:rPr>
                      <w:rFonts w:hint="default"/>
                      <w:b/>
                      <w:bCs/>
                      <w:color w:val="auto"/>
                      <w:sz w:val="21"/>
                      <w:szCs w:val="21"/>
                    </w:rPr>
                    <w:t>本项目情况</w:t>
                  </w:r>
                </w:p>
              </w:tc>
              <w:tc>
                <w:tcPr>
                  <w:tcW w:w="556" w:type="pct"/>
                  <w:noWrap w:val="0"/>
                  <w:vAlign w:val="center"/>
                </w:tcPr>
                <w:p w14:paraId="0C2233B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b/>
                      <w:bCs/>
                      <w:color w:val="auto"/>
                      <w:sz w:val="21"/>
                      <w:szCs w:val="21"/>
                    </w:rPr>
                  </w:pPr>
                  <w:r>
                    <w:rPr>
                      <w:rFonts w:hint="eastAsia"/>
                      <w:b/>
                      <w:bCs/>
                      <w:color w:val="auto"/>
                      <w:sz w:val="21"/>
                      <w:szCs w:val="21"/>
                      <w:lang w:val="en-US" w:eastAsia="zh-CN"/>
                    </w:rPr>
                    <w:t>相符</w:t>
                  </w:r>
                  <w:r>
                    <w:rPr>
                      <w:rFonts w:hint="default"/>
                      <w:b/>
                      <w:bCs/>
                      <w:color w:val="auto"/>
                      <w:sz w:val="21"/>
                      <w:szCs w:val="21"/>
                    </w:rPr>
                    <w:t>性</w:t>
                  </w:r>
                </w:p>
              </w:tc>
            </w:tr>
            <w:tr w14:paraId="6F539D71">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273" w:type="pct"/>
                  <w:noWrap w:val="0"/>
                  <w:vAlign w:val="center"/>
                </w:tcPr>
                <w:p w14:paraId="2278B0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r>
                    <w:rPr>
                      <w:rFonts w:hint="default"/>
                      <w:color w:val="auto"/>
                      <w:sz w:val="21"/>
                      <w:szCs w:val="21"/>
                    </w:rPr>
                    <w:t>1</w:t>
                  </w:r>
                </w:p>
              </w:tc>
              <w:tc>
                <w:tcPr>
                  <w:tcW w:w="2972" w:type="pct"/>
                  <w:noWrap w:val="0"/>
                  <w:vAlign w:val="center"/>
                </w:tcPr>
                <w:p w14:paraId="60BC6C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default"/>
                      <w:color w:val="auto"/>
                      <w:sz w:val="21"/>
                      <w:szCs w:val="21"/>
                    </w:rPr>
                  </w:pPr>
                  <w:r>
                    <w:rPr>
                      <w:rFonts w:hint="default"/>
                      <w:color w:val="auto"/>
                      <w:sz w:val="21"/>
                      <w:szCs w:val="21"/>
                    </w:rPr>
                    <w:t>全面加强</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无组织排放控制。加强含</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 xml:space="preserve">物料全方位、全链条、全环节密闭管理，做好 </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物料储存、转移和输送、设备与管线组件泄漏、敞开液面逸散以及工艺过程等无组织排放环节的管理。生产应优先采用密闭设备、在密闭空间中操作或采用全密闭集气罩收集方式，原则上应保持微负压状态，并根据相关规范合理设置通风量；采用局部集气罩的，距集气罩开口面最远处的</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无组织排放位置控制风速应不低于0.3 米/秒。对</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物料储罐和污水集输、储存、处理设施开展排查，督促企业按要求开展专项治理。</w:t>
                  </w:r>
                </w:p>
              </w:tc>
              <w:tc>
                <w:tcPr>
                  <w:tcW w:w="1198" w:type="pct"/>
                  <w:noWrap w:val="0"/>
                  <w:vAlign w:val="center"/>
                </w:tcPr>
                <w:p w14:paraId="4B39757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both"/>
                    <w:textAlignment w:val="auto"/>
                    <w:rPr>
                      <w:rFonts w:hint="default" w:eastAsia="宋体"/>
                      <w:color w:val="auto"/>
                      <w:sz w:val="21"/>
                      <w:szCs w:val="21"/>
                      <w:lang w:val="en-US" w:eastAsia="zh-CN"/>
                    </w:rPr>
                  </w:pPr>
                  <w:r>
                    <w:rPr>
                      <w:rFonts w:hint="default"/>
                      <w:color w:val="auto"/>
                      <w:sz w:val="21"/>
                      <w:szCs w:val="21"/>
                    </w:rPr>
                    <w:t>本项目</w:t>
                  </w:r>
                  <w:r>
                    <w:rPr>
                      <w:rFonts w:hint="eastAsia"/>
                      <w:color w:val="auto"/>
                      <w:sz w:val="21"/>
                      <w:szCs w:val="21"/>
                      <w:lang w:val="en-US" w:eastAsia="zh-CN"/>
                    </w:rPr>
                    <w:t>含</w:t>
                  </w:r>
                  <w:r>
                    <w:rPr>
                      <w:rFonts w:hint="default"/>
                      <w:color w:val="auto"/>
                      <w:kern w:val="0"/>
                      <w:sz w:val="21"/>
                      <w:szCs w:val="21"/>
                    </w:rPr>
                    <w:t>VOC</w:t>
                  </w:r>
                  <w:r>
                    <w:rPr>
                      <w:rFonts w:hint="eastAsia"/>
                      <w:color w:val="auto"/>
                      <w:kern w:val="0"/>
                      <w:sz w:val="21"/>
                      <w:szCs w:val="21"/>
                      <w:vertAlign w:val="subscript"/>
                      <w:lang w:val="en-US" w:eastAsia="zh-CN"/>
                    </w:rPr>
                    <w:t>S</w:t>
                  </w:r>
                  <w:r>
                    <w:rPr>
                      <w:rFonts w:hint="eastAsia"/>
                      <w:color w:val="auto"/>
                      <w:kern w:val="0"/>
                      <w:sz w:val="21"/>
                      <w:szCs w:val="21"/>
                      <w:vertAlign w:val="baseline"/>
                      <w:lang w:val="en-US" w:eastAsia="zh-CN"/>
                    </w:rPr>
                    <w:t>的</w:t>
                  </w:r>
                  <w:r>
                    <w:rPr>
                      <w:rFonts w:hint="default"/>
                      <w:color w:val="auto"/>
                      <w:sz w:val="21"/>
                      <w:szCs w:val="21"/>
                    </w:rPr>
                    <w:t>物料储存调配、使用</w:t>
                  </w:r>
                  <w:r>
                    <w:rPr>
                      <w:rFonts w:hint="eastAsia"/>
                      <w:color w:val="auto"/>
                      <w:sz w:val="21"/>
                      <w:szCs w:val="21"/>
                      <w:lang w:val="en-US" w:eastAsia="zh-CN"/>
                    </w:rPr>
                    <w:t>过程</w:t>
                  </w:r>
                  <w:r>
                    <w:rPr>
                      <w:rFonts w:hint="default"/>
                      <w:color w:val="auto"/>
                      <w:sz w:val="21"/>
                      <w:szCs w:val="21"/>
                    </w:rPr>
                    <w:t>在密闭空间内操作。</w:t>
                  </w:r>
                  <w:r>
                    <w:rPr>
                      <w:rFonts w:hint="eastAsia"/>
                      <w:color w:val="auto"/>
                      <w:sz w:val="21"/>
                      <w:szCs w:val="21"/>
                      <w:lang w:val="en-US" w:eastAsia="zh-CN"/>
                    </w:rPr>
                    <w:t>有机废气采用密闭负压集气的方式进行收集，废气收集后经一套“二级活性炭吸附”装置处理达标后排放。</w:t>
                  </w:r>
                </w:p>
              </w:tc>
              <w:tc>
                <w:tcPr>
                  <w:tcW w:w="556" w:type="pct"/>
                  <w:noWrap w:val="0"/>
                  <w:vAlign w:val="center"/>
                </w:tcPr>
                <w:p w14:paraId="171E7EC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r>
                    <w:rPr>
                      <w:rFonts w:hint="default"/>
                      <w:color w:val="auto"/>
                      <w:sz w:val="21"/>
                      <w:szCs w:val="21"/>
                    </w:rPr>
                    <w:t>符合</w:t>
                  </w:r>
                </w:p>
              </w:tc>
            </w:tr>
            <w:tr w14:paraId="5CB8C4EF">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273" w:type="pct"/>
                  <w:noWrap w:val="0"/>
                  <w:vAlign w:val="center"/>
                </w:tcPr>
                <w:p w14:paraId="2A9770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r>
                    <w:rPr>
                      <w:rFonts w:hint="default"/>
                      <w:color w:val="auto"/>
                      <w:sz w:val="21"/>
                      <w:szCs w:val="21"/>
                    </w:rPr>
                    <w:t>2</w:t>
                  </w:r>
                </w:p>
              </w:tc>
              <w:tc>
                <w:tcPr>
                  <w:tcW w:w="2972" w:type="pct"/>
                  <w:noWrap w:val="0"/>
                  <w:vAlign w:val="center"/>
                </w:tcPr>
                <w:p w14:paraId="5AD58B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default"/>
                      <w:color w:val="auto"/>
                      <w:sz w:val="21"/>
                      <w:szCs w:val="21"/>
                    </w:rPr>
                  </w:pPr>
                  <w:r>
                    <w:rPr>
                      <w:rFonts w:hint="default"/>
                      <w:color w:val="auto"/>
                      <w:sz w:val="21"/>
                      <w:szCs w:val="21"/>
                    </w:rPr>
                    <w:t>持续提升治污设施“三率”。组织开展现有</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废气收集率、治理设施同步运行率和去除率自查，对达不到要求的</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 xml:space="preserve"> 收集、治理设施进行更换或升级改造，实现达标排放。对单一采用光氧化、光催化、低温等离子、一次活性炭吸附、喷淋吸收、生物法等工艺设施的，要重点加强效果评估。行业排放标准中规定特别排放限值和控制要求的，应按相关规定执行；未制定行业标准的应执行《大气污染物综合排放标准》和《挥发性有机物无组织排放控制标准》。</w:t>
                  </w:r>
                </w:p>
              </w:tc>
              <w:tc>
                <w:tcPr>
                  <w:tcW w:w="1198" w:type="pct"/>
                  <w:noWrap w:val="0"/>
                  <w:vAlign w:val="center"/>
                </w:tcPr>
                <w:p w14:paraId="0328E20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both"/>
                    <w:textAlignment w:val="auto"/>
                    <w:rPr>
                      <w:rFonts w:hint="default" w:eastAsia="宋体"/>
                      <w:color w:val="auto"/>
                      <w:sz w:val="21"/>
                      <w:szCs w:val="21"/>
                      <w:lang w:val="en-US" w:eastAsia="zh-CN"/>
                    </w:rPr>
                  </w:pPr>
                  <w:r>
                    <w:rPr>
                      <w:rFonts w:hint="eastAsia" w:ascii="Times New Roman" w:hAnsi="Times New Roman" w:eastAsia="宋体" w:cs="Times New Roman"/>
                      <w:b w:val="0"/>
                      <w:bCs/>
                      <w:color w:val="auto"/>
                      <w:kern w:val="2"/>
                      <w:sz w:val="21"/>
                      <w:szCs w:val="21"/>
                      <w:vertAlign w:val="baseline"/>
                      <w:lang w:val="en-US" w:eastAsia="zh-CN"/>
                    </w:rPr>
                    <w:t>项目</w:t>
                  </w:r>
                  <w:r>
                    <w:rPr>
                      <w:rFonts w:hint="eastAsia" w:cs="Times New Roman"/>
                      <w:b w:val="0"/>
                      <w:bCs/>
                      <w:color w:val="auto"/>
                      <w:kern w:val="2"/>
                      <w:sz w:val="21"/>
                      <w:szCs w:val="21"/>
                      <w:vertAlign w:val="baseline"/>
                      <w:lang w:val="en-US" w:eastAsia="zh-CN"/>
                    </w:rPr>
                    <w:t>有机</w:t>
                  </w:r>
                  <w:r>
                    <w:rPr>
                      <w:rFonts w:hint="eastAsia" w:ascii="Times New Roman" w:hAnsi="Times New Roman" w:eastAsia="宋体" w:cs="Times New Roman"/>
                      <w:b w:val="0"/>
                      <w:bCs/>
                      <w:color w:val="auto"/>
                      <w:kern w:val="2"/>
                      <w:sz w:val="21"/>
                      <w:szCs w:val="21"/>
                      <w:vertAlign w:val="baseline"/>
                      <w:lang w:val="en-US" w:eastAsia="zh-CN"/>
                    </w:rPr>
                    <w:t>废气采用</w:t>
                  </w:r>
                  <w:r>
                    <w:rPr>
                      <w:rFonts w:hint="eastAsia" w:cs="Times New Roman"/>
                      <w:b w:val="0"/>
                      <w:bCs/>
                      <w:color w:val="auto"/>
                      <w:kern w:val="2"/>
                      <w:sz w:val="21"/>
                      <w:szCs w:val="21"/>
                      <w:vertAlign w:val="baseline"/>
                      <w:lang w:val="en-US" w:eastAsia="zh-CN"/>
                    </w:rPr>
                    <w:t>密闭负压</w:t>
                  </w:r>
                  <w:r>
                    <w:rPr>
                      <w:rFonts w:hint="eastAsia" w:ascii="Times New Roman" w:hAnsi="Times New Roman" w:eastAsia="宋体" w:cs="Times New Roman"/>
                      <w:b w:val="0"/>
                      <w:bCs/>
                      <w:color w:val="auto"/>
                      <w:kern w:val="2"/>
                      <w:sz w:val="21"/>
                      <w:szCs w:val="21"/>
                      <w:vertAlign w:val="baseline"/>
                      <w:lang w:val="en-US" w:eastAsia="zh-CN"/>
                    </w:rPr>
                    <w:t>收集，</w:t>
                  </w:r>
                  <w:r>
                    <w:rPr>
                      <w:rFonts w:hint="eastAsia"/>
                      <w:color w:val="auto"/>
                      <w:sz w:val="21"/>
                      <w:szCs w:val="21"/>
                      <w:lang w:val="en-US" w:eastAsia="zh-CN"/>
                    </w:rPr>
                    <w:t>废气收集后经一套“二级活性炭吸附”装置处理后可达标排放。</w:t>
                  </w:r>
                </w:p>
              </w:tc>
              <w:tc>
                <w:tcPr>
                  <w:tcW w:w="556" w:type="pct"/>
                  <w:noWrap w:val="0"/>
                  <w:vAlign w:val="center"/>
                </w:tcPr>
                <w:p w14:paraId="14B2899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r>
                    <w:rPr>
                      <w:rFonts w:hint="default"/>
                      <w:color w:val="auto"/>
                      <w:sz w:val="21"/>
                      <w:szCs w:val="21"/>
                    </w:rPr>
                    <w:t>符合</w:t>
                  </w:r>
                </w:p>
              </w:tc>
            </w:tr>
            <w:tr w14:paraId="6DD098E2">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jc w:val="center"/>
              </w:trPr>
              <w:tc>
                <w:tcPr>
                  <w:tcW w:w="273" w:type="pct"/>
                  <w:noWrap w:val="0"/>
                  <w:vAlign w:val="center"/>
                </w:tcPr>
                <w:p w14:paraId="15CC75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r>
                    <w:rPr>
                      <w:rFonts w:hint="default"/>
                      <w:color w:val="auto"/>
                      <w:sz w:val="21"/>
                      <w:szCs w:val="21"/>
                    </w:rPr>
                    <w:t>3</w:t>
                  </w:r>
                </w:p>
              </w:tc>
              <w:tc>
                <w:tcPr>
                  <w:tcW w:w="2972" w:type="pct"/>
                  <w:noWrap w:val="0"/>
                  <w:vAlign w:val="center"/>
                </w:tcPr>
                <w:p w14:paraId="435C43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default"/>
                      <w:color w:val="auto"/>
                      <w:sz w:val="21"/>
                      <w:szCs w:val="21"/>
                    </w:rPr>
                  </w:pPr>
                  <w:r>
                    <w:rPr>
                      <w:rFonts w:hint="default"/>
                      <w:color w:val="auto"/>
                      <w:sz w:val="21"/>
                      <w:szCs w:val="21"/>
                    </w:rPr>
                    <w:t>深入推进油品储运销</w:t>
                  </w:r>
                  <w:r>
                    <w:rPr>
                      <w:rFonts w:hint="eastAsia"/>
                      <w:color w:val="auto"/>
                      <w:sz w:val="21"/>
                      <w:szCs w:val="21"/>
                      <w:lang w:val="en-US" w:eastAsia="zh-CN"/>
                    </w:rPr>
                    <w:t>售</w:t>
                  </w:r>
                  <w:r>
                    <w:rPr>
                      <w:rFonts w:hint="default"/>
                      <w:color w:val="auto"/>
                      <w:sz w:val="21"/>
                      <w:szCs w:val="21"/>
                    </w:rPr>
                    <w:t>全过程油气回收治理。各设区市生态环境局要督促本地成品油销售企业建立日常检查和自行监测制度，在保障安全的前提下，加强无组织排放控制，每年组织开展一轮储油库、油罐车、加油站油气回收专项检查和整改，并形成自查整改报告。鼓励有条件的加油站开展三次油气回收。推动完成万吨及以上原油成品油码头，现役 8000总吨及以上的油船全部完成油气回收治理。着力推动城市成品油年销量在 5000吨以上的加油站安装在线监控设施。</w:t>
                  </w:r>
                </w:p>
              </w:tc>
              <w:tc>
                <w:tcPr>
                  <w:tcW w:w="1198" w:type="pct"/>
                  <w:noWrap w:val="0"/>
                  <w:vAlign w:val="center"/>
                </w:tcPr>
                <w:p w14:paraId="5C6D708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both"/>
                    <w:textAlignment w:val="auto"/>
                    <w:rPr>
                      <w:rFonts w:hint="default"/>
                      <w:color w:val="auto"/>
                      <w:sz w:val="21"/>
                      <w:szCs w:val="21"/>
                    </w:rPr>
                  </w:pPr>
                  <w:r>
                    <w:rPr>
                      <w:rFonts w:hint="eastAsia"/>
                      <w:color w:val="auto"/>
                      <w:sz w:val="21"/>
                      <w:szCs w:val="21"/>
                      <w:lang w:val="en-US" w:eastAsia="zh-CN"/>
                    </w:rPr>
                    <w:t>本项目</w:t>
                  </w:r>
                  <w:r>
                    <w:rPr>
                      <w:rFonts w:hint="default"/>
                      <w:color w:val="auto"/>
                      <w:sz w:val="21"/>
                      <w:szCs w:val="21"/>
                    </w:rPr>
                    <w:t>不涉及油品储运销</w:t>
                  </w:r>
                  <w:r>
                    <w:rPr>
                      <w:rFonts w:hint="eastAsia"/>
                      <w:color w:val="auto"/>
                      <w:sz w:val="21"/>
                      <w:szCs w:val="21"/>
                      <w:lang w:val="en-US" w:eastAsia="zh-CN"/>
                    </w:rPr>
                    <w:t>售</w:t>
                  </w:r>
                </w:p>
              </w:tc>
              <w:tc>
                <w:tcPr>
                  <w:tcW w:w="556" w:type="pct"/>
                  <w:noWrap w:val="0"/>
                  <w:vAlign w:val="center"/>
                </w:tcPr>
                <w:p w14:paraId="06C8D3B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eastAsia" w:eastAsia="宋体"/>
                      <w:color w:val="auto"/>
                      <w:sz w:val="21"/>
                      <w:szCs w:val="21"/>
                      <w:lang w:eastAsia="zh-CN"/>
                    </w:rPr>
                  </w:pPr>
                  <w:r>
                    <w:rPr>
                      <w:rFonts w:hint="eastAsia"/>
                      <w:color w:val="auto"/>
                      <w:sz w:val="21"/>
                      <w:szCs w:val="21"/>
                      <w:lang w:val="en-US" w:eastAsia="zh-CN"/>
                    </w:rPr>
                    <w:t>不涉及</w:t>
                  </w:r>
                </w:p>
              </w:tc>
            </w:tr>
            <w:tr w14:paraId="55469520">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273" w:type="pct"/>
                  <w:noWrap w:val="0"/>
                  <w:vAlign w:val="center"/>
                </w:tcPr>
                <w:p w14:paraId="0455CA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r>
                    <w:rPr>
                      <w:rFonts w:hint="default"/>
                      <w:color w:val="auto"/>
                      <w:sz w:val="21"/>
                      <w:szCs w:val="21"/>
                    </w:rPr>
                    <w:t>4</w:t>
                  </w:r>
                </w:p>
              </w:tc>
              <w:tc>
                <w:tcPr>
                  <w:tcW w:w="2972" w:type="pct"/>
                  <w:noWrap w:val="0"/>
                  <w:vAlign w:val="center"/>
                </w:tcPr>
                <w:p w14:paraId="3DF1D1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default"/>
                      <w:color w:val="auto"/>
                      <w:sz w:val="21"/>
                      <w:szCs w:val="21"/>
                    </w:rPr>
                  </w:pPr>
                  <w:r>
                    <w:rPr>
                      <w:rFonts w:hint="default"/>
                      <w:color w:val="auto"/>
                      <w:sz w:val="21"/>
                      <w:szCs w:val="21"/>
                    </w:rPr>
                    <w:t>持续推进重点行业、重点企业及重点园区开展整治。严格石化、化工、工业涂装、包装印刷等重点行业挥发性有机物全过程管控。督促重点企业按《</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 xml:space="preserve"> 综合治理“一企一策”约束性大纲》的要求编制一企一策方案，明确企业 </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 xml:space="preserve"> 综合治理任务时间节点和工作目标，建立管理台账并实施针对性治理。以提高园区</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 xml:space="preserve"> 管理水平及企业</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 xml:space="preserve"> 治理能力为目标，跟踪督促重点园区编制</w:t>
                  </w:r>
                  <w:r>
                    <w:rPr>
                      <w:rFonts w:hint="eastAsia"/>
                      <w:color w:val="auto"/>
                      <w:sz w:val="21"/>
                      <w:szCs w:val="21"/>
                      <w:lang w:eastAsia="zh-CN"/>
                    </w:rPr>
                    <w:t>“</w:t>
                  </w:r>
                  <w:r>
                    <w:rPr>
                      <w:rFonts w:hint="default"/>
                      <w:color w:val="auto"/>
                      <w:sz w:val="21"/>
                      <w:szCs w:val="21"/>
                    </w:rPr>
                    <w:t>一园一策</w:t>
                  </w:r>
                  <w:r>
                    <w:rPr>
                      <w:rFonts w:hint="eastAsia"/>
                      <w:color w:val="auto"/>
                      <w:sz w:val="21"/>
                      <w:szCs w:val="21"/>
                      <w:lang w:eastAsia="zh-CN"/>
                    </w:rPr>
                    <w:t>”</w:t>
                  </w:r>
                  <w:r>
                    <w:rPr>
                      <w:rFonts w:hint="default"/>
                      <w:color w:val="auto"/>
                      <w:sz w:val="21"/>
                      <w:szCs w:val="21"/>
                    </w:rPr>
                    <w:t>方案并加快实施，推进园区</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 xml:space="preserve"> 治理工作入深向实。组织专家对各地市重点企业</w:t>
                  </w:r>
                  <w:r>
                    <w:rPr>
                      <w:rFonts w:hint="eastAsia"/>
                      <w:color w:val="auto"/>
                      <w:sz w:val="21"/>
                      <w:szCs w:val="21"/>
                      <w:lang w:eastAsia="zh-CN"/>
                    </w:rPr>
                    <w:t>“</w:t>
                  </w:r>
                  <w:r>
                    <w:rPr>
                      <w:rFonts w:hint="default"/>
                      <w:color w:val="auto"/>
                      <w:sz w:val="21"/>
                      <w:szCs w:val="21"/>
                    </w:rPr>
                    <w:t>一企一策</w:t>
                  </w:r>
                  <w:r>
                    <w:rPr>
                      <w:rFonts w:hint="eastAsia"/>
                      <w:color w:val="auto"/>
                      <w:sz w:val="21"/>
                      <w:szCs w:val="21"/>
                      <w:lang w:eastAsia="zh-CN"/>
                    </w:rPr>
                    <w:t>”</w:t>
                  </w:r>
                  <w:r>
                    <w:rPr>
                      <w:rFonts w:hint="default"/>
                      <w:color w:val="auto"/>
                      <w:sz w:val="21"/>
                      <w:szCs w:val="21"/>
                    </w:rPr>
                    <w:t>和重点园区“一园一策”进行抽查审核，督促提高编制质量，提升</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 xml:space="preserve"> 治理方案的指导性、专业性及有效性。强化涉</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企业分级管控，扩大绩效分级评估范围，结合臭氧污染天应急预案，根据重点行业企业应急减排清单，分别落实不同的应急减排要求。推进开发区因地制宜推广建设涉挥发性有机物“绿岛”项目，探索建设集中涂装中心、活性炭集中处理中心等。</w:t>
                  </w:r>
                </w:p>
              </w:tc>
              <w:tc>
                <w:tcPr>
                  <w:tcW w:w="1198" w:type="pct"/>
                  <w:noWrap w:val="0"/>
                  <w:vAlign w:val="center"/>
                </w:tcPr>
                <w:p w14:paraId="59F493D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both"/>
                    <w:textAlignment w:val="auto"/>
                    <w:rPr>
                      <w:rFonts w:hint="default"/>
                      <w:color w:val="auto"/>
                      <w:sz w:val="21"/>
                      <w:szCs w:val="21"/>
                    </w:rPr>
                  </w:pPr>
                  <w:r>
                    <w:rPr>
                      <w:rFonts w:hint="eastAsia"/>
                      <w:color w:val="auto"/>
                      <w:sz w:val="21"/>
                      <w:szCs w:val="21"/>
                      <w:lang w:val="en-US" w:eastAsia="zh-CN"/>
                    </w:rPr>
                    <w:t>本项目不属于</w:t>
                  </w:r>
                  <w:r>
                    <w:rPr>
                      <w:rFonts w:hint="default"/>
                      <w:color w:val="auto"/>
                      <w:sz w:val="21"/>
                      <w:szCs w:val="21"/>
                    </w:rPr>
                    <w:t>重点行业</w:t>
                  </w:r>
                  <w:r>
                    <w:rPr>
                      <w:rFonts w:hint="eastAsia"/>
                      <w:color w:val="auto"/>
                      <w:sz w:val="21"/>
                      <w:szCs w:val="21"/>
                      <w:lang w:eastAsia="zh-CN"/>
                    </w:rPr>
                    <w:t>，</w:t>
                  </w:r>
                  <w:r>
                    <w:rPr>
                      <w:rFonts w:hint="eastAsia" w:ascii="Times New Roman" w:hAnsi="Times New Roman" w:eastAsia="宋体" w:cs="Times New Roman"/>
                      <w:b w:val="0"/>
                      <w:bCs/>
                      <w:color w:val="auto"/>
                      <w:kern w:val="2"/>
                      <w:sz w:val="21"/>
                      <w:szCs w:val="21"/>
                      <w:vertAlign w:val="baseline"/>
                      <w:lang w:val="en-US" w:eastAsia="zh-CN"/>
                    </w:rPr>
                    <w:t>项目</w:t>
                  </w:r>
                  <w:r>
                    <w:rPr>
                      <w:rFonts w:hint="eastAsia" w:cs="Times New Roman"/>
                      <w:b w:val="0"/>
                      <w:bCs/>
                      <w:color w:val="auto"/>
                      <w:kern w:val="2"/>
                      <w:sz w:val="21"/>
                      <w:szCs w:val="21"/>
                      <w:vertAlign w:val="baseline"/>
                      <w:lang w:val="en-US" w:eastAsia="zh-CN"/>
                    </w:rPr>
                    <w:t>有机</w:t>
                  </w:r>
                  <w:r>
                    <w:rPr>
                      <w:rFonts w:hint="eastAsia" w:ascii="Times New Roman" w:hAnsi="Times New Roman" w:eastAsia="宋体" w:cs="Times New Roman"/>
                      <w:b w:val="0"/>
                      <w:bCs/>
                      <w:color w:val="auto"/>
                      <w:kern w:val="2"/>
                      <w:sz w:val="21"/>
                      <w:szCs w:val="21"/>
                      <w:vertAlign w:val="baseline"/>
                      <w:lang w:val="en-US" w:eastAsia="zh-CN"/>
                    </w:rPr>
                    <w:t>废气</w:t>
                  </w:r>
                  <w:r>
                    <w:rPr>
                      <w:rFonts w:hint="eastAsia" w:cs="Times New Roman"/>
                      <w:b w:val="0"/>
                      <w:bCs/>
                      <w:color w:val="auto"/>
                      <w:kern w:val="2"/>
                      <w:sz w:val="21"/>
                      <w:szCs w:val="21"/>
                      <w:vertAlign w:val="baseline"/>
                      <w:lang w:val="en-US" w:eastAsia="zh-CN"/>
                    </w:rPr>
                    <w:t>通过密闭负压</w:t>
                  </w:r>
                  <w:r>
                    <w:rPr>
                      <w:rFonts w:hint="eastAsia" w:ascii="Times New Roman" w:hAnsi="Times New Roman" w:eastAsia="宋体" w:cs="Times New Roman"/>
                      <w:b w:val="0"/>
                      <w:bCs/>
                      <w:color w:val="auto"/>
                      <w:kern w:val="2"/>
                      <w:sz w:val="21"/>
                      <w:szCs w:val="21"/>
                      <w:vertAlign w:val="baseline"/>
                      <w:lang w:val="en-US" w:eastAsia="zh-CN"/>
                    </w:rPr>
                    <w:t>收集</w:t>
                  </w:r>
                  <w:r>
                    <w:rPr>
                      <w:rFonts w:hint="eastAsia" w:cs="Times New Roman"/>
                      <w:b w:val="0"/>
                      <w:bCs/>
                      <w:color w:val="auto"/>
                      <w:kern w:val="2"/>
                      <w:sz w:val="21"/>
                      <w:szCs w:val="21"/>
                      <w:vertAlign w:val="baseline"/>
                      <w:lang w:val="en-US" w:eastAsia="zh-CN"/>
                    </w:rPr>
                    <w:t>后</w:t>
                  </w:r>
                  <w:r>
                    <w:rPr>
                      <w:rFonts w:hint="eastAsia"/>
                      <w:color w:val="auto"/>
                      <w:sz w:val="21"/>
                      <w:szCs w:val="21"/>
                      <w:lang w:val="en-US" w:eastAsia="zh-CN"/>
                    </w:rPr>
                    <w:t>经一套“二级活性炭吸附”装置处理后可达标排放。</w:t>
                  </w:r>
                </w:p>
              </w:tc>
              <w:tc>
                <w:tcPr>
                  <w:tcW w:w="556" w:type="pct"/>
                  <w:noWrap w:val="0"/>
                  <w:vAlign w:val="center"/>
                </w:tcPr>
                <w:p w14:paraId="30B0C90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r>
                    <w:rPr>
                      <w:rFonts w:hint="default"/>
                      <w:color w:val="auto"/>
                      <w:sz w:val="21"/>
                      <w:szCs w:val="21"/>
                    </w:rPr>
                    <w:t>符合</w:t>
                  </w:r>
                </w:p>
              </w:tc>
            </w:tr>
            <w:tr w14:paraId="0B3C3B11">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273" w:type="pct"/>
                  <w:noWrap w:val="0"/>
                  <w:vAlign w:val="center"/>
                </w:tcPr>
                <w:p w14:paraId="3CEFA1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r>
                    <w:rPr>
                      <w:rFonts w:hint="default"/>
                      <w:color w:val="auto"/>
                      <w:sz w:val="21"/>
                      <w:szCs w:val="21"/>
                    </w:rPr>
                    <w:t>5</w:t>
                  </w:r>
                </w:p>
              </w:tc>
              <w:tc>
                <w:tcPr>
                  <w:tcW w:w="2972" w:type="pct"/>
                  <w:noWrap w:val="0"/>
                  <w:vAlign w:val="center"/>
                </w:tcPr>
                <w:p w14:paraId="2585CC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default"/>
                      <w:color w:val="auto"/>
                      <w:sz w:val="21"/>
                      <w:szCs w:val="21"/>
                    </w:rPr>
                  </w:pPr>
                  <w:r>
                    <w:rPr>
                      <w:rFonts w:hint="default"/>
                      <w:color w:val="auto"/>
                      <w:sz w:val="21"/>
                      <w:szCs w:val="21"/>
                    </w:rPr>
                    <w:t xml:space="preserve">协同推进 </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 xml:space="preserve"> 和 </w:t>
                  </w:r>
                  <w:r>
                    <w:rPr>
                      <w:rFonts w:hint="eastAsia"/>
                      <w:color w:val="auto"/>
                      <w:sz w:val="21"/>
                      <w:szCs w:val="21"/>
                      <w:lang w:val="en-US" w:eastAsia="zh-CN"/>
                    </w:rPr>
                    <w:t>NO</w:t>
                  </w:r>
                  <w:r>
                    <w:rPr>
                      <w:rFonts w:hint="eastAsia"/>
                      <w:color w:val="auto"/>
                      <w:sz w:val="21"/>
                      <w:szCs w:val="21"/>
                      <w:vertAlign w:val="subscript"/>
                      <w:lang w:val="en-US" w:eastAsia="zh-CN"/>
                    </w:rPr>
                    <w:t>X</w:t>
                  </w:r>
                  <w:r>
                    <w:rPr>
                      <w:rFonts w:hint="default"/>
                      <w:color w:val="auto"/>
                      <w:sz w:val="21"/>
                      <w:szCs w:val="21"/>
                      <w:vertAlign w:val="subscript"/>
                    </w:rPr>
                    <w:t xml:space="preserve"> </w:t>
                  </w:r>
                  <w:r>
                    <w:rPr>
                      <w:rFonts w:hint="default"/>
                      <w:color w:val="auto"/>
                      <w:sz w:val="21"/>
                      <w:szCs w:val="21"/>
                    </w:rPr>
                    <w:t>污染减排。聚焦重点行业、重点企业、重点工业园区，以更高要求、更高标准、更严措施，对全省涉</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 xml:space="preserve"> 排放企业，分行业、分领域、全环节开展全面自检，科学制定减排计划，将减排任务落实到重点行业重点企业的减排工程项目，推动建设一批示范项目、示范园区；推动钢铁等行业超低排放改造，积极推动老旧柴油货车淘汰，开展非标油联合执法行动，实现 </w:t>
                  </w: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sz w:val="21"/>
                      <w:szCs w:val="21"/>
                    </w:rPr>
                    <w:t>、NO</w:t>
                  </w:r>
                  <w:r>
                    <w:rPr>
                      <w:rFonts w:hint="eastAsia"/>
                      <w:color w:val="auto"/>
                      <w:sz w:val="21"/>
                      <w:szCs w:val="21"/>
                      <w:vertAlign w:val="subscript"/>
                      <w:lang w:val="en-US" w:eastAsia="zh-CN"/>
                    </w:rPr>
                    <w:t>X</w:t>
                  </w:r>
                  <w:r>
                    <w:rPr>
                      <w:rFonts w:hint="default"/>
                      <w:color w:val="auto"/>
                      <w:sz w:val="21"/>
                      <w:szCs w:val="21"/>
                    </w:rPr>
                    <w:t xml:space="preserve"> 减排量满足</w:t>
                  </w:r>
                  <w:r>
                    <w:rPr>
                      <w:rFonts w:hint="eastAsia"/>
                      <w:color w:val="auto"/>
                      <w:sz w:val="21"/>
                      <w:szCs w:val="21"/>
                      <w:lang w:eastAsia="zh-CN"/>
                    </w:rPr>
                    <w:t>“</w:t>
                  </w:r>
                  <w:r>
                    <w:rPr>
                      <w:rFonts w:hint="default"/>
                      <w:color w:val="auto"/>
                      <w:sz w:val="21"/>
                      <w:szCs w:val="21"/>
                    </w:rPr>
                    <w:t>十四五</w:t>
                  </w:r>
                  <w:r>
                    <w:rPr>
                      <w:rFonts w:hint="eastAsia"/>
                      <w:color w:val="auto"/>
                      <w:sz w:val="21"/>
                      <w:szCs w:val="21"/>
                      <w:lang w:eastAsia="zh-CN"/>
                    </w:rPr>
                    <w:t>”</w:t>
                  </w:r>
                  <w:r>
                    <w:rPr>
                      <w:rFonts w:hint="default"/>
                      <w:color w:val="auto"/>
                      <w:sz w:val="21"/>
                      <w:szCs w:val="21"/>
                    </w:rPr>
                    <w:t>规划时序进度要求。</w:t>
                  </w:r>
                </w:p>
              </w:tc>
              <w:tc>
                <w:tcPr>
                  <w:tcW w:w="1198" w:type="pct"/>
                  <w:noWrap w:val="0"/>
                  <w:vAlign w:val="center"/>
                </w:tcPr>
                <w:p w14:paraId="7FB8E8A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both"/>
                    <w:textAlignment w:val="auto"/>
                    <w:rPr>
                      <w:rFonts w:hint="default"/>
                      <w:color w:val="auto"/>
                      <w:sz w:val="21"/>
                      <w:szCs w:val="21"/>
                      <w:lang w:val="en-US"/>
                    </w:rPr>
                  </w:pPr>
                  <w:r>
                    <w:rPr>
                      <w:rFonts w:hint="default"/>
                      <w:color w:val="auto"/>
                      <w:sz w:val="21"/>
                      <w:szCs w:val="21"/>
                    </w:rPr>
                    <w:t>项目</w:t>
                  </w:r>
                  <w:r>
                    <w:rPr>
                      <w:rFonts w:hint="eastAsia"/>
                      <w:color w:val="auto"/>
                      <w:kern w:val="0"/>
                      <w:sz w:val="21"/>
                      <w:szCs w:val="21"/>
                      <w:lang w:val="en-US" w:eastAsia="zh-CN"/>
                    </w:rPr>
                    <w:t>有机</w:t>
                  </w:r>
                  <w:r>
                    <w:rPr>
                      <w:rFonts w:hint="eastAsia"/>
                      <w:color w:val="auto"/>
                      <w:kern w:val="0"/>
                      <w:sz w:val="21"/>
                      <w:szCs w:val="21"/>
                      <w:vertAlign w:val="baseline"/>
                      <w:lang w:val="en-US" w:eastAsia="zh-CN"/>
                    </w:rPr>
                    <w:t>废气</w:t>
                  </w:r>
                  <w:r>
                    <w:rPr>
                      <w:rFonts w:hint="eastAsia"/>
                      <w:color w:val="auto"/>
                      <w:sz w:val="21"/>
                      <w:szCs w:val="21"/>
                      <w:vertAlign w:val="baseline"/>
                      <w:lang w:val="en-US" w:eastAsia="zh-CN"/>
                    </w:rPr>
                    <w:t>执行总量控制；本项目不属于重点行业。</w:t>
                  </w:r>
                </w:p>
              </w:tc>
              <w:tc>
                <w:tcPr>
                  <w:tcW w:w="556" w:type="pct"/>
                  <w:noWrap w:val="0"/>
                  <w:vAlign w:val="center"/>
                </w:tcPr>
                <w:p w14:paraId="0C4D7CA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r>
                    <w:rPr>
                      <w:rFonts w:hint="default"/>
                      <w:color w:val="auto"/>
                      <w:sz w:val="21"/>
                      <w:szCs w:val="21"/>
                    </w:rPr>
                    <w:t>符合</w:t>
                  </w:r>
                </w:p>
              </w:tc>
            </w:tr>
          </w:tbl>
          <w:p w14:paraId="51C9811F">
            <w:pPr>
              <w:pStyle w:val="80"/>
              <w:ind w:firstLine="480" w:firstLineChars="200"/>
              <w:rPr>
                <w:color w:val="auto"/>
              </w:rPr>
            </w:pPr>
            <w:r>
              <w:rPr>
                <w:rFonts w:eastAsia="宋体"/>
                <w:color w:val="auto"/>
              </w:rPr>
              <w:t>综上所述，本项目符合《江西省深入打好污染防治攻坚战挥发性有机物治理专项行动实施方案》（赣环委字〔2022〕22号）中相关要求。</w:t>
            </w:r>
            <w:r>
              <w:rPr>
                <w:color w:val="auto"/>
              </w:rPr>
              <w:t xml:space="preserve"> </w:t>
            </w:r>
          </w:p>
          <w:p w14:paraId="21B11034">
            <w:pPr>
              <w:adjustRightInd w:val="0"/>
              <w:snapToGrid w:val="0"/>
              <w:spacing w:line="360" w:lineRule="auto"/>
              <w:ind w:firstLine="482" w:firstLineChars="200"/>
              <w:jc w:val="left"/>
              <w:rPr>
                <w:rFonts w:hint="default" w:ascii="Times New Roman" w:hAnsi="Times New Roman" w:cs="Times New Roman"/>
                <w:b/>
                <w:bCs/>
                <w:color w:val="auto"/>
                <w:sz w:val="24"/>
              </w:rPr>
            </w:pPr>
            <w:r>
              <w:rPr>
                <w:rFonts w:hint="eastAsia" w:ascii="Times New Roman" w:hAnsi="Times New Roman" w:cs="Times New Roman"/>
                <w:b/>
                <w:bCs/>
                <w:color w:val="auto"/>
                <w:sz w:val="24"/>
                <w:lang w:val="en-US" w:eastAsia="zh-CN"/>
              </w:rPr>
              <w:t>9</w:t>
            </w:r>
            <w:r>
              <w:rPr>
                <w:rFonts w:hint="default" w:ascii="Times New Roman" w:hAnsi="Times New Roman" w:cs="Times New Roman"/>
                <w:b/>
                <w:bCs/>
                <w:color w:val="auto"/>
                <w:sz w:val="24"/>
              </w:rPr>
              <w:t>、本项目与《挥发性有机物（VOC</w:t>
            </w:r>
            <w:r>
              <w:rPr>
                <w:rFonts w:hint="eastAsia" w:cs="Times New Roman"/>
                <w:b/>
                <w:bCs/>
                <w:color w:val="auto"/>
                <w:sz w:val="24"/>
                <w:vertAlign w:val="subscript"/>
                <w:lang w:val="en-US" w:eastAsia="zh-CN"/>
              </w:rPr>
              <w:t>S</w:t>
            </w:r>
            <w:r>
              <w:rPr>
                <w:rFonts w:hint="default" w:ascii="Times New Roman" w:hAnsi="Times New Roman" w:cs="Times New Roman"/>
                <w:b/>
                <w:bCs/>
                <w:color w:val="auto"/>
                <w:sz w:val="24"/>
              </w:rPr>
              <w:t>）污染防治技术政策》（生态环境部，2013年第31号公告）符合性分析见表1-</w:t>
            </w:r>
            <w:r>
              <w:rPr>
                <w:rFonts w:hint="eastAsia" w:ascii="Times New Roman" w:hAnsi="Times New Roman" w:cs="Times New Roman"/>
                <w:b/>
                <w:bCs/>
                <w:color w:val="auto"/>
                <w:sz w:val="24"/>
                <w:lang w:val="en-US" w:eastAsia="zh-CN"/>
              </w:rPr>
              <w:t>9</w:t>
            </w:r>
            <w:r>
              <w:rPr>
                <w:rFonts w:hint="default" w:ascii="Times New Roman" w:hAnsi="Times New Roman" w:cs="Times New Roman"/>
                <w:b/>
                <w:bCs/>
                <w:color w:val="auto"/>
                <w:sz w:val="24"/>
              </w:rPr>
              <w:t>。</w:t>
            </w:r>
          </w:p>
          <w:p w14:paraId="20359755">
            <w:pPr>
              <w:pStyle w:val="82"/>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cs="Times New Roman"/>
                <w:bCs/>
                <w:color w:val="auto"/>
              </w:rPr>
            </w:pPr>
            <w:r>
              <w:rPr>
                <w:rFonts w:hint="default" w:ascii="Times New Roman" w:hAnsi="Times New Roman" w:cs="Times New Roman"/>
                <w:bCs/>
                <w:color w:val="auto"/>
              </w:rPr>
              <w:t>表1-</w:t>
            </w:r>
            <w:r>
              <w:rPr>
                <w:rFonts w:hint="eastAsia" w:cs="Times New Roman"/>
                <w:bCs/>
                <w:color w:val="auto"/>
                <w:lang w:val="en-US" w:eastAsia="zh-CN"/>
              </w:rPr>
              <w:t xml:space="preserve">8  </w:t>
            </w:r>
            <w:r>
              <w:rPr>
                <w:rFonts w:hint="default" w:ascii="Times New Roman" w:hAnsi="Times New Roman" w:cs="Times New Roman"/>
                <w:bCs/>
                <w:color w:val="auto"/>
              </w:rPr>
              <w:t>与《挥发性有机物（VOC</w:t>
            </w:r>
            <w:r>
              <w:rPr>
                <w:rFonts w:hint="eastAsia" w:cs="Times New Roman"/>
                <w:b/>
                <w:bCs/>
                <w:color w:val="auto"/>
                <w:sz w:val="24"/>
                <w:vertAlign w:val="subscript"/>
                <w:lang w:val="en-US" w:eastAsia="zh-CN"/>
              </w:rPr>
              <w:t>S</w:t>
            </w:r>
            <w:r>
              <w:rPr>
                <w:rFonts w:hint="default" w:ascii="Times New Roman" w:hAnsi="Times New Roman" w:cs="Times New Roman"/>
                <w:bCs/>
                <w:color w:val="auto"/>
              </w:rPr>
              <w:t>）污染防治技术政策》符合性分析</w:t>
            </w:r>
          </w:p>
          <w:tbl>
            <w:tblPr>
              <w:tblStyle w:val="29"/>
              <w:tblW w:w="4996"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58"/>
              <w:gridCol w:w="3313"/>
              <w:gridCol w:w="3253"/>
              <w:gridCol w:w="875"/>
            </w:tblGrid>
            <w:tr w14:paraId="69632C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0" w:type="pct"/>
                  <w:vAlign w:val="center"/>
                </w:tcPr>
                <w:p w14:paraId="5A30EB99">
                  <w:pPr>
                    <w:keepNext w:val="0"/>
                    <w:keepLines w:val="0"/>
                    <w:suppressLineNumbers w:val="0"/>
                    <w:spacing w:before="0" w:beforeAutospacing="0" w:after="0" w:afterAutospacing="0" w:line="0" w:lineRule="atLeast"/>
                    <w:ind w:left="0" w:leftChars="0" w:right="0" w:firstLine="0" w:firstLineChars="0"/>
                    <w:jc w:val="center"/>
                    <w:rPr>
                      <w:rFonts w:hint="default" w:ascii="Times New Roman" w:hAnsi="Times New Roman" w:eastAsia="宋体" w:cs="Times New Roman"/>
                      <w:b w:val="0"/>
                      <w:bCs w:val="0"/>
                      <w:color w:val="auto"/>
                      <w:kern w:val="2"/>
                      <w:sz w:val="21"/>
                      <w:szCs w:val="21"/>
                      <w:vertAlign w:val="baseline"/>
                      <w:lang w:val="en-US" w:eastAsia="zh-CN"/>
                    </w:rPr>
                  </w:pPr>
                  <w:r>
                    <w:rPr>
                      <w:rFonts w:hint="default" w:ascii="Times New Roman" w:hAnsi="Times New Roman" w:eastAsia="宋体" w:cs="Times New Roman"/>
                      <w:b/>
                      <w:bCs w:val="0"/>
                      <w:color w:val="auto"/>
                      <w:kern w:val="2"/>
                      <w:sz w:val="21"/>
                      <w:szCs w:val="21"/>
                      <w:vertAlign w:val="baseline"/>
                      <w:lang w:val="en-US" w:eastAsia="zh-CN"/>
                    </w:rPr>
                    <w:t>序号</w:t>
                  </w:r>
                </w:p>
              </w:tc>
              <w:tc>
                <w:tcPr>
                  <w:tcW w:w="2096" w:type="pct"/>
                  <w:vAlign w:val="center"/>
                </w:tcPr>
                <w:p w14:paraId="2AB569BF">
                  <w:pPr>
                    <w:keepNext w:val="0"/>
                    <w:keepLines w:val="0"/>
                    <w:suppressLineNumbers w:val="0"/>
                    <w:spacing w:before="0" w:beforeAutospacing="0" w:after="0" w:afterAutospacing="0" w:line="0" w:lineRule="atLeast"/>
                    <w:ind w:left="0" w:leftChars="0" w:right="0" w:firstLine="0" w:firstLineChars="0"/>
                    <w:jc w:val="center"/>
                    <w:rPr>
                      <w:rFonts w:hint="default" w:ascii="Times New Roman" w:hAnsi="Times New Roman" w:eastAsia="宋体" w:cs="Times New Roman"/>
                      <w:b w:val="0"/>
                      <w:bCs w:val="0"/>
                      <w:color w:val="auto"/>
                      <w:kern w:val="2"/>
                      <w:sz w:val="21"/>
                      <w:szCs w:val="21"/>
                      <w:vertAlign w:val="baseline"/>
                      <w:lang w:val="en-US" w:eastAsia="zh-CN"/>
                    </w:rPr>
                  </w:pPr>
                  <w:r>
                    <w:rPr>
                      <w:rFonts w:hint="default" w:ascii="Times New Roman" w:hAnsi="Times New Roman" w:eastAsia="宋体" w:cs="Times New Roman"/>
                      <w:b/>
                      <w:bCs w:val="0"/>
                      <w:color w:val="auto"/>
                      <w:kern w:val="2"/>
                      <w:sz w:val="21"/>
                      <w:szCs w:val="21"/>
                      <w:vertAlign w:val="baseline"/>
                      <w:lang w:val="en-US" w:eastAsia="zh-CN"/>
                    </w:rPr>
                    <w:t>文件要求</w:t>
                  </w:r>
                </w:p>
              </w:tc>
              <w:tc>
                <w:tcPr>
                  <w:tcW w:w="2058" w:type="pct"/>
                  <w:vAlign w:val="center"/>
                </w:tcPr>
                <w:p w14:paraId="4FCFACF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rPr>
                  </w:pPr>
                  <w:r>
                    <w:rPr>
                      <w:rFonts w:hint="default"/>
                      <w:b/>
                      <w:bCs/>
                      <w:color w:val="auto"/>
                      <w:sz w:val="21"/>
                      <w:szCs w:val="21"/>
                    </w:rPr>
                    <w:t>本项目情况</w:t>
                  </w:r>
                </w:p>
              </w:tc>
              <w:tc>
                <w:tcPr>
                  <w:tcW w:w="553" w:type="pct"/>
                  <w:vAlign w:val="center"/>
                </w:tcPr>
                <w:p w14:paraId="5B00350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rPr>
                  </w:pPr>
                  <w:r>
                    <w:rPr>
                      <w:rFonts w:hint="eastAsia"/>
                      <w:b/>
                      <w:bCs/>
                      <w:color w:val="auto"/>
                      <w:sz w:val="21"/>
                      <w:szCs w:val="21"/>
                      <w:lang w:val="en-US" w:eastAsia="zh-CN"/>
                    </w:rPr>
                    <w:t>相符</w:t>
                  </w:r>
                  <w:r>
                    <w:rPr>
                      <w:rFonts w:hint="default"/>
                      <w:b/>
                      <w:bCs/>
                      <w:color w:val="auto"/>
                      <w:sz w:val="21"/>
                      <w:szCs w:val="21"/>
                    </w:rPr>
                    <w:t>性</w:t>
                  </w:r>
                </w:p>
              </w:tc>
            </w:tr>
            <w:tr w14:paraId="38F496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0" w:type="pct"/>
                  <w:vAlign w:val="center"/>
                </w:tcPr>
                <w:p w14:paraId="7BE265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1</w:t>
                  </w:r>
                </w:p>
              </w:tc>
              <w:tc>
                <w:tcPr>
                  <w:tcW w:w="2096" w:type="pct"/>
                  <w:vAlign w:val="center"/>
                </w:tcPr>
                <w:p w14:paraId="2462D6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default" w:ascii="Times New Roman" w:hAnsi="Times New Roman" w:eastAsia="宋体" w:cs="Times New Roman"/>
                      <w:b w:val="0"/>
                      <w:bCs/>
                      <w:color w:val="auto"/>
                      <w:kern w:val="2"/>
                      <w:sz w:val="21"/>
                      <w:szCs w:val="21"/>
                      <w:vertAlign w:val="baseline"/>
                      <w:lang w:val="en-US" w:eastAsia="zh-CN"/>
                    </w:rPr>
                    <w:t>在工业生产过程中鼓励 VOCs的回收利用，并优先鼓励在生产系统内回用。</w:t>
                  </w:r>
                </w:p>
              </w:tc>
              <w:tc>
                <w:tcPr>
                  <w:tcW w:w="2058" w:type="pct"/>
                  <w:vAlign w:val="center"/>
                </w:tcPr>
                <w:p w14:paraId="2123D9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本项目</w:t>
                  </w:r>
                  <w:r>
                    <w:rPr>
                      <w:rFonts w:hint="eastAsia" w:cs="Times New Roman"/>
                      <w:b w:val="0"/>
                      <w:bCs/>
                      <w:color w:val="auto"/>
                      <w:kern w:val="2"/>
                      <w:sz w:val="21"/>
                      <w:szCs w:val="21"/>
                      <w:vertAlign w:val="baseline"/>
                      <w:lang w:val="en-US" w:eastAsia="zh-CN"/>
                    </w:rPr>
                    <w:t>生产过程中产生的有机</w:t>
                  </w:r>
                  <w:r>
                    <w:rPr>
                      <w:rFonts w:hint="eastAsia" w:ascii="Times New Roman" w:hAnsi="Times New Roman" w:eastAsia="宋体" w:cs="Times New Roman"/>
                      <w:b w:val="0"/>
                      <w:bCs/>
                      <w:color w:val="auto"/>
                      <w:kern w:val="2"/>
                      <w:sz w:val="21"/>
                      <w:szCs w:val="21"/>
                      <w:vertAlign w:val="baseline"/>
                      <w:lang w:val="en-US" w:eastAsia="zh-CN"/>
                    </w:rPr>
                    <w:t>废气浓度低、回用价值不高，</w:t>
                  </w:r>
                  <w:r>
                    <w:rPr>
                      <w:rFonts w:hint="eastAsia" w:eastAsia="宋体" w:cs="Times New Roman"/>
                      <w:b w:val="0"/>
                      <w:bCs/>
                      <w:color w:val="auto"/>
                      <w:kern w:val="2"/>
                      <w:sz w:val="21"/>
                      <w:szCs w:val="21"/>
                      <w:vertAlign w:val="baseline"/>
                      <w:lang w:val="en-US" w:eastAsia="zh-CN"/>
                    </w:rPr>
                    <w:t>废气经</w:t>
                  </w:r>
                  <w:r>
                    <w:rPr>
                      <w:rFonts w:hint="eastAsia" w:cs="Times New Roman"/>
                      <w:b w:val="0"/>
                      <w:bCs/>
                      <w:color w:val="auto"/>
                      <w:kern w:val="2"/>
                      <w:sz w:val="21"/>
                      <w:szCs w:val="21"/>
                      <w:vertAlign w:val="baseline"/>
                      <w:lang w:val="en-US" w:eastAsia="zh-CN"/>
                    </w:rPr>
                    <w:t>收集后再经一套“二级</w:t>
                  </w:r>
                  <w:r>
                    <w:rPr>
                      <w:rFonts w:hint="eastAsia" w:ascii="Times New Roman" w:hAnsi="Times New Roman" w:eastAsia="宋体" w:cs="Times New Roman"/>
                      <w:b w:val="0"/>
                      <w:bCs/>
                      <w:color w:val="auto"/>
                      <w:kern w:val="2"/>
                      <w:sz w:val="21"/>
                      <w:szCs w:val="21"/>
                      <w:vertAlign w:val="baseline"/>
                      <w:lang w:val="en-US" w:eastAsia="zh-CN"/>
                    </w:rPr>
                    <w:t>活性炭吸附</w:t>
                  </w:r>
                  <w:r>
                    <w:rPr>
                      <w:rFonts w:hint="eastAsia" w:cs="Times New Roman"/>
                      <w:b w:val="0"/>
                      <w:bCs/>
                      <w:color w:val="auto"/>
                      <w:kern w:val="2"/>
                      <w:sz w:val="21"/>
                      <w:szCs w:val="21"/>
                      <w:vertAlign w:val="baseline"/>
                      <w:lang w:val="en-US" w:eastAsia="zh-CN"/>
                    </w:rPr>
                    <w:t>”装置处理后排放</w:t>
                  </w:r>
                  <w:r>
                    <w:rPr>
                      <w:rFonts w:hint="eastAsia" w:ascii="Times New Roman" w:hAnsi="Times New Roman" w:eastAsia="宋体" w:cs="Times New Roman"/>
                      <w:b w:val="0"/>
                      <w:bCs/>
                      <w:color w:val="auto"/>
                      <w:kern w:val="2"/>
                      <w:sz w:val="21"/>
                      <w:szCs w:val="21"/>
                      <w:vertAlign w:val="baseline"/>
                      <w:lang w:val="en-US" w:eastAsia="zh-CN"/>
                    </w:rPr>
                    <w:t>。</w:t>
                  </w:r>
                </w:p>
              </w:tc>
              <w:tc>
                <w:tcPr>
                  <w:tcW w:w="553" w:type="pct"/>
                  <w:vAlign w:val="center"/>
                </w:tcPr>
                <w:p w14:paraId="0F2B12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符合</w:t>
                  </w:r>
                </w:p>
              </w:tc>
            </w:tr>
            <w:tr w14:paraId="26DA56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0" w:type="pct"/>
                  <w:vAlign w:val="center"/>
                </w:tcPr>
                <w:p w14:paraId="268450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2</w:t>
                  </w:r>
                </w:p>
              </w:tc>
              <w:tc>
                <w:tcPr>
                  <w:tcW w:w="2096" w:type="pct"/>
                  <w:vAlign w:val="center"/>
                </w:tcPr>
                <w:p w14:paraId="102013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default" w:ascii="Times New Roman" w:hAnsi="Times New Roman" w:eastAsia="宋体" w:cs="Times New Roman"/>
                      <w:b w:val="0"/>
                      <w:bCs/>
                      <w:color w:val="auto"/>
                      <w:kern w:val="2"/>
                      <w:sz w:val="21"/>
                      <w:szCs w:val="21"/>
                      <w:vertAlign w:val="baseline"/>
                      <w:lang w:val="en-US" w:eastAsia="zh-CN"/>
                    </w:rPr>
                    <w:t>对于含低浓度 VOCs 的废气</w:t>
                  </w:r>
                  <w:r>
                    <w:rPr>
                      <w:rFonts w:hint="eastAsia" w:cs="Times New Roman"/>
                      <w:b w:val="0"/>
                      <w:bCs/>
                      <w:color w:val="auto"/>
                      <w:kern w:val="2"/>
                      <w:sz w:val="21"/>
                      <w:szCs w:val="21"/>
                      <w:vertAlign w:val="baseline"/>
                      <w:lang w:val="en-US" w:eastAsia="zh-CN"/>
                    </w:rPr>
                    <w:t>，</w:t>
                  </w:r>
                  <w:r>
                    <w:rPr>
                      <w:rFonts w:hint="default" w:ascii="Times New Roman" w:hAnsi="Times New Roman" w:eastAsia="宋体" w:cs="Times New Roman"/>
                      <w:b w:val="0"/>
                      <w:bCs/>
                      <w:color w:val="auto"/>
                      <w:kern w:val="2"/>
                      <w:sz w:val="21"/>
                      <w:szCs w:val="21"/>
                      <w:vertAlign w:val="baseline"/>
                      <w:lang w:val="en-US" w:eastAsia="zh-CN"/>
                    </w:rPr>
                    <w:t>有回收价值时可采用吸附技术、吸收技术对有机溶剂回收后达标排放</w:t>
                  </w:r>
                  <w:r>
                    <w:rPr>
                      <w:rFonts w:hint="eastAsia" w:cs="Times New Roman"/>
                      <w:b w:val="0"/>
                      <w:bCs/>
                      <w:color w:val="auto"/>
                      <w:kern w:val="2"/>
                      <w:sz w:val="21"/>
                      <w:szCs w:val="21"/>
                      <w:vertAlign w:val="baseline"/>
                      <w:lang w:val="en-US" w:eastAsia="zh-CN"/>
                    </w:rPr>
                    <w:t>：</w:t>
                  </w:r>
                  <w:r>
                    <w:rPr>
                      <w:rFonts w:hint="default" w:ascii="Times New Roman" w:hAnsi="Times New Roman" w:eastAsia="宋体" w:cs="Times New Roman"/>
                      <w:b w:val="0"/>
                      <w:bCs/>
                      <w:color w:val="auto"/>
                      <w:kern w:val="2"/>
                      <w:sz w:val="21"/>
                      <w:szCs w:val="21"/>
                      <w:vertAlign w:val="baseline"/>
                      <w:lang w:val="en-US" w:eastAsia="zh-CN"/>
                    </w:rPr>
                    <w:t>不宜回收时，可采用吸附浓缩燃烧技术、生物技术、吸收技术、等离子体技术或紫外光高级氧化技术等净化后达标排放。</w:t>
                  </w:r>
                </w:p>
              </w:tc>
              <w:tc>
                <w:tcPr>
                  <w:tcW w:w="2058" w:type="pct"/>
                  <w:vAlign w:val="center"/>
                </w:tcPr>
                <w:p w14:paraId="311BBE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本项目</w:t>
                  </w:r>
                  <w:r>
                    <w:rPr>
                      <w:rFonts w:hint="eastAsia" w:cs="Times New Roman"/>
                      <w:b w:val="0"/>
                      <w:bCs/>
                      <w:color w:val="auto"/>
                      <w:kern w:val="2"/>
                      <w:sz w:val="21"/>
                      <w:szCs w:val="21"/>
                      <w:vertAlign w:val="baseline"/>
                      <w:lang w:val="en-US" w:eastAsia="zh-CN"/>
                    </w:rPr>
                    <w:t>生产过程中产生的有机</w:t>
                  </w:r>
                  <w:r>
                    <w:rPr>
                      <w:rFonts w:hint="eastAsia" w:ascii="Times New Roman" w:hAnsi="Times New Roman" w:eastAsia="宋体" w:cs="Times New Roman"/>
                      <w:b w:val="0"/>
                      <w:bCs/>
                      <w:color w:val="auto"/>
                      <w:kern w:val="2"/>
                      <w:sz w:val="21"/>
                      <w:szCs w:val="21"/>
                      <w:vertAlign w:val="baseline"/>
                      <w:lang w:val="en-US" w:eastAsia="zh-CN"/>
                    </w:rPr>
                    <w:t>废气浓度低、回收价值不高，</w:t>
                  </w:r>
                  <w:r>
                    <w:rPr>
                      <w:rFonts w:hint="eastAsia" w:eastAsia="宋体" w:cs="Times New Roman"/>
                      <w:b w:val="0"/>
                      <w:bCs/>
                      <w:color w:val="auto"/>
                      <w:kern w:val="2"/>
                      <w:sz w:val="21"/>
                      <w:szCs w:val="21"/>
                      <w:vertAlign w:val="baseline"/>
                      <w:lang w:val="en-US" w:eastAsia="zh-CN"/>
                    </w:rPr>
                    <w:t>废气经</w:t>
                  </w:r>
                  <w:r>
                    <w:rPr>
                      <w:rFonts w:hint="eastAsia" w:cs="Times New Roman"/>
                      <w:b w:val="0"/>
                      <w:bCs/>
                      <w:color w:val="auto"/>
                      <w:kern w:val="2"/>
                      <w:sz w:val="21"/>
                      <w:szCs w:val="21"/>
                      <w:vertAlign w:val="baseline"/>
                      <w:lang w:val="en-US" w:eastAsia="zh-CN"/>
                    </w:rPr>
                    <w:t>收集后再经一套“二级</w:t>
                  </w:r>
                  <w:r>
                    <w:rPr>
                      <w:rFonts w:hint="eastAsia" w:ascii="Times New Roman" w:hAnsi="Times New Roman" w:eastAsia="宋体" w:cs="Times New Roman"/>
                      <w:b w:val="0"/>
                      <w:bCs/>
                      <w:color w:val="auto"/>
                      <w:kern w:val="2"/>
                      <w:sz w:val="21"/>
                      <w:szCs w:val="21"/>
                      <w:vertAlign w:val="baseline"/>
                      <w:lang w:val="en-US" w:eastAsia="zh-CN"/>
                    </w:rPr>
                    <w:t>活性炭吸附</w:t>
                  </w:r>
                  <w:r>
                    <w:rPr>
                      <w:rFonts w:hint="eastAsia" w:cs="Times New Roman"/>
                      <w:b w:val="0"/>
                      <w:bCs/>
                      <w:color w:val="auto"/>
                      <w:kern w:val="2"/>
                      <w:sz w:val="21"/>
                      <w:szCs w:val="21"/>
                      <w:vertAlign w:val="baseline"/>
                      <w:lang w:val="en-US" w:eastAsia="zh-CN"/>
                    </w:rPr>
                    <w:t>”装置处理后排放</w:t>
                  </w:r>
                  <w:r>
                    <w:rPr>
                      <w:rFonts w:hint="eastAsia" w:ascii="Times New Roman" w:hAnsi="Times New Roman" w:eastAsia="宋体" w:cs="Times New Roman"/>
                      <w:b w:val="0"/>
                      <w:bCs/>
                      <w:color w:val="auto"/>
                      <w:kern w:val="2"/>
                      <w:sz w:val="21"/>
                      <w:szCs w:val="21"/>
                      <w:vertAlign w:val="baseline"/>
                      <w:lang w:val="en-US" w:eastAsia="zh-CN"/>
                    </w:rPr>
                    <w:t>。</w:t>
                  </w:r>
                </w:p>
              </w:tc>
              <w:tc>
                <w:tcPr>
                  <w:tcW w:w="553" w:type="pct"/>
                  <w:vAlign w:val="center"/>
                </w:tcPr>
                <w:p w14:paraId="2EE40E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符合</w:t>
                  </w:r>
                </w:p>
              </w:tc>
            </w:tr>
            <w:tr w14:paraId="4D1230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290" w:type="pct"/>
                  <w:vAlign w:val="center"/>
                </w:tcPr>
                <w:p w14:paraId="015BD0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3</w:t>
                  </w:r>
                </w:p>
              </w:tc>
              <w:tc>
                <w:tcPr>
                  <w:tcW w:w="2096" w:type="pct"/>
                  <w:vAlign w:val="center"/>
                </w:tcPr>
                <w:p w14:paraId="2B4816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default" w:ascii="Times New Roman" w:hAnsi="Times New Roman" w:eastAsia="宋体" w:cs="Times New Roman"/>
                      <w:b w:val="0"/>
                      <w:bCs/>
                      <w:color w:val="auto"/>
                      <w:kern w:val="2"/>
                      <w:sz w:val="21"/>
                      <w:szCs w:val="21"/>
                      <w:vertAlign w:val="baseline"/>
                      <w:lang w:val="en-US" w:eastAsia="zh-CN"/>
                    </w:rPr>
                    <w:t>严格控制 VOCs 处理过程中产生的二次污染，对于催化燃烧和热力焚烧过程中产生的含硫、氮、氯等无机废气，以及吸附、吸收、冷凝、生物等治理过程中所产生的含有机物废水，应处理后达标排放。</w:t>
                  </w:r>
                </w:p>
              </w:tc>
              <w:tc>
                <w:tcPr>
                  <w:tcW w:w="2058" w:type="pct"/>
                  <w:vAlign w:val="center"/>
                </w:tcPr>
                <w:p w14:paraId="061F03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本项目</w:t>
                  </w:r>
                  <w:r>
                    <w:rPr>
                      <w:rFonts w:hint="eastAsia" w:cs="Times New Roman"/>
                      <w:b w:val="0"/>
                      <w:bCs/>
                      <w:color w:val="auto"/>
                      <w:kern w:val="2"/>
                      <w:sz w:val="21"/>
                      <w:szCs w:val="21"/>
                      <w:vertAlign w:val="baseline"/>
                      <w:lang w:val="en-US" w:eastAsia="zh-CN"/>
                    </w:rPr>
                    <w:t>生产过程中产生的有机</w:t>
                  </w:r>
                  <w:r>
                    <w:rPr>
                      <w:rFonts w:hint="eastAsia" w:ascii="Times New Roman" w:hAnsi="Times New Roman" w:eastAsia="宋体" w:cs="Times New Roman"/>
                      <w:b w:val="0"/>
                      <w:bCs/>
                      <w:color w:val="auto"/>
                      <w:kern w:val="2"/>
                      <w:sz w:val="21"/>
                      <w:szCs w:val="21"/>
                      <w:vertAlign w:val="baseline"/>
                      <w:lang w:val="en-US" w:eastAsia="zh-CN"/>
                    </w:rPr>
                    <w:t>废气浓度低、回收价值不高，</w:t>
                  </w:r>
                  <w:r>
                    <w:rPr>
                      <w:rFonts w:hint="eastAsia" w:eastAsia="宋体" w:cs="Times New Roman"/>
                      <w:b w:val="0"/>
                      <w:bCs/>
                      <w:color w:val="auto"/>
                      <w:kern w:val="2"/>
                      <w:sz w:val="21"/>
                      <w:szCs w:val="21"/>
                      <w:vertAlign w:val="baseline"/>
                      <w:lang w:val="en-US" w:eastAsia="zh-CN"/>
                    </w:rPr>
                    <w:t>废气经</w:t>
                  </w:r>
                  <w:r>
                    <w:rPr>
                      <w:rFonts w:hint="eastAsia" w:cs="Times New Roman"/>
                      <w:b w:val="0"/>
                      <w:bCs/>
                      <w:color w:val="auto"/>
                      <w:kern w:val="2"/>
                      <w:sz w:val="21"/>
                      <w:szCs w:val="21"/>
                      <w:vertAlign w:val="baseline"/>
                      <w:lang w:val="en-US" w:eastAsia="zh-CN"/>
                    </w:rPr>
                    <w:t>收集后再经一套“二级</w:t>
                  </w:r>
                  <w:r>
                    <w:rPr>
                      <w:rFonts w:hint="eastAsia" w:ascii="Times New Roman" w:hAnsi="Times New Roman" w:eastAsia="宋体" w:cs="Times New Roman"/>
                      <w:b w:val="0"/>
                      <w:bCs/>
                      <w:color w:val="auto"/>
                      <w:kern w:val="2"/>
                      <w:sz w:val="21"/>
                      <w:szCs w:val="21"/>
                      <w:vertAlign w:val="baseline"/>
                      <w:lang w:val="en-US" w:eastAsia="zh-CN"/>
                    </w:rPr>
                    <w:t>活性炭吸附</w:t>
                  </w:r>
                  <w:r>
                    <w:rPr>
                      <w:rFonts w:hint="eastAsia" w:cs="Times New Roman"/>
                      <w:b w:val="0"/>
                      <w:bCs/>
                      <w:color w:val="auto"/>
                      <w:kern w:val="2"/>
                      <w:sz w:val="21"/>
                      <w:szCs w:val="21"/>
                      <w:vertAlign w:val="baseline"/>
                      <w:lang w:val="en-US" w:eastAsia="zh-CN"/>
                    </w:rPr>
                    <w:t>”装置处理后排放</w:t>
                  </w:r>
                  <w:r>
                    <w:rPr>
                      <w:rFonts w:hint="eastAsia" w:ascii="Times New Roman" w:hAnsi="Times New Roman" w:eastAsia="宋体" w:cs="Times New Roman"/>
                      <w:b w:val="0"/>
                      <w:bCs/>
                      <w:color w:val="auto"/>
                      <w:kern w:val="2"/>
                      <w:sz w:val="21"/>
                      <w:szCs w:val="21"/>
                      <w:vertAlign w:val="baseline"/>
                      <w:lang w:val="en-US" w:eastAsia="zh-CN"/>
                    </w:rPr>
                    <w:t>。废活性炭作为危险废物委托有相应资质单位处置，项目</w:t>
                  </w:r>
                  <w:r>
                    <w:rPr>
                      <w:rFonts w:hint="eastAsia" w:cs="Times New Roman"/>
                      <w:b w:val="0"/>
                      <w:bCs/>
                      <w:color w:val="auto"/>
                      <w:kern w:val="2"/>
                      <w:sz w:val="21"/>
                      <w:szCs w:val="21"/>
                      <w:vertAlign w:val="baseline"/>
                      <w:lang w:val="en-US" w:eastAsia="zh-CN"/>
                    </w:rPr>
                    <w:t>有机废气</w:t>
                  </w:r>
                  <w:r>
                    <w:rPr>
                      <w:rFonts w:hint="eastAsia" w:ascii="Times New Roman" w:hAnsi="Times New Roman" w:eastAsia="宋体" w:cs="Times New Roman"/>
                      <w:b w:val="0"/>
                      <w:bCs/>
                      <w:color w:val="auto"/>
                      <w:kern w:val="2"/>
                      <w:sz w:val="21"/>
                      <w:szCs w:val="21"/>
                      <w:vertAlign w:val="baseline"/>
                      <w:lang w:val="en-US" w:eastAsia="zh-CN"/>
                    </w:rPr>
                    <w:t>处理过程不会产生二次污染。</w:t>
                  </w:r>
                </w:p>
              </w:tc>
              <w:tc>
                <w:tcPr>
                  <w:tcW w:w="553" w:type="pct"/>
                  <w:vAlign w:val="center"/>
                </w:tcPr>
                <w:p w14:paraId="1F99F0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符合</w:t>
                  </w:r>
                </w:p>
              </w:tc>
            </w:tr>
            <w:tr w14:paraId="13294F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0" w:type="pct"/>
                  <w:vAlign w:val="center"/>
                </w:tcPr>
                <w:p w14:paraId="0848DC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4</w:t>
                  </w:r>
                </w:p>
              </w:tc>
              <w:tc>
                <w:tcPr>
                  <w:tcW w:w="2096" w:type="pct"/>
                  <w:vAlign w:val="center"/>
                </w:tcPr>
                <w:p w14:paraId="1084B3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default" w:ascii="Times New Roman" w:hAnsi="Times New Roman" w:eastAsia="宋体" w:cs="Times New Roman"/>
                      <w:b w:val="0"/>
                      <w:bCs/>
                      <w:color w:val="auto"/>
                      <w:kern w:val="2"/>
                      <w:sz w:val="21"/>
                      <w:szCs w:val="21"/>
                      <w:vertAlign w:val="baseline"/>
                      <w:lang w:val="en-US" w:eastAsia="zh-CN"/>
                    </w:rPr>
                    <w:t>鼓励企业自行开展 VOCs 监测，并及时主动向当地环保行政主管部门报送监测结果。</w:t>
                  </w:r>
                </w:p>
              </w:tc>
              <w:tc>
                <w:tcPr>
                  <w:tcW w:w="2058" w:type="pct"/>
                  <w:vAlign w:val="center"/>
                </w:tcPr>
                <w:p w14:paraId="0DC354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本项目投产后拟按要求开展废气自行监测</w:t>
                  </w:r>
                </w:p>
              </w:tc>
              <w:tc>
                <w:tcPr>
                  <w:tcW w:w="553" w:type="pct"/>
                  <w:vAlign w:val="center"/>
                </w:tcPr>
                <w:p w14:paraId="7D47C3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符合</w:t>
                  </w:r>
                </w:p>
              </w:tc>
            </w:tr>
            <w:tr w14:paraId="7A20A8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0" w:type="pct"/>
                  <w:vAlign w:val="center"/>
                </w:tcPr>
                <w:p w14:paraId="657EA7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5</w:t>
                  </w:r>
                </w:p>
              </w:tc>
              <w:tc>
                <w:tcPr>
                  <w:tcW w:w="2096" w:type="pct"/>
                  <w:vAlign w:val="center"/>
                </w:tcPr>
                <w:p w14:paraId="5299B2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default" w:ascii="Times New Roman" w:hAnsi="Times New Roman" w:eastAsia="宋体" w:cs="Times New Roman"/>
                      <w:b w:val="0"/>
                      <w:bCs/>
                      <w:color w:val="auto"/>
                      <w:kern w:val="2"/>
                      <w:sz w:val="21"/>
                      <w:szCs w:val="21"/>
                      <w:vertAlign w:val="baseline"/>
                      <w:lang w:val="en-US" w:eastAsia="zh-CN"/>
                    </w:rPr>
                    <w:t>企业应建立健全 VOCs 治理设施的运行维护规程和台帐等日常管理制度，并根据工艺要求定期对各类设备、电气、自控仪表等进行检修维护，确保设施的稳定运行。</w:t>
                  </w:r>
                </w:p>
              </w:tc>
              <w:tc>
                <w:tcPr>
                  <w:tcW w:w="2058" w:type="pct"/>
                  <w:vAlign w:val="center"/>
                </w:tcPr>
                <w:p w14:paraId="79C725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本项目建立健全</w:t>
                  </w:r>
                  <w:r>
                    <w:rPr>
                      <w:rFonts w:hint="eastAsia" w:cs="Times New Roman"/>
                      <w:b w:val="0"/>
                      <w:bCs/>
                      <w:color w:val="auto"/>
                      <w:kern w:val="2"/>
                      <w:sz w:val="21"/>
                      <w:szCs w:val="21"/>
                      <w:vertAlign w:val="baseline"/>
                      <w:lang w:val="en-US" w:eastAsia="zh-CN"/>
                    </w:rPr>
                    <w:t>有机废气</w:t>
                  </w:r>
                  <w:r>
                    <w:rPr>
                      <w:rFonts w:hint="eastAsia" w:ascii="Times New Roman" w:hAnsi="Times New Roman" w:eastAsia="宋体" w:cs="Times New Roman"/>
                      <w:b w:val="0"/>
                      <w:bCs/>
                      <w:color w:val="auto"/>
                      <w:kern w:val="2"/>
                      <w:sz w:val="21"/>
                      <w:szCs w:val="21"/>
                      <w:vertAlign w:val="baseline"/>
                      <w:lang w:val="en-US" w:eastAsia="zh-CN"/>
                    </w:rPr>
                    <w:t>治理设施的运行维护规程和台帐等日常管理制度，并根据工艺要求定期对各类设备、电气、自控仪表等进行检修维护，确保设施的稳定运行。</w:t>
                  </w:r>
                </w:p>
              </w:tc>
              <w:tc>
                <w:tcPr>
                  <w:tcW w:w="553" w:type="pct"/>
                  <w:vAlign w:val="center"/>
                </w:tcPr>
                <w:p w14:paraId="08306A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符合</w:t>
                  </w:r>
                </w:p>
              </w:tc>
            </w:tr>
            <w:tr w14:paraId="7B29B7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 w:hRule="atLeast"/>
              </w:trPr>
              <w:tc>
                <w:tcPr>
                  <w:tcW w:w="290" w:type="pct"/>
                  <w:vAlign w:val="center"/>
                </w:tcPr>
                <w:p w14:paraId="4620CF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6</w:t>
                  </w:r>
                </w:p>
              </w:tc>
              <w:tc>
                <w:tcPr>
                  <w:tcW w:w="2096" w:type="pct"/>
                  <w:vAlign w:val="center"/>
                </w:tcPr>
                <w:p w14:paraId="4A6ADB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default" w:ascii="Times New Roman" w:hAnsi="Times New Roman" w:eastAsia="宋体" w:cs="Times New Roman"/>
                      <w:b w:val="0"/>
                      <w:bCs/>
                      <w:color w:val="auto"/>
                      <w:kern w:val="2"/>
                      <w:sz w:val="21"/>
                      <w:szCs w:val="21"/>
                      <w:vertAlign w:val="baseline"/>
                      <w:lang w:val="en-US" w:eastAsia="zh-CN"/>
                    </w:rPr>
                    <w:t>对于不能再生的过滤材料、吸附剂及催化剂等净化材料，应按照国家固体废物管理的相关规定处理处置</w:t>
                  </w:r>
                  <w:r>
                    <w:rPr>
                      <w:rFonts w:hint="eastAsia" w:cs="Times New Roman"/>
                      <w:b w:val="0"/>
                      <w:bCs/>
                      <w:color w:val="auto"/>
                      <w:kern w:val="2"/>
                      <w:sz w:val="21"/>
                      <w:szCs w:val="21"/>
                      <w:vertAlign w:val="baseline"/>
                      <w:lang w:val="en-US" w:eastAsia="zh-CN"/>
                    </w:rPr>
                    <w:t>。</w:t>
                  </w:r>
                </w:p>
              </w:tc>
              <w:tc>
                <w:tcPr>
                  <w:tcW w:w="2058" w:type="pct"/>
                  <w:vAlign w:val="center"/>
                </w:tcPr>
                <w:p w14:paraId="68D2B4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本项目产生的废活性炭委托有资质的单位处置</w:t>
                  </w:r>
                </w:p>
              </w:tc>
              <w:tc>
                <w:tcPr>
                  <w:tcW w:w="553" w:type="pct"/>
                  <w:vAlign w:val="center"/>
                </w:tcPr>
                <w:p w14:paraId="51A358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vertAlign w:val="baseline"/>
                      <w:lang w:val="en-US" w:eastAsia="zh-CN"/>
                    </w:rPr>
                  </w:pPr>
                  <w:r>
                    <w:rPr>
                      <w:rFonts w:hint="eastAsia" w:ascii="Times New Roman" w:hAnsi="Times New Roman" w:eastAsia="宋体" w:cs="Times New Roman"/>
                      <w:b w:val="0"/>
                      <w:bCs/>
                      <w:color w:val="auto"/>
                      <w:kern w:val="2"/>
                      <w:sz w:val="21"/>
                      <w:szCs w:val="21"/>
                      <w:vertAlign w:val="baseline"/>
                      <w:lang w:val="en-US" w:eastAsia="zh-CN"/>
                    </w:rPr>
                    <w:t>符合</w:t>
                  </w:r>
                </w:p>
              </w:tc>
            </w:tr>
          </w:tbl>
          <w:p w14:paraId="2708C7AB">
            <w:pPr>
              <w:pStyle w:val="80"/>
              <w:ind w:firstLine="480" w:firstLineChars="200"/>
              <w:rPr>
                <w:rFonts w:eastAsia="宋体"/>
                <w:color w:val="auto"/>
              </w:rPr>
            </w:pPr>
            <w:r>
              <w:rPr>
                <w:rFonts w:eastAsia="宋体"/>
                <w:color w:val="auto"/>
              </w:rPr>
              <w:t>综上所述，本项目符合《挥发性有机物（VOC</w:t>
            </w:r>
            <w:r>
              <w:rPr>
                <w:rFonts w:hint="eastAsia" w:eastAsia="宋体"/>
                <w:color w:val="auto"/>
                <w:vertAlign w:val="subscript"/>
              </w:rPr>
              <w:t>S</w:t>
            </w:r>
            <w:r>
              <w:rPr>
                <w:rFonts w:eastAsia="宋体"/>
                <w:color w:val="auto"/>
              </w:rPr>
              <w:t>）污染防治技术政策》中相关要求</w:t>
            </w:r>
            <w:r>
              <w:rPr>
                <w:rFonts w:hint="eastAsia" w:eastAsia="宋体"/>
                <w:color w:val="auto"/>
              </w:rPr>
              <w:t>。</w:t>
            </w:r>
          </w:p>
          <w:p w14:paraId="07CFFFED">
            <w:pPr>
              <w:pStyle w:val="17"/>
              <w:adjustRightInd/>
              <w:snapToGrid/>
              <w:spacing w:line="360" w:lineRule="auto"/>
              <w:ind w:firstLine="482"/>
              <w:jc w:val="left"/>
              <w:rPr>
                <w:rFonts w:ascii="Times New Roman"/>
                <w:b/>
                <w:bCs/>
                <w:color w:val="auto"/>
              </w:rPr>
            </w:pPr>
            <w:r>
              <w:rPr>
                <w:rFonts w:hint="eastAsia" w:ascii="Times New Roman"/>
                <w:b/>
                <w:bCs/>
                <w:color w:val="auto"/>
                <w:lang w:val="en-US" w:eastAsia="zh-CN"/>
              </w:rPr>
              <w:t>10</w:t>
            </w:r>
            <w:r>
              <w:rPr>
                <w:rFonts w:hint="eastAsia" w:ascii="Times New Roman"/>
                <w:b/>
                <w:bCs/>
                <w:color w:val="auto"/>
              </w:rPr>
              <w:t>、</w:t>
            </w:r>
            <w:r>
              <w:rPr>
                <w:rFonts w:ascii="Times New Roman"/>
                <w:b/>
                <w:bCs/>
                <w:color w:val="auto"/>
              </w:rPr>
              <w:t>本项目与《挥发性有机物无组织排放控制标准》（GB 37822—2019）的相符性分析</w:t>
            </w:r>
          </w:p>
          <w:p w14:paraId="346876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auto"/>
                <w:sz w:val="24"/>
              </w:rPr>
            </w:pPr>
            <w:r>
              <w:rPr>
                <w:b/>
                <w:bCs/>
                <w:color w:val="auto"/>
                <w:sz w:val="24"/>
              </w:rPr>
              <w:t>表1-</w:t>
            </w:r>
            <w:r>
              <w:rPr>
                <w:rFonts w:hint="eastAsia"/>
                <w:b/>
                <w:bCs/>
                <w:color w:val="auto"/>
                <w:sz w:val="24"/>
                <w:lang w:val="en-US" w:eastAsia="zh-CN"/>
              </w:rPr>
              <w:t xml:space="preserve">9  </w:t>
            </w:r>
            <w:r>
              <w:rPr>
                <w:b/>
                <w:bCs/>
                <w:color w:val="auto"/>
                <w:sz w:val="24"/>
              </w:rPr>
              <w:t>项目与《挥发性有机物无组织排放控制标准》（GB37822-2019）相符性分析</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914"/>
              <w:gridCol w:w="786"/>
              <w:gridCol w:w="3538"/>
              <w:gridCol w:w="1916"/>
              <w:gridCol w:w="748"/>
            </w:tblGrid>
            <w:tr w14:paraId="705B20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3" w:hRule="atLeast"/>
                <w:jc w:val="center"/>
              </w:trPr>
              <w:tc>
                <w:tcPr>
                  <w:tcW w:w="1076" w:type="pct"/>
                  <w:gridSpan w:val="2"/>
                  <w:noWrap w:val="0"/>
                  <w:vAlign w:val="center"/>
                </w:tcPr>
                <w:p w14:paraId="3CF7A2E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auto"/>
                    <w:rPr>
                      <w:rFonts w:hint="default"/>
                      <w:b/>
                      <w:bCs/>
                      <w:color w:val="auto"/>
                      <w:sz w:val="21"/>
                      <w:szCs w:val="21"/>
                    </w:rPr>
                  </w:pPr>
                  <w:r>
                    <w:rPr>
                      <w:rFonts w:hint="default"/>
                      <w:b/>
                      <w:bCs/>
                      <w:color w:val="auto"/>
                      <w:sz w:val="21"/>
                      <w:szCs w:val="21"/>
                    </w:rPr>
                    <w:t>类 别</w:t>
                  </w:r>
                </w:p>
              </w:tc>
              <w:tc>
                <w:tcPr>
                  <w:tcW w:w="2238" w:type="pct"/>
                  <w:noWrap w:val="0"/>
                  <w:vAlign w:val="center"/>
                </w:tcPr>
                <w:p w14:paraId="22FA79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auto"/>
                    <w:rPr>
                      <w:rFonts w:hint="default"/>
                      <w:b/>
                      <w:bCs/>
                      <w:color w:val="auto"/>
                      <w:sz w:val="21"/>
                      <w:szCs w:val="21"/>
                    </w:rPr>
                  </w:pPr>
                  <w:r>
                    <w:rPr>
                      <w:rFonts w:hint="default"/>
                      <w:b/>
                      <w:bCs/>
                      <w:color w:val="auto"/>
                      <w:sz w:val="21"/>
                      <w:szCs w:val="21"/>
                    </w:rPr>
                    <w:t>《挥发性有机物无组织排放控制标准》相关要求</w:t>
                  </w:r>
                </w:p>
              </w:tc>
              <w:tc>
                <w:tcPr>
                  <w:tcW w:w="1212" w:type="pct"/>
                  <w:noWrap w:val="0"/>
                  <w:vAlign w:val="center"/>
                </w:tcPr>
                <w:p w14:paraId="051CC0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auto"/>
                    <w:rPr>
                      <w:rFonts w:hint="default"/>
                      <w:b/>
                      <w:bCs/>
                      <w:color w:val="auto"/>
                      <w:sz w:val="21"/>
                      <w:szCs w:val="21"/>
                    </w:rPr>
                  </w:pPr>
                  <w:r>
                    <w:rPr>
                      <w:rFonts w:hint="default"/>
                      <w:b/>
                      <w:bCs/>
                      <w:color w:val="auto"/>
                      <w:sz w:val="21"/>
                      <w:szCs w:val="21"/>
                    </w:rPr>
                    <w:t>本项目情况</w:t>
                  </w:r>
                </w:p>
              </w:tc>
              <w:tc>
                <w:tcPr>
                  <w:tcW w:w="473" w:type="pct"/>
                  <w:noWrap w:val="0"/>
                  <w:vAlign w:val="center"/>
                </w:tcPr>
                <w:p w14:paraId="144A03A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auto"/>
                    <w:rPr>
                      <w:rFonts w:hint="eastAsia" w:eastAsia="宋体"/>
                      <w:b/>
                      <w:bCs/>
                      <w:color w:val="auto"/>
                      <w:sz w:val="21"/>
                      <w:szCs w:val="21"/>
                      <w:lang w:val="en-US" w:eastAsia="zh-CN"/>
                    </w:rPr>
                  </w:pPr>
                  <w:r>
                    <w:rPr>
                      <w:rFonts w:hint="eastAsia"/>
                      <w:b/>
                      <w:bCs/>
                      <w:color w:val="auto"/>
                      <w:sz w:val="21"/>
                      <w:szCs w:val="21"/>
                      <w:lang w:val="en-US" w:eastAsia="zh-CN"/>
                    </w:rPr>
                    <w:t>相符性</w:t>
                  </w:r>
                </w:p>
              </w:tc>
            </w:tr>
            <w:tr w14:paraId="5903B1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79" w:type="pct"/>
                  <w:noWrap w:val="0"/>
                  <w:vAlign w:val="center"/>
                </w:tcPr>
                <w:p w14:paraId="4B570886">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center"/>
                    <w:textAlignment w:val="auto"/>
                    <w:rPr>
                      <w:rFonts w:hint="default"/>
                      <w:color w:val="auto"/>
                      <w:kern w:val="0"/>
                      <w:sz w:val="21"/>
                      <w:szCs w:val="21"/>
                    </w:rPr>
                  </w:pP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kern w:val="0"/>
                      <w:sz w:val="21"/>
                      <w:szCs w:val="21"/>
                    </w:rPr>
                    <w:t>无组织排放废气收集处理系统要求</w:t>
                  </w:r>
                </w:p>
              </w:tc>
              <w:tc>
                <w:tcPr>
                  <w:tcW w:w="496" w:type="pct"/>
                  <w:noWrap w:val="0"/>
                  <w:vAlign w:val="center"/>
                </w:tcPr>
                <w:p w14:paraId="0CF714BB">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center"/>
                    <w:textAlignment w:val="auto"/>
                    <w:rPr>
                      <w:rFonts w:hint="default"/>
                      <w:color w:val="auto"/>
                      <w:sz w:val="21"/>
                      <w:szCs w:val="21"/>
                    </w:rPr>
                  </w:pPr>
                  <w:r>
                    <w:rPr>
                      <w:rFonts w:hint="default"/>
                      <w:color w:val="auto"/>
                      <w:sz w:val="21"/>
                      <w:szCs w:val="21"/>
                    </w:rPr>
                    <w:t>基本要求</w:t>
                  </w:r>
                </w:p>
              </w:tc>
              <w:tc>
                <w:tcPr>
                  <w:tcW w:w="2238" w:type="pct"/>
                  <w:noWrap w:val="0"/>
                  <w:vAlign w:val="center"/>
                </w:tcPr>
                <w:p w14:paraId="41979A50">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both"/>
                    <w:textAlignment w:val="auto"/>
                    <w:rPr>
                      <w:rFonts w:hint="eastAsia" w:eastAsia="宋体"/>
                      <w:color w:val="auto"/>
                      <w:spacing w:val="-11"/>
                      <w:sz w:val="21"/>
                      <w:szCs w:val="21"/>
                      <w:lang w:eastAsia="zh-CN"/>
                    </w:rPr>
                  </w:pPr>
                  <w:r>
                    <w:rPr>
                      <w:rFonts w:hint="default"/>
                      <w:color w:val="auto"/>
                      <w:spacing w:val="0"/>
                      <w:kern w:val="0"/>
                      <w:sz w:val="21"/>
                      <w:szCs w:val="21"/>
                    </w:rPr>
                    <w:t>VOC</w:t>
                  </w:r>
                  <w:r>
                    <w:rPr>
                      <w:rFonts w:hint="eastAsia"/>
                      <w:color w:val="auto"/>
                      <w:spacing w:val="0"/>
                      <w:kern w:val="0"/>
                      <w:sz w:val="21"/>
                      <w:szCs w:val="21"/>
                      <w:vertAlign w:val="subscript"/>
                      <w:lang w:val="en-US" w:eastAsia="zh-CN"/>
                    </w:rPr>
                    <w:t>S</w:t>
                  </w:r>
                  <w:r>
                    <w:rPr>
                      <w:rFonts w:hint="default"/>
                      <w:color w:val="auto"/>
                      <w:spacing w:val="0"/>
                      <w:kern w:val="0"/>
                      <w:sz w:val="21"/>
                      <w:szCs w:val="21"/>
                    </w:rPr>
                    <w:t>物料应储存于密闭的容器、包装袋、储罐、储库、料仓中</w:t>
                  </w:r>
                  <w:r>
                    <w:rPr>
                      <w:rFonts w:hint="eastAsia"/>
                      <w:color w:val="auto"/>
                      <w:spacing w:val="0"/>
                      <w:kern w:val="0"/>
                      <w:sz w:val="21"/>
                      <w:szCs w:val="21"/>
                      <w:lang w:eastAsia="zh-CN"/>
                    </w:rPr>
                    <w:t>；</w:t>
                  </w:r>
                  <w:r>
                    <w:rPr>
                      <w:rFonts w:hint="default"/>
                      <w:color w:val="auto"/>
                      <w:spacing w:val="0"/>
                      <w:kern w:val="0"/>
                      <w:sz w:val="21"/>
                      <w:szCs w:val="21"/>
                    </w:rPr>
                    <w:t>盛装VOC</w:t>
                  </w:r>
                  <w:r>
                    <w:rPr>
                      <w:rFonts w:hint="eastAsia"/>
                      <w:color w:val="auto"/>
                      <w:spacing w:val="0"/>
                      <w:kern w:val="0"/>
                      <w:sz w:val="21"/>
                      <w:szCs w:val="21"/>
                      <w:vertAlign w:val="subscript"/>
                      <w:lang w:val="en-US" w:eastAsia="zh-CN"/>
                    </w:rPr>
                    <w:t>S</w:t>
                  </w:r>
                  <w:r>
                    <w:rPr>
                      <w:rFonts w:hint="default"/>
                      <w:color w:val="auto"/>
                      <w:spacing w:val="0"/>
                      <w:kern w:val="0"/>
                      <w:sz w:val="21"/>
                      <w:szCs w:val="21"/>
                    </w:rPr>
                    <w:t>物料的容器或包装袋应存放于室内，或存放于设置有雨棚、遮阳和防渗设施的专用场地</w:t>
                  </w:r>
                  <w:r>
                    <w:rPr>
                      <w:rFonts w:hint="eastAsia"/>
                      <w:color w:val="auto"/>
                      <w:spacing w:val="0"/>
                      <w:kern w:val="0"/>
                      <w:sz w:val="21"/>
                      <w:szCs w:val="21"/>
                      <w:lang w:eastAsia="zh-CN"/>
                    </w:rPr>
                    <w:t>；</w:t>
                  </w:r>
                  <w:r>
                    <w:rPr>
                      <w:rFonts w:hint="default"/>
                      <w:color w:val="auto"/>
                      <w:spacing w:val="0"/>
                      <w:kern w:val="0"/>
                      <w:sz w:val="21"/>
                      <w:szCs w:val="21"/>
                    </w:rPr>
                    <w:t>盛装VOC</w:t>
                  </w:r>
                  <w:r>
                    <w:rPr>
                      <w:rFonts w:hint="eastAsia"/>
                      <w:color w:val="auto"/>
                      <w:spacing w:val="0"/>
                      <w:kern w:val="0"/>
                      <w:sz w:val="21"/>
                      <w:szCs w:val="21"/>
                      <w:vertAlign w:val="subscript"/>
                      <w:lang w:val="en-US" w:eastAsia="zh-CN"/>
                    </w:rPr>
                    <w:t>S</w:t>
                  </w:r>
                  <w:r>
                    <w:rPr>
                      <w:rFonts w:hint="default"/>
                      <w:color w:val="auto"/>
                      <w:spacing w:val="0"/>
                      <w:kern w:val="0"/>
                      <w:sz w:val="21"/>
                      <w:szCs w:val="21"/>
                    </w:rPr>
                    <w:t>物料的容器或包装袋在非取用状态时应加盖、封口，保持密闭</w:t>
                  </w:r>
                  <w:r>
                    <w:rPr>
                      <w:rFonts w:hint="eastAsia"/>
                      <w:color w:val="auto"/>
                      <w:spacing w:val="0"/>
                      <w:kern w:val="0"/>
                      <w:sz w:val="21"/>
                      <w:szCs w:val="21"/>
                      <w:lang w:eastAsia="zh-CN"/>
                    </w:rPr>
                    <w:t>；</w:t>
                  </w:r>
                  <w:r>
                    <w:rPr>
                      <w:rFonts w:hint="default"/>
                      <w:color w:val="auto"/>
                      <w:spacing w:val="0"/>
                      <w:kern w:val="0"/>
                      <w:sz w:val="21"/>
                      <w:szCs w:val="21"/>
                    </w:rPr>
                    <w:t>VOC</w:t>
                  </w:r>
                  <w:r>
                    <w:rPr>
                      <w:rFonts w:hint="eastAsia"/>
                      <w:color w:val="auto"/>
                      <w:spacing w:val="0"/>
                      <w:kern w:val="0"/>
                      <w:sz w:val="21"/>
                      <w:szCs w:val="21"/>
                      <w:vertAlign w:val="subscript"/>
                      <w:lang w:val="en-US" w:eastAsia="zh-CN"/>
                    </w:rPr>
                    <w:t>S</w:t>
                  </w:r>
                  <w:r>
                    <w:rPr>
                      <w:rFonts w:hint="default"/>
                      <w:color w:val="auto"/>
                      <w:spacing w:val="0"/>
                      <w:kern w:val="0"/>
                      <w:sz w:val="21"/>
                      <w:szCs w:val="21"/>
                    </w:rPr>
                    <w:t>物料储罐应密封良好，其中挥发性有机液体储罐应符合5.2条规定</w:t>
                  </w:r>
                  <w:r>
                    <w:rPr>
                      <w:rFonts w:hint="eastAsia"/>
                      <w:color w:val="auto"/>
                      <w:spacing w:val="0"/>
                      <w:kern w:val="0"/>
                      <w:sz w:val="21"/>
                      <w:szCs w:val="21"/>
                      <w:lang w:eastAsia="zh-CN"/>
                    </w:rPr>
                    <w:t>；</w:t>
                  </w:r>
                  <w:r>
                    <w:rPr>
                      <w:rFonts w:hint="default"/>
                      <w:color w:val="auto"/>
                      <w:spacing w:val="0"/>
                      <w:kern w:val="0"/>
                      <w:sz w:val="21"/>
                      <w:szCs w:val="21"/>
                    </w:rPr>
                    <w:t>VOC</w:t>
                  </w:r>
                  <w:r>
                    <w:rPr>
                      <w:rFonts w:hint="eastAsia"/>
                      <w:color w:val="auto"/>
                      <w:spacing w:val="0"/>
                      <w:kern w:val="0"/>
                      <w:sz w:val="21"/>
                      <w:szCs w:val="21"/>
                      <w:vertAlign w:val="subscript"/>
                      <w:lang w:val="en-US" w:eastAsia="zh-CN"/>
                    </w:rPr>
                    <w:t>S</w:t>
                  </w:r>
                  <w:r>
                    <w:rPr>
                      <w:rFonts w:hint="default"/>
                      <w:color w:val="auto"/>
                      <w:spacing w:val="0"/>
                      <w:kern w:val="0"/>
                      <w:sz w:val="21"/>
                      <w:szCs w:val="21"/>
                    </w:rPr>
                    <w:t>物料储库、料仓应满足3.6条对密闭空间的要求</w:t>
                  </w:r>
                  <w:r>
                    <w:rPr>
                      <w:rFonts w:hint="eastAsia"/>
                      <w:color w:val="auto"/>
                      <w:spacing w:val="0"/>
                      <w:kern w:val="0"/>
                      <w:sz w:val="21"/>
                      <w:szCs w:val="21"/>
                      <w:lang w:eastAsia="zh-CN"/>
                    </w:rPr>
                    <w:t>；</w:t>
                  </w:r>
                </w:p>
              </w:tc>
              <w:tc>
                <w:tcPr>
                  <w:tcW w:w="1212" w:type="pct"/>
                  <w:noWrap w:val="0"/>
                  <w:vAlign w:val="center"/>
                </w:tcPr>
                <w:p w14:paraId="0507DB24">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both"/>
                    <w:textAlignment w:val="auto"/>
                    <w:rPr>
                      <w:rFonts w:hint="default" w:eastAsia="宋体"/>
                      <w:color w:val="auto"/>
                      <w:spacing w:val="-11"/>
                      <w:sz w:val="21"/>
                      <w:szCs w:val="21"/>
                      <w:lang w:val="en-US" w:eastAsia="zh-CN"/>
                    </w:rPr>
                  </w:pPr>
                  <w:r>
                    <w:rPr>
                      <w:rFonts w:hint="default"/>
                      <w:color w:val="auto"/>
                      <w:spacing w:val="-11"/>
                      <w:sz w:val="21"/>
                      <w:szCs w:val="21"/>
                    </w:rPr>
                    <w:t>本项目含</w:t>
                  </w:r>
                  <w:r>
                    <w:rPr>
                      <w:rFonts w:hint="eastAsia"/>
                      <w:color w:val="auto"/>
                      <w:spacing w:val="-11"/>
                      <w:sz w:val="21"/>
                      <w:szCs w:val="21"/>
                      <w:lang w:val="en-US" w:eastAsia="zh-CN"/>
                    </w:rPr>
                    <w:t>有机废气</w:t>
                  </w:r>
                  <w:r>
                    <w:rPr>
                      <w:rFonts w:hint="default"/>
                      <w:color w:val="auto"/>
                      <w:spacing w:val="-11"/>
                      <w:sz w:val="21"/>
                      <w:szCs w:val="21"/>
                    </w:rPr>
                    <w:t>的原辅材料</w:t>
                  </w:r>
                  <w:r>
                    <w:rPr>
                      <w:rFonts w:hint="eastAsia"/>
                      <w:color w:val="auto"/>
                      <w:spacing w:val="-11"/>
                      <w:sz w:val="21"/>
                      <w:szCs w:val="21"/>
                      <w:lang w:val="en-US" w:eastAsia="zh-CN"/>
                    </w:rPr>
                    <w:t>由密闭包装桶</w:t>
                  </w:r>
                  <w:r>
                    <w:rPr>
                      <w:rFonts w:hint="default"/>
                      <w:color w:val="auto"/>
                      <w:spacing w:val="-11"/>
                      <w:sz w:val="21"/>
                      <w:szCs w:val="21"/>
                    </w:rPr>
                    <w:t>存储</w:t>
                  </w:r>
                  <w:r>
                    <w:rPr>
                      <w:rFonts w:hint="eastAsia"/>
                      <w:color w:val="auto"/>
                      <w:spacing w:val="-11"/>
                      <w:sz w:val="21"/>
                      <w:szCs w:val="21"/>
                      <w:lang w:eastAsia="zh-CN"/>
                    </w:rPr>
                    <w:t>；</w:t>
                  </w:r>
                  <w:r>
                    <w:rPr>
                      <w:rFonts w:hint="default"/>
                      <w:color w:val="auto"/>
                      <w:spacing w:val="0"/>
                      <w:kern w:val="0"/>
                      <w:sz w:val="21"/>
                      <w:szCs w:val="21"/>
                    </w:rPr>
                    <w:t>盛装VOC</w:t>
                  </w:r>
                  <w:r>
                    <w:rPr>
                      <w:rFonts w:hint="eastAsia"/>
                      <w:color w:val="auto"/>
                      <w:spacing w:val="0"/>
                      <w:kern w:val="0"/>
                      <w:sz w:val="21"/>
                      <w:szCs w:val="21"/>
                      <w:vertAlign w:val="subscript"/>
                      <w:lang w:val="en-US" w:eastAsia="zh-CN"/>
                    </w:rPr>
                    <w:t>S</w:t>
                  </w:r>
                  <w:r>
                    <w:rPr>
                      <w:rFonts w:hint="default"/>
                      <w:color w:val="auto"/>
                      <w:spacing w:val="0"/>
                      <w:kern w:val="0"/>
                      <w:sz w:val="21"/>
                      <w:szCs w:val="21"/>
                    </w:rPr>
                    <w:t>物料的</w:t>
                  </w:r>
                  <w:r>
                    <w:rPr>
                      <w:rFonts w:hint="eastAsia"/>
                      <w:color w:val="auto"/>
                      <w:spacing w:val="0"/>
                      <w:kern w:val="0"/>
                      <w:sz w:val="21"/>
                      <w:szCs w:val="21"/>
                      <w:lang w:val="en-US" w:eastAsia="zh-CN"/>
                    </w:rPr>
                    <w:t>包装桶皆存放于封闭的油墨车间内；项目油墨、水性油墨、稀释剂整桶使用。</w:t>
                  </w:r>
                </w:p>
              </w:tc>
              <w:tc>
                <w:tcPr>
                  <w:tcW w:w="473" w:type="pct"/>
                  <w:noWrap w:val="0"/>
                  <w:vAlign w:val="center"/>
                </w:tcPr>
                <w:p w14:paraId="323F2242">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center"/>
                    <w:textAlignment w:val="auto"/>
                    <w:rPr>
                      <w:rFonts w:hint="eastAsia" w:eastAsia="宋体"/>
                      <w:color w:val="auto"/>
                      <w:spacing w:val="-11"/>
                      <w:sz w:val="21"/>
                      <w:szCs w:val="21"/>
                      <w:lang w:val="en-US" w:eastAsia="zh-CN"/>
                    </w:rPr>
                  </w:pPr>
                  <w:r>
                    <w:rPr>
                      <w:rFonts w:hint="eastAsia"/>
                      <w:color w:val="auto"/>
                      <w:spacing w:val="-11"/>
                      <w:sz w:val="21"/>
                      <w:szCs w:val="21"/>
                      <w:lang w:val="en-US" w:eastAsia="zh-CN"/>
                    </w:rPr>
                    <w:t>符合</w:t>
                  </w:r>
                </w:p>
              </w:tc>
            </w:tr>
            <w:tr w14:paraId="29307C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79" w:type="pct"/>
                  <w:noWrap w:val="0"/>
                  <w:vAlign w:val="center"/>
                </w:tcPr>
                <w:p w14:paraId="16C7CEB0">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center"/>
                    <w:textAlignment w:val="auto"/>
                    <w:rPr>
                      <w:rFonts w:hint="default"/>
                      <w:color w:val="auto"/>
                      <w:kern w:val="0"/>
                      <w:sz w:val="21"/>
                      <w:szCs w:val="21"/>
                    </w:rPr>
                  </w:pPr>
                  <w:r>
                    <w:rPr>
                      <w:rFonts w:hint="default"/>
                      <w:color w:val="auto"/>
                      <w:kern w:val="0"/>
                      <w:sz w:val="21"/>
                      <w:szCs w:val="21"/>
                    </w:rPr>
                    <w:t>VOC</w:t>
                  </w:r>
                  <w:r>
                    <w:rPr>
                      <w:rFonts w:hint="eastAsia"/>
                      <w:color w:val="auto"/>
                      <w:kern w:val="0"/>
                      <w:sz w:val="21"/>
                      <w:szCs w:val="21"/>
                      <w:vertAlign w:val="subscript"/>
                      <w:lang w:val="en-US" w:eastAsia="zh-CN"/>
                    </w:rPr>
                    <w:t>S</w:t>
                  </w:r>
                  <w:r>
                    <w:rPr>
                      <w:rFonts w:hint="default"/>
                      <w:color w:val="auto"/>
                      <w:kern w:val="0"/>
                      <w:sz w:val="21"/>
                      <w:szCs w:val="21"/>
                    </w:rPr>
                    <w:t>物料转移和输送无组织排放控制要求</w:t>
                  </w:r>
                </w:p>
              </w:tc>
              <w:tc>
                <w:tcPr>
                  <w:tcW w:w="496" w:type="pct"/>
                  <w:noWrap w:val="0"/>
                  <w:vAlign w:val="center"/>
                </w:tcPr>
                <w:p w14:paraId="07F83F23">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center"/>
                    <w:textAlignment w:val="auto"/>
                    <w:rPr>
                      <w:rFonts w:hint="default"/>
                      <w:color w:val="auto"/>
                      <w:kern w:val="0"/>
                      <w:sz w:val="21"/>
                      <w:szCs w:val="21"/>
                    </w:rPr>
                  </w:pPr>
                  <w:r>
                    <w:rPr>
                      <w:rFonts w:hint="default"/>
                      <w:color w:val="auto"/>
                      <w:kern w:val="0"/>
                      <w:sz w:val="21"/>
                      <w:szCs w:val="21"/>
                    </w:rPr>
                    <w:t>基本要求</w:t>
                  </w:r>
                </w:p>
              </w:tc>
              <w:tc>
                <w:tcPr>
                  <w:tcW w:w="2238" w:type="pct"/>
                  <w:noWrap w:val="0"/>
                  <w:vAlign w:val="center"/>
                </w:tcPr>
                <w:p w14:paraId="00841590">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both"/>
                    <w:textAlignment w:val="auto"/>
                    <w:rPr>
                      <w:rFonts w:hint="default"/>
                      <w:color w:val="auto"/>
                      <w:spacing w:val="-11"/>
                      <w:kern w:val="0"/>
                      <w:sz w:val="21"/>
                      <w:szCs w:val="21"/>
                    </w:rPr>
                  </w:pPr>
                  <w:r>
                    <w:rPr>
                      <w:rFonts w:hint="default"/>
                      <w:color w:val="auto"/>
                      <w:spacing w:val="0"/>
                      <w:kern w:val="0"/>
                      <w:sz w:val="21"/>
                      <w:szCs w:val="21"/>
                    </w:rPr>
                    <w:t>液态VOC</w:t>
                  </w:r>
                  <w:r>
                    <w:rPr>
                      <w:rFonts w:hint="eastAsia"/>
                      <w:color w:val="auto"/>
                      <w:spacing w:val="0"/>
                      <w:kern w:val="0"/>
                      <w:sz w:val="21"/>
                      <w:szCs w:val="21"/>
                      <w:vertAlign w:val="subscript"/>
                      <w:lang w:val="en-US" w:eastAsia="zh-CN"/>
                    </w:rPr>
                    <w:t>S</w:t>
                  </w:r>
                  <w:r>
                    <w:rPr>
                      <w:rFonts w:hint="default"/>
                      <w:color w:val="auto"/>
                      <w:spacing w:val="0"/>
                      <w:kern w:val="0"/>
                      <w:sz w:val="21"/>
                      <w:szCs w:val="21"/>
                    </w:rPr>
                    <w:t>物料应采用密闭管道输送。采用非管道输送方式转移液态VOC</w:t>
                  </w:r>
                  <w:r>
                    <w:rPr>
                      <w:rFonts w:hint="eastAsia"/>
                      <w:color w:val="auto"/>
                      <w:spacing w:val="0"/>
                      <w:kern w:val="0"/>
                      <w:sz w:val="21"/>
                      <w:szCs w:val="21"/>
                      <w:vertAlign w:val="subscript"/>
                      <w:lang w:val="en-US" w:eastAsia="zh-CN"/>
                    </w:rPr>
                    <w:t>S</w:t>
                  </w:r>
                  <w:r>
                    <w:rPr>
                      <w:rFonts w:hint="default"/>
                      <w:color w:val="auto"/>
                      <w:spacing w:val="0"/>
                      <w:kern w:val="0"/>
                      <w:sz w:val="21"/>
                      <w:szCs w:val="21"/>
                    </w:rPr>
                    <w:t>物料时，应采用密闭容器、罐车</w:t>
                  </w:r>
                  <w:r>
                    <w:rPr>
                      <w:rFonts w:hint="eastAsia"/>
                      <w:color w:val="auto"/>
                      <w:spacing w:val="0"/>
                      <w:kern w:val="0"/>
                      <w:sz w:val="21"/>
                      <w:szCs w:val="21"/>
                      <w:lang w:eastAsia="zh-CN"/>
                    </w:rPr>
                    <w:t>；</w:t>
                  </w:r>
                  <w:r>
                    <w:rPr>
                      <w:rFonts w:hint="default"/>
                      <w:color w:val="auto"/>
                      <w:spacing w:val="0"/>
                      <w:kern w:val="0"/>
                      <w:sz w:val="21"/>
                      <w:szCs w:val="21"/>
                    </w:rPr>
                    <w:t>粉状、粒状VOC</w:t>
                  </w:r>
                  <w:r>
                    <w:rPr>
                      <w:rFonts w:hint="eastAsia"/>
                      <w:color w:val="auto"/>
                      <w:spacing w:val="0"/>
                      <w:kern w:val="0"/>
                      <w:sz w:val="21"/>
                      <w:szCs w:val="21"/>
                      <w:vertAlign w:val="subscript"/>
                      <w:lang w:val="en-US" w:eastAsia="zh-CN"/>
                    </w:rPr>
                    <w:t>S</w:t>
                  </w:r>
                  <w:r>
                    <w:rPr>
                      <w:rFonts w:hint="default"/>
                      <w:color w:val="auto"/>
                      <w:spacing w:val="0"/>
                      <w:kern w:val="0"/>
                      <w:sz w:val="21"/>
                      <w:szCs w:val="21"/>
                    </w:rPr>
                    <w:t>物料应采用气力输送设备、管状带式输送机、螺旋输送机等密闭输送方式，或者采用密闭的包装袋、容器或罐车进行物料转移</w:t>
                  </w:r>
                  <w:r>
                    <w:rPr>
                      <w:rFonts w:hint="eastAsia"/>
                      <w:color w:val="auto"/>
                      <w:spacing w:val="0"/>
                      <w:kern w:val="0"/>
                      <w:sz w:val="21"/>
                      <w:szCs w:val="21"/>
                      <w:lang w:eastAsia="zh-CN"/>
                    </w:rPr>
                    <w:t>；</w:t>
                  </w:r>
                  <w:r>
                    <w:rPr>
                      <w:rFonts w:hint="default"/>
                      <w:color w:val="auto"/>
                      <w:spacing w:val="0"/>
                      <w:kern w:val="0"/>
                      <w:sz w:val="21"/>
                      <w:szCs w:val="21"/>
                    </w:rPr>
                    <w:t>对挥发性有机液体进行装载时，应符合6.2 条规定。</w:t>
                  </w:r>
                </w:p>
              </w:tc>
              <w:tc>
                <w:tcPr>
                  <w:tcW w:w="1212" w:type="pct"/>
                  <w:noWrap w:val="0"/>
                  <w:vAlign w:val="center"/>
                </w:tcPr>
                <w:p w14:paraId="0206873F">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both"/>
                    <w:textAlignment w:val="auto"/>
                    <w:rPr>
                      <w:rFonts w:hint="eastAsia" w:eastAsia="宋体"/>
                      <w:color w:val="auto"/>
                      <w:spacing w:val="-11"/>
                      <w:sz w:val="21"/>
                      <w:szCs w:val="21"/>
                      <w:lang w:val="en-US" w:eastAsia="zh-CN"/>
                    </w:rPr>
                  </w:pPr>
                  <w:r>
                    <w:rPr>
                      <w:rFonts w:hint="eastAsia"/>
                      <w:color w:val="auto"/>
                      <w:spacing w:val="-11"/>
                      <w:sz w:val="21"/>
                      <w:szCs w:val="21"/>
                      <w:lang w:val="en-US" w:eastAsia="zh-CN"/>
                    </w:rPr>
                    <w:t>本项目所</w:t>
                  </w:r>
                  <w:r>
                    <w:rPr>
                      <w:rFonts w:hint="default"/>
                      <w:color w:val="auto"/>
                      <w:spacing w:val="-11"/>
                      <w:sz w:val="21"/>
                      <w:szCs w:val="21"/>
                    </w:rPr>
                    <w:t>含</w:t>
                  </w:r>
                  <w:r>
                    <w:rPr>
                      <w:rFonts w:hint="eastAsia"/>
                      <w:color w:val="auto"/>
                      <w:spacing w:val="-11"/>
                      <w:sz w:val="21"/>
                      <w:szCs w:val="21"/>
                      <w:lang w:val="en-US" w:eastAsia="zh-CN"/>
                    </w:rPr>
                    <w:t>有机废气的</w:t>
                  </w:r>
                  <w:r>
                    <w:rPr>
                      <w:rFonts w:hint="default"/>
                      <w:color w:val="auto"/>
                      <w:spacing w:val="-11"/>
                      <w:sz w:val="21"/>
                      <w:szCs w:val="21"/>
                    </w:rPr>
                    <w:t>物料</w:t>
                  </w:r>
                  <w:r>
                    <w:rPr>
                      <w:rFonts w:hint="eastAsia"/>
                      <w:color w:val="auto"/>
                      <w:spacing w:val="-11"/>
                      <w:sz w:val="21"/>
                      <w:szCs w:val="21"/>
                      <w:lang w:val="en-US" w:eastAsia="zh-CN"/>
                    </w:rPr>
                    <w:t>装载在</w:t>
                  </w:r>
                  <w:r>
                    <w:rPr>
                      <w:rFonts w:hint="default"/>
                      <w:color w:val="auto"/>
                      <w:spacing w:val="-11"/>
                      <w:sz w:val="21"/>
                      <w:szCs w:val="21"/>
                    </w:rPr>
                    <w:t>密封桶</w:t>
                  </w:r>
                  <w:r>
                    <w:rPr>
                      <w:rFonts w:hint="eastAsia"/>
                      <w:color w:val="auto"/>
                      <w:spacing w:val="-11"/>
                      <w:sz w:val="21"/>
                      <w:szCs w:val="21"/>
                      <w:lang w:val="en-US" w:eastAsia="zh-CN"/>
                    </w:rPr>
                    <w:t>内进行</w:t>
                  </w:r>
                  <w:r>
                    <w:rPr>
                      <w:rFonts w:hint="default"/>
                      <w:color w:val="auto"/>
                      <w:spacing w:val="-11"/>
                      <w:sz w:val="21"/>
                      <w:szCs w:val="21"/>
                    </w:rPr>
                    <w:t>转移</w:t>
                  </w:r>
                </w:p>
              </w:tc>
              <w:tc>
                <w:tcPr>
                  <w:tcW w:w="473" w:type="pct"/>
                  <w:noWrap w:val="0"/>
                  <w:vAlign w:val="center"/>
                </w:tcPr>
                <w:p w14:paraId="2645873F">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center"/>
                    <w:textAlignment w:val="auto"/>
                    <w:rPr>
                      <w:rFonts w:hint="default"/>
                      <w:color w:val="auto"/>
                      <w:spacing w:val="-11"/>
                      <w:sz w:val="21"/>
                      <w:szCs w:val="21"/>
                    </w:rPr>
                  </w:pPr>
                  <w:r>
                    <w:rPr>
                      <w:rFonts w:hint="eastAsia"/>
                      <w:color w:val="auto"/>
                      <w:spacing w:val="-11"/>
                      <w:sz w:val="21"/>
                      <w:szCs w:val="21"/>
                      <w:lang w:val="en-US" w:eastAsia="zh-CN"/>
                    </w:rPr>
                    <w:t>符合</w:t>
                  </w:r>
                </w:p>
              </w:tc>
            </w:tr>
            <w:tr w14:paraId="3FA26E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79" w:type="pct"/>
                  <w:vMerge w:val="restart"/>
                  <w:noWrap w:val="0"/>
                  <w:vAlign w:val="center"/>
                </w:tcPr>
                <w:p w14:paraId="04F7233D">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center"/>
                    <w:textAlignment w:val="auto"/>
                    <w:rPr>
                      <w:rFonts w:hint="default"/>
                      <w:color w:val="auto"/>
                      <w:kern w:val="0"/>
                      <w:sz w:val="21"/>
                      <w:szCs w:val="21"/>
                    </w:rPr>
                  </w:pPr>
                  <w:r>
                    <w:rPr>
                      <w:rFonts w:hint="default"/>
                      <w:color w:val="auto"/>
                      <w:kern w:val="0"/>
                      <w:sz w:val="21"/>
                      <w:szCs w:val="21"/>
                    </w:rPr>
                    <w:t>工艺过程VOC</w:t>
                  </w:r>
                  <w:r>
                    <w:rPr>
                      <w:rFonts w:hint="eastAsia"/>
                      <w:color w:val="auto"/>
                      <w:kern w:val="0"/>
                      <w:sz w:val="21"/>
                      <w:szCs w:val="21"/>
                      <w:vertAlign w:val="subscript"/>
                      <w:lang w:val="en-US" w:eastAsia="zh-CN"/>
                    </w:rPr>
                    <w:t>S</w:t>
                  </w:r>
                  <w:r>
                    <w:rPr>
                      <w:rFonts w:hint="default"/>
                      <w:color w:val="auto"/>
                      <w:kern w:val="0"/>
                      <w:sz w:val="21"/>
                      <w:szCs w:val="21"/>
                    </w:rPr>
                    <w:t>无组织排放控制要求</w:t>
                  </w:r>
                </w:p>
              </w:tc>
              <w:tc>
                <w:tcPr>
                  <w:tcW w:w="496" w:type="pct"/>
                  <w:noWrap w:val="0"/>
                  <w:vAlign w:val="center"/>
                </w:tcPr>
                <w:p w14:paraId="5A67CBA2">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center"/>
                    <w:textAlignment w:val="auto"/>
                    <w:rPr>
                      <w:rFonts w:hint="default"/>
                      <w:color w:val="auto"/>
                      <w:kern w:val="0"/>
                      <w:sz w:val="21"/>
                      <w:szCs w:val="21"/>
                    </w:rPr>
                  </w:pPr>
                  <w:r>
                    <w:rPr>
                      <w:rFonts w:hint="default"/>
                      <w:color w:val="auto"/>
                      <w:kern w:val="0"/>
                      <w:sz w:val="21"/>
                      <w:szCs w:val="21"/>
                    </w:rPr>
                    <w:t>含VOC</w:t>
                  </w:r>
                  <w:r>
                    <w:rPr>
                      <w:rFonts w:hint="eastAsia"/>
                      <w:color w:val="auto"/>
                      <w:kern w:val="0"/>
                      <w:sz w:val="21"/>
                      <w:szCs w:val="21"/>
                      <w:vertAlign w:val="subscript"/>
                      <w:lang w:val="en-US" w:eastAsia="zh-CN"/>
                    </w:rPr>
                    <w:t>S</w:t>
                  </w:r>
                  <w:r>
                    <w:rPr>
                      <w:rFonts w:hint="default"/>
                      <w:color w:val="auto"/>
                      <w:kern w:val="0"/>
                      <w:sz w:val="21"/>
                      <w:szCs w:val="21"/>
                    </w:rPr>
                    <w:t>产品的使用过程</w:t>
                  </w:r>
                </w:p>
              </w:tc>
              <w:tc>
                <w:tcPr>
                  <w:tcW w:w="2238" w:type="pct"/>
                  <w:noWrap w:val="0"/>
                  <w:vAlign w:val="center"/>
                </w:tcPr>
                <w:p w14:paraId="2C102F87">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both"/>
                    <w:textAlignment w:val="auto"/>
                    <w:rPr>
                      <w:rFonts w:hint="default"/>
                      <w:color w:val="auto"/>
                      <w:spacing w:val="-11"/>
                      <w:kern w:val="0"/>
                      <w:sz w:val="21"/>
                      <w:szCs w:val="21"/>
                    </w:rPr>
                  </w:pPr>
                  <w:r>
                    <w:rPr>
                      <w:rFonts w:hint="default"/>
                      <w:color w:val="auto"/>
                      <w:spacing w:val="0"/>
                      <w:kern w:val="0"/>
                      <w:sz w:val="21"/>
                      <w:szCs w:val="21"/>
                    </w:rPr>
                    <w:t>VOC</w:t>
                  </w:r>
                  <w:r>
                    <w:rPr>
                      <w:rFonts w:hint="eastAsia"/>
                      <w:color w:val="auto"/>
                      <w:spacing w:val="0"/>
                      <w:kern w:val="0"/>
                      <w:sz w:val="21"/>
                      <w:szCs w:val="21"/>
                      <w:vertAlign w:val="subscript"/>
                      <w:lang w:val="en-US" w:eastAsia="zh-CN"/>
                    </w:rPr>
                    <w:t>S</w:t>
                  </w:r>
                  <w:r>
                    <w:rPr>
                      <w:rFonts w:hint="default"/>
                      <w:color w:val="auto"/>
                      <w:spacing w:val="0"/>
                      <w:kern w:val="0"/>
                      <w:sz w:val="21"/>
                      <w:szCs w:val="21"/>
                    </w:rPr>
                    <w:t>质量占比大于等于10%含VOC</w:t>
                  </w:r>
                  <w:r>
                    <w:rPr>
                      <w:rFonts w:hint="eastAsia"/>
                      <w:color w:val="auto"/>
                      <w:spacing w:val="0"/>
                      <w:kern w:val="0"/>
                      <w:sz w:val="21"/>
                      <w:szCs w:val="21"/>
                      <w:vertAlign w:val="subscript"/>
                      <w:lang w:val="en-US" w:eastAsia="zh-CN"/>
                    </w:rPr>
                    <w:t>S</w:t>
                  </w:r>
                  <w:r>
                    <w:rPr>
                      <w:rFonts w:hint="default"/>
                      <w:color w:val="auto"/>
                      <w:spacing w:val="0"/>
                      <w:kern w:val="0"/>
                      <w:sz w:val="21"/>
                      <w:szCs w:val="21"/>
                    </w:rPr>
                    <w:t xml:space="preserve"> 产品，其使用过程应采用密闭设备或在密闭空间内操作，废气应排至VOC</w:t>
                  </w:r>
                  <w:r>
                    <w:rPr>
                      <w:rFonts w:hint="eastAsia"/>
                      <w:color w:val="auto"/>
                      <w:spacing w:val="0"/>
                      <w:kern w:val="0"/>
                      <w:sz w:val="21"/>
                      <w:szCs w:val="21"/>
                      <w:vertAlign w:val="subscript"/>
                      <w:lang w:val="en-US" w:eastAsia="zh-CN"/>
                    </w:rPr>
                    <w:t>S</w:t>
                  </w:r>
                  <w:r>
                    <w:rPr>
                      <w:rFonts w:hint="default"/>
                      <w:color w:val="auto"/>
                      <w:spacing w:val="0"/>
                      <w:kern w:val="0"/>
                      <w:sz w:val="21"/>
                      <w:szCs w:val="21"/>
                    </w:rPr>
                    <w:t xml:space="preserve"> 废气收集处理系统；无法密闭的，应采取局部气体收集措施，废气应排至VOC</w:t>
                  </w:r>
                  <w:r>
                    <w:rPr>
                      <w:rFonts w:hint="eastAsia"/>
                      <w:color w:val="auto"/>
                      <w:spacing w:val="0"/>
                      <w:kern w:val="0"/>
                      <w:sz w:val="21"/>
                      <w:szCs w:val="21"/>
                      <w:vertAlign w:val="subscript"/>
                      <w:lang w:val="en-US" w:eastAsia="zh-CN"/>
                    </w:rPr>
                    <w:t>S</w:t>
                  </w:r>
                  <w:r>
                    <w:rPr>
                      <w:rFonts w:hint="default"/>
                      <w:color w:val="auto"/>
                      <w:spacing w:val="0"/>
                      <w:kern w:val="0"/>
                      <w:sz w:val="21"/>
                      <w:szCs w:val="21"/>
                    </w:rPr>
                    <w:t>废气收集处理系统。</w:t>
                  </w:r>
                </w:p>
              </w:tc>
              <w:tc>
                <w:tcPr>
                  <w:tcW w:w="1212" w:type="pct"/>
                  <w:noWrap w:val="0"/>
                  <w:vAlign w:val="center"/>
                </w:tcPr>
                <w:p w14:paraId="409041B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both"/>
                    <w:textAlignment w:val="auto"/>
                    <w:rPr>
                      <w:rFonts w:hint="default"/>
                      <w:color w:val="auto"/>
                      <w:spacing w:val="-11"/>
                      <w:sz w:val="21"/>
                      <w:szCs w:val="21"/>
                    </w:rPr>
                  </w:pPr>
                  <w:r>
                    <w:rPr>
                      <w:rFonts w:hint="eastAsia" w:ascii="Times New Roman" w:hAnsi="Times New Roman" w:eastAsia="宋体" w:cs="Times New Roman"/>
                      <w:b w:val="0"/>
                      <w:bCs/>
                      <w:color w:val="auto"/>
                      <w:kern w:val="2"/>
                      <w:sz w:val="21"/>
                      <w:szCs w:val="21"/>
                      <w:vertAlign w:val="baseline"/>
                      <w:lang w:val="en-US" w:eastAsia="zh-CN"/>
                    </w:rPr>
                    <w:t>项目废气采用</w:t>
                  </w:r>
                  <w:r>
                    <w:rPr>
                      <w:rFonts w:hint="eastAsia" w:cs="Times New Roman"/>
                      <w:b w:val="0"/>
                      <w:bCs/>
                      <w:color w:val="auto"/>
                      <w:kern w:val="2"/>
                      <w:sz w:val="21"/>
                      <w:szCs w:val="21"/>
                      <w:vertAlign w:val="baseline"/>
                      <w:lang w:val="en-US" w:eastAsia="zh-CN"/>
                    </w:rPr>
                    <w:t>密闭负压</w:t>
                  </w:r>
                  <w:r>
                    <w:rPr>
                      <w:rFonts w:hint="eastAsia" w:ascii="Times New Roman" w:hAnsi="Times New Roman" w:eastAsia="宋体" w:cs="Times New Roman"/>
                      <w:b w:val="0"/>
                      <w:bCs/>
                      <w:color w:val="auto"/>
                      <w:kern w:val="2"/>
                      <w:sz w:val="21"/>
                      <w:szCs w:val="21"/>
                      <w:vertAlign w:val="baseline"/>
                      <w:lang w:val="en-US" w:eastAsia="zh-CN"/>
                    </w:rPr>
                    <w:t>收集，废气</w:t>
                  </w:r>
                  <w:r>
                    <w:rPr>
                      <w:rFonts w:hint="eastAsia" w:cs="Times New Roman"/>
                      <w:b w:val="0"/>
                      <w:bCs/>
                      <w:color w:val="auto"/>
                      <w:kern w:val="2"/>
                      <w:sz w:val="21"/>
                      <w:szCs w:val="21"/>
                      <w:vertAlign w:val="baseline"/>
                      <w:lang w:val="en-US" w:eastAsia="zh-CN"/>
                    </w:rPr>
                    <w:t>收集后</w:t>
                  </w:r>
                  <w:r>
                    <w:rPr>
                      <w:rFonts w:hint="eastAsia" w:ascii="Times New Roman" w:hAnsi="Times New Roman" w:eastAsia="宋体" w:cs="Times New Roman"/>
                      <w:b w:val="0"/>
                      <w:bCs/>
                      <w:color w:val="auto"/>
                      <w:kern w:val="2"/>
                      <w:sz w:val="21"/>
                      <w:szCs w:val="21"/>
                      <w:vertAlign w:val="baseline"/>
                      <w:lang w:val="en-US" w:eastAsia="zh-CN"/>
                    </w:rPr>
                    <w:t>经</w:t>
                  </w:r>
                  <w:r>
                    <w:rPr>
                      <w:rFonts w:hint="eastAsia" w:eastAsia="宋体" w:cs="Times New Roman"/>
                      <w:b w:val="0"/>
                      <w:bCs/>
                      <w:color w:val="auto"/>
                      <w:kern w:val="2"/>
                      <w:sz w:val="21"/>
                      <w:szCs w:val="21"/>
                      <w:vertAlign w:val="baseline"/>
                      <w:lang w:val="en-US" w:eastAsia="zh-CN"/>
                    </w:rPr>
                    <w:t>一套“</w:t>
                  </w:r>
                  <w:r>
                    <w:rPr>
                      <w:rFonts w:hint="eastAsia" w:cs="Times New Roman"/>
                      <w:b w:val="0"/>
                      <w:bCs/>
                      <w:color w:val="auto"/>
                      <w:kern w:val="2"/>
                      <w:sz w:val="21"/>
                      <w:szCs w:val="21"/>
                      <w:vertAlign w:val="baseline"/>
                      <w:lang w:val="en-US" w:eastAsia="zh-CN"/>
                    </w:rPr>
                    <w:t>二级活性炭吸附</w:t>
                  </w:r>
                  <w:r>
                    <w:rPr>
                      <w:rFonts w:hint="eastAsia" w:eastAsia="宋体" w:cs="Times New Roman"/>
                      <w:b w:val="0"/>
                      <w:bCs/>
                      <w:color w:val="auto"/>
                      <w:kern w:val="2"/>
                      <w:sz w:val="21"/>
                      <w:szCs w:val="21"/>
                      <w:vertAlign w:val="baseline"/>
                      <w:lang w:val="en-US" w:eastAsia="zh-CN"/>
                    </w:rPr>
                    <w:t>”装置</w:t>
                  </w:r>
                  <w:r>
                    <w:rPr>
                      <w:rFonts w:hint="eastAsia" w:ascii="Times New Roman" w:hAnsi="Times New Roman" w:eastAsia="宋体" w:cs="Times New Roman"/>
                      <w:b w:val="0"/>
                      <w:bCs/>
                      <w:color w:val="auto"/>
                      <w:kern w:val="2"/>
                      <w:sz w:val="21"/>
                      <w:szCs w:val="21"/>
                      <w:vertAlign w:val="baseline"/>
                      <w:lang w:val="en-US" w:eastAsia="zh-CN"/>
                    </w:rPr>
                    <w:t>处理</w:t>
                  </w:r>
                  <w:r>
                    <w:rPr>
                      <w:rFonts w:hint="eastAsia" w:cs="Times New Roman"/>
                      <w:b w:val="0"/>
                      <w:bCs/>
                      <w:color w:val="auto"/>
                      <w:kern w:val="2"/>
                      <w:sz w:val="21"/>
                      <w:szCs w:val="21"/>
                      <w:vertAlign w:val="baseline"/>
                      <w:lang w:val="en-US" w:eastAsia="zh-CN"/>
                    </w:rPr>
                    <w:t>后可</w:t>
                  </w:r>
                  <w:r>
                    <w:rPr>
                      <w:rFonts w:hint="eastAsia" w:ascii="Times New Roman" w:hAnsi="Times New Roman" w:eastAsia="宋体" w:cs="Times New Roman"/>
                      <w:b w:val="0"/>
                      <w:bCs/>
                      <w:color w:val="auto"/>
                      <w:kern w:val="2"/>
                      <w:sz w:val="21"/>
                      <w:szCs w:val="21"/>
                      <w:vertAlign w:val="baseline"/>
                      <w:lang w:val="en-US" w:eastAsia="zh-CN"/>
                    </w:rPr>
                    <w:t>达标排放</w:t>
                  </w:r>
                  <w:r>
                    <w:rPr>
                      <w:rFonts w:hint="eastAsia" w:cs="Times New Roman"/>
                      <w:b w:val="0"/>
                      <w:bCs/>
                      <w:color w:val="auto"/>
                      <w:kern w:val="2"/>
                      <w:sz w:val="21"/>
                      <w:szCs w:val="21"/>
                      <w:vertAlign w:val="baseline"/>
                      <w:lang w:val="en-US" w:eastAsia="zh-CN"/>
                    </w:rPr>
                    <w:t>。</w:t>
                  </w:r>
                </w:p>
              </w:tc>
              <w:tc>
                <w:tcPr>
                  <w:tcW w:w="473" w:type="pct"/>
                  <w:noWrap w:val="0"/>
                  <w:vAlign w:val="center"/>
                </w:tcPr>
                <w:p w14:paraId="4C892137">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center"/>
                    <w:textAlignment w:val="auto"/>
                    <w:rPr>
                      <w:rFonts w:hint="eastAsia"/>
                      <w:color w:val="auto"/>
                      <w:spacing w:val="0"/>
                      <w:sz w:val="21"/>
                      <w:szCs w:val="21"/>
                      <w:lang w:val="en-US" w:eastAsia="zh-CN"/>
                    </w:rPr>
                  </w:pPr>
                  <w:r>
                    <w:rPr>
                      <w:rFonts w:hint="eastAsia"/>
                      <w:color w:val="auto"/>
                      <w:spacing w:val="-11"/>
                      <w:sz w:val="21"/>
                      <w:szCs w:val="21"/>
                      <w:lang w:val="en-US" w:eastAsia="zh-CN"/>
                    </w:rPr>
                    <w:t>符合</w:t>
                  </w:r>
                </w:p>
              </w:tc>
            </w:tr>
            <w:tr w14:paraId="3B7219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79" w:type="pct"/>
                  <w:vMerge w:val="continue"/>
                  <w:noWrap w:val="0"/>
                  <w:vAlign w:val="center"/>
                </w:tcPr>
                <w:p w14:paraId="2246928A">
                  <w:pPr>
                    <w:keepNext w:val="0"/>
                    <w:keepLines w:val="0"/>
                    <w:pageBreakBefore w:val="0"/>
                    <w:widowControl/>
                    <w:suppressLineNumbers w:val="0"/>
                    <w:kinsoku/>
                    <w:wordWrap/>
                    <w:overflowPunct/>
                    <w:topLinePunct w:val="0"/>
                    <w:bidi w:val="0"/>
                    <w:adjustRightInd/>
                    <w:snapToGrid w:val="0"/>
                    <w:spacing w:before="0" w:beforeAutospacing="0" w:after="0" w:afterAutospacing="0" w:line="240" w:lineRule="auto"/>
                    <w:ind w:left="0" w:right="0"/>
                    <w:jc w:val="center"/>
                    <w:textAlignment w:val="auto"/>
                    <w:rPr>
                      <w:rFonts w:hint="default"/>
                      <w:color w:val="auto"/>
                      <w:kern w:val="0"/>
                      <w:sz w:val="21"/>
                      <w:szCs w:val="21"/>
                    </w:rPr>
                  </w:pPr>
                </w:p>
              </w:tc>
              <w:tc>
                <w:tcPr>
                  <w:tcW w:w="496" w:type="pct"/>
                  <w:noWrap w:val="0"/>
                  <w:vAlign w:val="center"/>
                </w:tcPr>
                <w:p w14:paraId="50133291">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center"/>
                    <w:textAlignment w:val="auto"/>
                    <w:rPr>
                      <w:rFonts w:hint="default"/>
                      <w:color w:val="auto"/>
                      <w:kern w:val="0"/>
                      <w:sz w:val="21"/>
                      <w:szCs w:val="21"/>
                    </w:rPr>
                  </w:pPr>
                  <w:r>
                    <w:rPr>
                      <w:rFonts w:hint="default"/>
                      <w:color w:val="auto"/>
                      <w:kern w:val="0"/>
                      <w:sz w:val="21"/>
                      <w:szCs w:val="21"/>
                    </w:rPr>
                    <w:t>其他要求</w:t>
                  </w:r>
                </w:p>
              </w:tc>
              <w:tc>
                <w:tcPr>
                  <w:tcW w:w="2238" w:type="pct"/>
                  <w:noWrap w:val="0"/>
                  <w:vAlign w:val="center"/>
                </w:tcPr>
                <w:p w14:paraId="74BB1612">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both"/>
                    <w:textAlignment w:val="auto"/>
                    <w:rPr>
                      <w:rFonts w:hint="default"/>
                      <w:color w:val="auto"/>
                      <w:spacing w:val="-11"/>
                      <w:kern w:val="0"/>
                      <w:sz w:val="21"/>
                      <w:szCs w:val="21"/>
                    </w:rPr>
                  </w:pPr>
                  <w:r>
                    <w:rPr>
                      <w:rFonts w:hint="default"/>
                      <w:color w:val="auto"/>
                      <w:spacing w:val="0"/>
                      <w:kern w:val="0"/>
                      <w:sz w:val="21"/>
                      <w:szCs w:val="21"/>
                    </w:rPr>
                    <w:t>企业应建立台账，记录含VOC</w:t>
                  </w:r>
                  <w:r>
                    <w:rPr>
                      <w:rFonts w:hint="eastAsia"/>
                      <w:color w:val="auto"/>
                      <w:spacing w:val="0"/>
                      <w:kern w:val="0"/>
                      <w:sz w:val="21"/>
                      <w:szCs w:val="21"/>
                      <w:vertAlign w:val="subscript"/>
                      <w:lang w:val="en-US" w:eastAsia="zh-CN"/>
                    </w:rPr>
                    <w:t>S</w:t>
                  </w:r>
                  <w:r>
                    <w:rPr>
                      <w:rFonts w:hint="default"/>
                      <w:color w:val="auto"/>
                      <w:spacing w:val="0"/>
                      <w:kern w:val="0"/>
                      <w:sz w:val="21"/>
                      <w:szCs w:val="21"/>
                    </w:rPr>
                    <w:t>原辅材料和含VOC</w:t>
                  </w:r>
                  <w:r>
                    <w:rPr>
                      <w:rFonts w:hint="eastAsia"/>
                      <w:color w:val="auto"/>
                      <w:spacing w:val="0"/>
                      <w:kern w:val="0"/>
                      <w:sz w:val="21"/>
                      <w:szCs w:val="21"/>
                      <w:vertAlign w:val="subscript"/>
                      <w:lang w:val="en-US" w:eastAsia="zh-CN"/>
                    </w:rPr>
                    <w:t>S</w:t>
                  </w:r>
                  <w:r>
                    <w:rPr>
                      <w:rFonts w:hint="default"/>
                      <w:color w:val="auto"/>
                      <w:spacing w:val="0"/>
                      <w:kern w:val="0"/>
                      <w:sz w:val="21"/>
                      <w:szCs w:val="21"/>
                    </w:rPr>
                    <w:t>产品的名称、使用量、回收量、废弃量、去向以及VOC</w:t>
                  </w:r>
                  <w:r>
                    <w:rPr>
                      <w:rFonts w:hint="eastAsia"/>
                      <w:color w:val="auto"/>
                      <w:spacing w:val="0"/>
                      <w:kern w:val="0"/>
                      <w:sz w:val="21"/>
                      <w:szCs w:val="21"/>
                      <w:vertAlign w:val="subscript"/>
                      <w:lang w:val="en-US" w:eastAsia="zh-CN"/>
                    </w:rPr>
                    <w:t>S</w:t>
                  </w:r>
                  <w:r>
                    <w:rPr>
                      <w:rFonts w:hint="default"/>
                      <w:color w:val="auto"/>
                      <w:spacing w:val="0"/>
                      <w:kern w:val="0"/>
                      <w:sz w:val="21"/>
                      <w:szCs w:val="21"/>
                    </w:rPr>
                    <w:t>含量等信息。台账保存期限不少于3年</w:t>
                  </w:r>
                  <w:r>
                    <w:rPr>
                      <w:rFonts w:hint="eastAsia"/>
                      <w:color w:val="auto"/>
                      <w:spacing w:val="0"/>
                      <w:kern w:val="0"/>
                      <w:sz w:val="21"/>
                      <w:szCs w:val="21"/>
                      <w:lang w:eastAsia="zh-CN"/>
                    </w:rPr>
                    <w:t>；</w:t>
                  </w:r>
                  <w:r>
                    <w:rPr>
                      <w:rFonts w:hint="default"/>
                      <w:color w:val="auto"/>
                      <w:spacing w:val="0"/>
                      <w:kern w:val="0"/>
                      <w:sz w:val="21"/>
                      <w:szCs w:val="21"/>
                    </w:rPr>
                    <w:t>通风生产设备、操作工位、车间厂房等应在符合安全生产、职业卫生相关规定的前提下，根据行业作业规程与标准、工业建筑及洁净厂房通风设计规范等的要求，采用合理的通风量</w:t>
                  </w:r>
                  <w:r>
                    <w:rPr>
                      <w:rFonts w:hint="eastAsia"/>
                      <w:color w:val="auto"/>
                      <w:spacing w:val="0"/>
                      <w:kern w:val="0"/>
                      <w:sz w:val="21"/>
                      <w:szCs w:val="21"/>
                      <w:lang w:eastAsia="zh-CN"/>
                    </w:rPr>
                    <w:t>；</w:t>
                  </w:r>
                  <w:r>
                    <w:rPr>
                      <w:rFonts w:hint="default"/>
                      <w:color w:val="auto"/>
                      <w:spacing w:val="0"/>
                      <w:kern w:val="0"/>
                      <w:sz w:val="21"/>
                      <w:szCs w:val="21"/>
                    </w:rPr>
                    <w:t>载有VOC</w:t>
                  </w:r>
                  <w:r>
                    <w:rPr>
                      <w:rFonts w:hint="eastAsia"/>
                      <w:color w:val="auto"/>
                      <w:spacing w:val="0"/>
                      <w:kern w:val="0"/>
                      <w:sz w:val="21"/>
                      <w:szCs w:val="21"/>
                      <w:vertAlign w:val="subscript"/>
                      <w:lang w:val="en-US" w:eastAsia="zh-CN"/>
                    </w:rPr>
                    <w:t>S</w:t>
                  </w:r>
                  <w:r>
                    <w:rPr>
                      <w:rFonts w:hint="default"/>
                      <w:color w:val="auto"/>
                      <w:spacing w:val="0"/>
                      <w:kern w:val="0"/>
                      <w:sz w:val="21"/>
                      <w:szCs w:val="21"/>
                    </w:rPr>
                    <w:t>物料的设备及其管道在开停工（车）、检维修和清洗时，应在退料阶段将残存物料退净，并用密闭容器盛装，退料过程废气应排至VOC</w:t>
                  </w:r>
                  <w:r>
                    <w:rPr>
                      <w:rFonts w:hint="eastAsia"/>
                      <w:color w:val="auto"/>
                      <w:spacing w:val="0"/>
                      <w:kern w:val="0"/>
                      <w:sz w:val="21"/>
                      <w:szCs w:val="21"/>
                      <w:vertAlign w:val="subscript"/>
                      <w:lang w:val="en-US" w:eastAsia="zh-CN"/>
                    </w:rPr>
                    <w:t>S</w:t>
                  </w:r>
                  <w:r>
                    <w:rPr>
                      <w:rFonts w:hint="default"/>
                      <w:color w:val="auto"/>
                      <w:spacing w:val="0"/>
                      <w:kern w:val="0"/>
                      <w:sz w:val="21"/>
                      <w:szCs w:val="21"/>
                    </w:rPr>
                    <w:t>废气收集处理系统；清洗及吹扫过程排气应排至VOC</w:t>
                  </w:r>
                  <w:r>
                    <w:rPr>
                      <w:rFonts w:hint="eastAsia"/>
                      <w:color w:val="auto"/>
                      <w:spacing w:val="0"/>
                      <w:kern w:val="0"/>
                      <w:sz w:val="21"/>
                      <w:szCs w:val="21"/>
                      <w:vertAlign w:val="subscript"/>
                      <w:lang w:val="en-US" w:eastAsia="zh-CN"/>
                    </w:rPr>
                    <w:t>S</w:t>
                  </w:r>
                  <w:r>
                    <w:rPr>
                      <w:rFonts w:hint="default"/>
                      <w:color w:val="auto"/>
                      <w:spacing w:val="0"/>
                      <w:kern w:val="0"/>
                      <w:sz w:val="21"/>
                      <w:szCs w:val="21"/>
                    </w:rPr>
                    <w:t xml:space="preserve"> 废气收集处理系统</w:t>
                  </w:r>
                  <w:r>
                    <w:rPr>
                      <w:rFonts w:hint="eastAsia"/>
                      <w:color w:val="auto"/>
                      <w:spacing w:val="0"/>
                      <w:kern w:val="0"/>
                      <w:sz w:val="21"/>
                      <w:szCs w:val="21"/>
                      <w:lang w:eastAsia="zh-CN"/>
                    </w:rPr>
                    <w:t>；</w:t>
                  </w:r>
                  <w:r>
                    <w:rPr>
                      <w:rFonts w:hint="default"/>
                      <w:color w:val="auto"/>
                      <w:spacing w:val="0"/>
                      <w:kern w:val="0"/>
                      <w:sz w:val="21"/>
                      <w:szCs w:val="21"/>
                    </w:rPr>
                    <w:t>工艺过程产生的含VOC</w:t>
                  </w:r>
                  <w:r>
                    <w:rPr>
                      <w:rFonts w:hint="eastAsia"/>
                      <w:color w:val="auto"/>
                      <w:spacing w:val="0"/>
                      <w:kern w:val="0"/>
                      <w:sz w:val="21"/>
                      <w:szCs w:val="21"/>
                      <w:vertAlign w:val="subscript"/>
                      <w:lang w:val="en-US" w:eastAsia="zh-CN"/>
                    </w:rPr>
                    <w:t>S</w:t>
                  </w:r>
                  <w:r>
                    <w:rPr>
                      <w:rFonts w:hint="default"/>
                      <w:color w:val="auto"/>
                      <w:spacing w:val="0"/>
                      <w:kern w:val="0"/>
                      <w:sz w:val="21"/>
                      <w:szCs w:val="21"/>
                    </w:rPr>
                    <w:t xml:space="preserve"> 废料（渣、液）应按照第5章、第6章的要求进行储存、转移和输送。盛装过VOC</w:t>
                  </w:r>
                  <w:r>
                    <w:rPr>
                      <w:rFonts w:hint="eastAsia"/>
                      <w:color w:val="auto"/>
                      <w:spacing w:val="0"/>
                      <w:kern w:val="0"/>
                      <w:sz w:val="21"/>
                      <w:szCs w:val="21"/>
                      <w:vertAlign w:val="subscript"/>
                      <w:lang w:val="en-US" w:eastAsia="zh-CN"/>
                    </w:rPr>
                    <w:t>S</w:t>
                  </w:r>
                  <w:r>
                    <w:rPr>
                      <w:rFonts w:hint="default"/>
                      <w:color w:val="auto"/>
                      <w:spacing w:val="0"/>
                      <w:kern w:val="0"/>
                      <w:sz w:val="21"/>
                      <w:szCs w:val="21"/>
                    </w:rPr>
                    <w:t xml:space="preserve"> 物料的废包装容器应加盖密闭。</w:t>
                  </w:r>
                </w:p>
              </w:tc>
              <w:tc>
                <w:tcPr>
                  <w:tcW w:w="1212" w:type="pct"/>
                  <w:noWrap w:val="0"/>
                  <w:vAlign w:val="center"/>
                </w:tcPr>
                <w:p w14:paraId="6A2E2409">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both"/>
                    <w:textAlignment w:val="auto"/>
                    <w:rPr>
                      <w:rFonts w:hint="eastAsia" w:eastAsia="宋体"/>
                      <w:color w:val="auto"/>
                      <w:spacing w:val="-11"/>
                      <w:kern w:val="0"/>
                      <w:sz w:val="21"/>
                      <w:szCs w:val="21"/>
                      <w:lang w:eastAsia="zh-CN"/>
                    </w:rPr>
                  </w:pPr>
                  <w:r>
                    <w:rPr>
                      <w:rFonts w:hint="default"/>
                      <w:color w:val="auto"/>
                      <w:spacing w:val="0"/>
                      <w:kern w:val="0"/>
                      <w:sz w:val="21"/>
                      <w:szCs w:val="21"/>
                    </w:rPr>
                    <w:t>本项目</w:t>
                  </w:r>
                  <w:r>
                    <w:rPr>
                      <w:rFonts w:hint="eastAsia"/>
                      <w:color w:val="auto"/>
                      <w:spacing w:val="0"/>
                      <w:kern w:val="0"/>
                      <w:sz w:val="21"/>
                      <w:szCs w:val="21"/>
                      <w:lang w:val="en-US" w:eastAsia="zh-CN"/>
                    </w:rPr>
                    <w:t>建成后</w:t>
                  </w:r>
                  <w:r>
                    <w:rPr>
                      <w:rFonts w:hint="default"/>
                      <w:color w:val="auto"/>
                      <w:spacing w:val="0"/>
                      <w:kern w:val="0"/>
                      <w:sz w:val="21"/>
                      <w:szCs w:val="21"/>
                    </w:rPr>
                    <w:t>按照规定建立台账并按要求记录、保存</w:t>
                  </w:r>
                  <w:r>
                    <w:rPr>
                      <w:rFonts w:hint="eastAsia"/>
                      <w:color w:val="auto"/>
                      <w:spacing w:val="0"/>
                      <w:kern w:val="0"/>
                      <w:sz w:val="21"/>
                      <w:szCs w:val="21"/>
                      <w:lang w:eastAsia="zh-CN"/>
                    </w:rPr>
                    <w:t>；</w:t>
                  </w:r>
                  <w:r>
                    <w:rPr>
                      <w:rFonts w:hint="default"/>
                      <w:color w:val="auto"/>
                      <w:spacing w:val="0"/>
                      <w:kern w:val="0"/>
                      <w:sz w:val="21"/>
                      <w:szCs w:val="21"/>
                    </w:rPr>
                    <w:t>项目通风生产设备、操作工位、车间厂房</w:t>
                  </w:r>
                  <w:r>
                    <w:rPr>
                      <w:rFonts w:hint="eastAsia"/>
                      <w:color w:val="auto"/>
                      <w:spacing w:val="0"/>
                      <w:kern w:val="0"/>
                      <w:sz w:val="21"/>
                      <w:szCs w:val="21"/>
                      <w:lang w:val="en-US" w:eastAsia="zh-CN"/>
                    </w:rPr>
                    <w:t>根据</w:t>
                  </w:r>
                  <w:r>
                    <w:rPr>
                      <w:rFonts w:hint="default"/>
                      <w:color w:val="auto"/>
                      <w:spacing w:val="0"/>
                      <w:kern w:val="0"/>
                      <w:sz w:val="21"/>
                      <w:szCs w:val="21"/>
                    </w:rPr>
                    <w:t>安全生产、职业卫生</w:t>
                  </w:r>
                  <w:r>
                    <w:rPr>
                      <w:rFonts w:hint="eastAsia"/>
                      <w:color w:val="auto"/>
                      <w:spacing w:val="0"/>
                      <w:kern w:val="0"/>
                      <w:sz w:val="21"/>
                      <w:szCs w:val="21"/>
                      <w:lang w:val="en-US" w:eastAsia="zh-CN"/>
                    </w:rPr>
                    <w:t>等</w:t>
                  </w:r>
                  <w:r>
                    <w:rPr>
                      <w:rFonts w:hint="default"/>
                      <w:color w:val="auto"/>
                      <w:spacing w:val="0"/>
                      <w:kern w:val="0"/>
                      <w:sz w:val="21"/>
                      <w:szCs w:val="21"/>
                    </w:rPr>
                    <w:t>相关规定</w:t>
                  </w:r>
                  <w:r>
                    <w:rPr>
                      <w:rFonts w:hint="eastAsia"/>
                      <w:color w:val="auto"/>
                      <w:spacing w:val="0"/>
                      <w:kern w:val="0"/>
                      <w:sz w:val="21"/>
                      <w:szCs w:val="21"/>
                      <w:lang w:val="en-US" w:eastAsia="zh-CN"/>
                    </w:rPr>
                    <w:t>设置合理通风量；项目含有机废气</w:t>
                  </w:r>
                  <w:r>
                    <w:rPr>
                      <w:rFonts w:hint="default"/>
                      <w:color w:val="auto"/>
                      <w:spacing w:val="0"/>
                      <w:kern w:val="0"/>
                      <w:sz w:val="21"/>
                      <w:szCs w:val="21"/>
                    </w:rPr>
                    <w:t>物料</w:t>
                  </w:r>
                  <w:r>
                    <w:rPr>
                      <w:rFonts w:hint="eastAsia"/>
                      <w:color w:val="auto"/>
                      <w:spacing w:val="0"/>
                      <w:kern w:val="0"/>
                      <w:sz w:val="21"/>
                      <w:szCs w:val="21"/>
                      <w:lang w:val="en-US" w:eastAsia="zh-CN"/>
                    </w:rPr>
                    <w:t>密闭封装；项目调墨、印刷</w:t>
                  </w:r>
                  <w:r>
                    <w:rPr>
                      <w:rFonts w:hint="default"/>
                      <w:color w:val="auto"/>
                      <w:spacing w:val="0"/>
                      <w:kern w:val="0"/>
                      <w:sz w:val="21"/>
                      <w:szCs w:val="21"/>
                    </w:rPr>
                    <w:t>过程</w:t>
                  </w:r>
                  <w:r>
                    <w:rPr>
                      <w:rFonts w:hint="eastAsia"/>
                      <w:color w:val="auto"/>
                      <w:spacing w:val="0"/>
                      <w:kern w:val="0"/>
                      <w:sz w:val="21"/>
                      <w:szCs w:val="21"/>
                      <w:lang w:val="en-US" w:eastAsia="zh-CN"/>
                    </w:rPr>
                    <w:t>中产生的有机废气通过密闭负压</w:t>
                  </w:r>
                  <w:r>
                    <w:rPr>
                      <w:rFonts w:hint="default"/>
                      <w:color w:val="auto"/>
                      <w:spacing w:val="0"/>
                      <w:kern w:val="0"/>
                      <w:sz w:val="21"/>
                      <w:szCs w:val="21"/>
                    </w:rPr>
                    <w:t>收集</w:t>
                  </w:r>
                  <w:r>
                    <w:rPr>
                      <w:rFonts w:hint="eastAsia"/>
                      <w:color w:val="auto"/>
                      <w:spacing w:val="0"/>
                      <w:kern w:val="0"/>
                      <w:sz w:val="21"/>
                      <w:szCs w:val="21"/>
                      <w:lang w:val="en-US" w:eastAsia="zh-CN"/>
                    </w:rPr>
                    <w:t>后由一套“二级活性炭吸附”装置处理达标后排放。</w:t>
                  </w:r>
                </w:p>
              </w:tc>
              <w:tc>
                <w:tcPr>
                  <w:tcW w:w="473" w:type="pct"/>
                  <w:noWrap w:val="0"/>
                  <w:vAlign w:val="center"/>
                </w:tcPr>
                <w:p w14:paraId="2C83BD4E">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center"/>
                    <w:textAlignment w:val="auto"/>
                    <w:rPr>
                      <w:rFonts w:hint="default"/>
                      <w:color w:val="auto"/>
                      <w:spacing w:val="0"/>
                      <w:kern w:val="0"/>
                      <w:sz w:val="21"/>
                      <w:szCs w:val="21"/>
                    </w:rPr>
                  </w:pPr>
                  <w:r>
                    <w:rPr>
                      <w:rFonts w:hint="eastAsia"/>
                      <w:color w:val="auto"/>
                      <w:spacing w:val="-11"/>
                      <w:sz w:val="21"/>
                      <w:szCs w:val="21"/>
                      <w:lang w:val="en-US" w:eastAsia="zh-CN"/>
                    </w:rPr>
                    <w:t>符合</w:t>
                  </w:r>
                </w:p>
              </w:tc>
            </w:tr>
          </w:tbl>
          <w:p w14:paraId="5D5141BC">
            <w:pPr>
              <w:spacing w:line="360" w:lineRule="auto"/>
              <w:ind w:firstLine="480" w:firstLineChars="200"/>
              <w:rPr>
                <w:color w:val="auto"/>
                <w:sz w:val="24"/>
              </w:rPr>
            </w:pPr>
            <w:r>
              <w:rPr>
                <w:color w:val="auto"/>
                <w:sz w:val="24"/>
              </w:rPr>
              <w:t>综上所述，本项目符合《挥发性有机物无组织排放控制标准》 （GB37822-2019）相关要求。</w:t>
            </w:r>
          </w:p>
          <w:p w14:paraId="0D16A333">
            <w:pPr>
              <w:pStyle w:val="78"/>
              <w:keepNext w:val="0"/>
              <w:keepLines w:val="0"/>
              <w:suppressLineNumbers w:val="0"/>
              <w:spacing w:before="0" w:beforeAutospacing="0" w:after="0" w:afterAutospacing="0"/>
              <w:ind w:left="0" w:leftChars="0" w:right="0" w:firstLine="482" w:firstLineChars="200"/>
              <w:jc w:val="left"/>
              <w:rPr>
                <w:rFonts w:hint="eastAsia"/>
                <w:b/>
                <w:bCs w:val="0"/>
                <w:color w:val="auto"/>
                <w:kern w:val="2"/>
                <w:lang w:val="en-US" w:eastAsia="zh-CN"/>
              </w:rPr>
            </w:pPr>
            <w:r>
              <w:rPr>
                <w:rFonts w:hint="eastAsia"/>
                <w:b/>
                <w:bCs w:val="0"/>
                <w:color w:val="auto"/>
                <w:kern w:val="2"/>
                <w:lang w:val="en-US" w:eastAsia="zh-CN"/>
              </w:rPr>
              <w:t>11、与《关于印发&lt;重点行业挥发性有机物综合治理方案&gt;的通知》相符性分析</w:t>
            </w:r>
          </w:p>
          <w:p w14:paraId="7E1A51EB">
            <w:pPr>
              <w:pStyle w:val="78"/>
              <w:keepNext w:val="0"/>
              <w:keepLines w:val="0"/>
              <w:suppressLineNumbers w:val="0"/>
              <w:spacing w:before="0" w:beforeAutospacing="0" w:after="0" w:afterAutospacing="0"/>
              <w:ind w:left="0" w:right="0" w:firstLine="480" w:firstLineChars="200"/>
              <w:jc w:val="both"/>
              <w:rPr>
                <w:rFonts w:hint="eastAsia"/>
                <w:b w:val="0"/>
                <w:bCs/>
                <w:color w:val="auto"/>
                <w:kern w:val="2"/>
                <w:lang w:val="en-US" w:eastAsia="zh-CN"/>
              </w:rPr>
            </w:pPr>
            <w:r>
              <w:rPr>
                <w:rFonts w:hint="eastAsia"/>
                <w:b w:val="0"/>
                <w:bCs/>
                <w:color w:val="auto"/>
                <w:kern w:val="2"/>
                <w:lang w:val="en-US" w:eastAsia="zh-CN"/>
              </w:rPr>
              <w:t>《关于印发&lt;重点行业挥发性有机物综合治理方案&gt;的通知》（环大气</w:t>
            </w:r>
            <w:r>
              <w:rPr>
                <w:rFonts w:eastAsia="宋体"/>
                <w:b w:val="0"/>
                <w:bCs/>
                <w:color w:val="auto"/>
              </w:rPr>
              <w:t>〔20</w:t>
            </w:r>
            <w:r>
              <w:rPr>
                <w:rFonts w:hint="eastAsia" w:eastAsia="宋体"/>
                <w:b w:val="0"/>
                <w:bCs/>
                <w:color w:val="auto"/>
                <w:lang w:val="en-US" w:eastAsia="zh-CN"/>
              </w:rPr>
              <w:t>19</w:t>
            </w:r>
            <w:r>
              <w:rPr>
                <w:rFonts w:eastAsia="宋体"/>
                <w:b w:val="0"/>
                <w:bCs/>
                <w:color w:val="auto"/>
              </w:rPr>
              <w:t>〕</w:t>
            </w:r>
            <w:r>
              <w:rPr>
                <w:rFonts w:hint="eastAsia"/>
                <w:b w:val="0"/>
                <w:bCs/>
                <w:color w:val="auto"/>
                <w:kern w:val="2"/>
                <w:lang w:val="en-US" w:eastAsia="zh-CN"/>
              </w:rPr>
              <w:t>53号）指出“相对于颗粒物、二氧化硫、氮氧化物污染控制，VOCs管理基础薄弱，已成为大气环境管理短板。石化、化工、工业涂装、包装印刷、油品储运销等行业（以下简称重点行业）是我国 VOCs 重点排放源。为打赢蓝天保卫战、进一步改善环境空气质量，迫切需要全面加强重点行业 VOCs 综合治理”。</w:t>
            </w:r>
          </w:p>
          <w:p w14:paraId="57B4B151">
            <w:pPr>
              <w:pStyle w:val="7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b/>
                <w:bCs/>
                <w:color w:val="auto"/>
                <w:lang w:val="en-US" w:eastAsia="zh-CN"/>
              </w:rPr>
            </w:pPr>
            <w:r>
              <w:rPr>
                <w:rFonts w:hint="eastAsia"/>
                <w:b/>
                <w:bCs/>
                <w:color w:val="auto"/>
                <w:lang w:val="en-US" w:eastAsia="zh-CN"/>
              </w:rPr>
              <w:t>表1-10  与《关于印发&lt;重点行业挥发性有机物综合治理方案&gt;的通知》相符性分析</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66"/>
              <w:gridCol w:w="3519"/>
              <w:gridCol w:w="2771"/>
              <w:gridCol w:w="746"/>
            </w:tblGrid>
            <w:tr w14:paraId="18DECF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3" w:hRule="atLeast"/>
                <w:jc w:val="center"/>
              </w:trPr>
              <w:tc>
                <w:tcPr>
                  <w:tcW w:w="548" w:type="pct"/>
                  <w:noWrap w:val="0"/>
                  <w:vAlign w:val="center"/>
                </w:tcPr>
                <w:p w14:paraId="0062A6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auto"/>
                    <w:rPr>
                      <w:rFonts w:hint="default"/>
                      <w:b/>
                      <w:bCs/>
                      <w:color w:val="auto"/>
                      <w:sz w:val="21"/>
                      <w:szCs w:val="21"/>
                    </w:rPr>
                  </w:pPr>
                  <w:r>
                    <w:rPr>
                      <w:rFonts w:hint="default"/>
                      <w:b/>
                      <w:bCs/>
                      <w:color w:val="auto"/>
                      <w:sz w:val="21"/>
                      <w:szCs w:val="21"/>
                    </w:rPr>
                    <w:t>类 别</w:t>
                  </w:r>
                </w:p>
              </w:tc>
              <w:tc>
                <w:tcPr>
                  <w:tcW w:w="2226" w:type="pct"/>
                  <w:noWrap w:val="0"/>
                  <w:vAlign w:val="center"/>
                </w:tcPr>
                <w:p w14:paraId="5F6F0F1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auto"/>
                    <w:rPr>
                      <w:rFonts w:hint="default"/>
                      <w:b/>
                      <w:bCs/>
                      <w:color w:val="auto"/>
                      <w:sz w:val="21"/>
                      <w:szCs w:val="21"/>
                    </w:rPr>
                  </w:pPr>
                  <w:r>
                    <w:rPr>
                      <w:rFonts w:hint="eastAsia"/>
                      <w:b/>
                      <w:bCs/>
                      <w:color w:val="auto"/>
                      <w:lang w:val="en-US" w:eastAsia="zh-CN"/>
                    </w:rPr>
                    <w:t>方案</w:t>
                  </w:r>
                  <w:r>
                    <w:rPr>
                      <w:rFonts w:hint="default"/>
                      <w:b/>
                      <w:bCs/>
                      <w:color w:val="auto"/>
                      <w:sz w:val="21"/>
                      <w:szCs w:val="21"/>
                    </w:rPr>
                    <w:t>相关要求</w:t>
                  </w:r>
                </w:p>
              </w:tc>
              <w:tc>
                <w:tcPr>
                  <w:tcW w:w="1753" w:type="pct"/>
                  <w:noWrap w:val="0"/>
                  <w:vAlign w:val="center"/>
                </w:tcPr>
                <w:p w14:paraId="0119DE5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auto"/>
                    <w:rPr>
                      <w:rFonts w:hint="default"/>
                      <w:b/>
                      <w:bCs/>
                      <w:color w:val="auto"/>
                      <w:sz w:val="21"/>
                      <w:szCs w:val="21"/>
                    </w:rPr>
                  </w:pPr>
                  <w:r>
                    <w:rPr>
                      <w:rFonts w:hint="default"/>
                      <w:b/>
                      <w:bCs/>
                      <w:color w:val="auto"/>
                      <w:sz w:val="21"/>
                      <w:szCs w:val="21"/>
                    </w:rPr>
                    <w:t>本项目情况</w:t>
                  </w:r>
                </w:p>
              </w:tc>
              <w:tc>
                <w:tcPr>
                  <w:tcW w:w="471" w:type="pct"/>
                  <w:noWrap w:val="0"/>
                  <w:vAlign w:val="center"/>
                </w:tcPr>
                <w:p w14:paraId="4B2DFB6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auto"/>
                    <w:rPr>
                      <w:rFonts w:hint="eastAsia" w:eastAsia="宋体"/>
                      <w:b/>
                      <w:bCs/>
                      <w:color w:val="auto"/>
                      <w:sz w:val="21"/>
                      <w:szCs w:val="21"/>
                      <w:lang w:val="en-US" w:eastAsia="zh-CN"/>
                    </w:rPr>
                  </w:pPr>
                  <w:r>
                    <w:rPr>
                      <w:rFonts w:hint="eastAsia"/>
                      <w:b/>
                      <w:bCs/>
                      <w:color w:val="auto"/>
                      <w:sz w:val="21"/>
                      <w:szCs w:val="21"/>
                      <w:lang w:val="en-US" w:eastAsia="zh-CN"/>
                    </w:rPr>
                    <w:t>相符性</w:t>
                  </w:r>
                </w:p>
              </w:tc>
            </w:tr>
            <w:tr w14:paraId="3F4EC3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48" w:type="pct"/>
                  <w:noWrap w:val="0"/>
                  <w:vAlign w:val="center"/>
                </w:tcPr>
                <w:p w14:paraId="43F0C533">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大力推进源头控制</w:t>
                  </w:r>
                </w:p>
              </w:tc>
              <w:tc>
                <w:tcPr>
                  <w:tcW w:w="2226" w:type="pct"/>
                  <w:noWrap w:val="0"/>
                  <w:vAlign w:val="center"/>
                </w:tcPr>
                <w:p w14:paraId="7428DE7C">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both"/>
                    <w:textAlignment w:val="auto"/>
                    <w:rPr>
                      <w:rFonts w:hint="eastAsia" w:eastAsia="宋体"/>
                      <w:color w:val="auto"/>
                      <w:spacing w:val="-11"/>
                      <w:sz w:val="21"/>
                      <w:szCs w:val="21"/>
                      <w:lang w:eastAsia="zh-CN"/>
                    </w:rPr>
                  </w:pPr>
                  <w:r>
                    <w:rPr>
                      <w:rFonts w:hint="default"/>
                      <w:color w:val="auto"/>
                      <w:spacing w:val="0"/>
                      <w:kern w:val="0"/>
                      <w:sz w:val="21"/>
                      <w:szCs w:val="21"/>
                    </w:rPr>
                    <w:t>通过使用水性、粉末、高固体分、无溶剂、辐射固化等低VOCs 含量的涂料，水性、辐射固化、植物基等低 VOCs 含量的油墨，水基、热熔、无溶剂、辐射固化、改性、生物降解等低 VOCs 含量的胶粘剂，以及低 VOCs 含量、低反应活性的清洗剂等，替代溶剂型涂料、油墨、胶粘剂、清洗剂等，从源头减少VOCs 产生。</w:t>
                  </w:r>
                </w:p>
              </w:tc>
              <w:tc>
                <w:tcPr>
                  <w:tcW w:w="1753" w:type="pct"/>
                  <w:noWrap w:val="0"/>
                  <w:vAlign w:val="center"/>
                </w:tcPr>
                <w:p w14:paraId="1C5B701F">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both"/>
                    <w:textAlignment w:val="auto"/>
                    <w:rPr>
                      <w:rFonts w:hint="eastAsia" w:eastAsia="宋体"/>
                      <w:color w:val="auto"/>
                      <w:spacing w:val="-11"/>
                      <w:sz w:val="21"/>
                      <w:szCs w:val="21"/>
                      <w:lang w:eastAsia="zh-CN"/>
                    </w:rPr>
                  </w:pPr>
                  <w:r>
                    <w:rPr>
                      <w:rFonts w:hint="eastAsia"/>
                      <w:color w:val="auto"/>
                      <w:spacing w:val="-11"/>
                      <w:sz w:val="21"/>
                      <w:szCs w:val="21"/>
                      <w:lang w:val="en-US" w:eastAsia="zh-CN"/>
                    </w:rPr>
                    <w:t>项目生产印刷过程以水性油墨为主，根据客户要求，每年使用溶剂型油墨不大于0.1t。</w:t>
                  </w:r>
                  <w:r>
                    <w:rPr>
                      <w:rFonts w:hint="default" w:ascii="Times New Roman" w:hAnsi="Times New Roman" w:cs="Times New Roman"/>
                      <w:b w:val="0"/>
                      <w:bCs w:val="0"/>
                      <w:color w:val="auto"/>
                      <w:sz w:val="21"/>
                      <w:szCs w:val="21"/>
                      <w:highlight w:val="none"/>
                      <w:lang w:val="en-US" w:eastAsia="zh-CN" w:bidi="ar"/>
                    </w:rPr>
                    <w:t>根据《油墨中可挥发性有机化合物</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bidi="ar"/>
                    </w:rPr>
                    <w:t>VOC</w:t>
                  </w:r>
                  <w:r>
                    <w:rPr>
                      <w:rFonts w:hint="default" w:ascii="Times New Roman" w:hAnsi="Times New Roman" w:cs="Times New Roman"/>
                      <w:b w:val="0"/>
                      <w:bCs w:val="0"/>
                      <w:color w:val="auto"/>
                      <w:sz w:val="21"/>
                      <w:szCs w:val="21"/>
                      <w:highlight w:val="none"/>
                      <w:vertAlign w:val="subscript"/>
                      <w:lang w:val="en-US" w:eastAsia="zh-CN" w:bidi="ar"/>
                    </w:rPr>
                    <w:t>S</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val="en-US" w:eastAsia="zh-CN" w:bidi="ar"/>
                    </w:rPr>
                    <w:t>含量的限值》</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bidi="ar"/>
                    </w:rPr>
                    <w:t>GB38507-2020</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val="en-US" w:eastAsia="zh-CN" w:bidi="ar"/>
                    </w:rPr>
                    <w:t>表1</w:t>
                  </w:r>
                  <w:r>
                    <w:rPr>
                      <w:rFonts w:hint="default" w:ascii="Times New Roman" w:hAnsi="Times New Roman" w:cs="Times New Roman"/>
                      <w:b w:val="0"/>
                      <w:bCs w:val="0"/>
                      <w:color w:val="auto"/>
                      <w:sz w:val="21"/>
                      <w:szCs w:val="21"/>
                      <w:highlight w:val="none"/>
                      <w:lang w:bidi="ar"/>
                    </w:rPr>
                    <w:t>溶剂油墨</w:t>
                  </w:r>
                  <w:r>
                    <w:rPr>
                      <w:rFonts w:hint="default" w:ascii="Times New Roman" w:hAnsi="Times New Roman" w:cs="Times New Roman"/>
                      <w:b w:val="0"/>
                      <w:bCs w:val="0"/>
                      <w:color w:val="auto"/>
                      <w:sz w:val="21"/>
                      <w:szCs w:val="21"/>
                      <w:highlight w:val="none"/>
                      <w:lang w:val="en-US" w:eastAsia="zh-CN" w:bidi="ar"/>
                    </w:rPr>
                    <w:t>中</w:t>
                  </w:r>
                  <w:r>
                    <w:rPr>
                      <w:rFonts w:hint="default" w:ascii="Times New Roman" w:hAnsi="Times New Roman" w:cs="Times New Roman"/>
                      <w:b w:val="0"/>
                      <w:bCs w:val="0"/>
                      <w:color w:val="auto"/>
                      <w:sz w:val="21"/>
                      <w:szCs w:val="21"/>
                      <w:highlight w:val="none"/>
                      <w:lang w:bidi="ar"/>
                    </w:rPr>
                    <w:t>凹印油墨挥发性有机化合物</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bidi="ar"/>
                    </w:rPr>
                    <w:t>VOC</w:t>
                  </w:r>
                  <w:r>
                    <w:rPr>
                      <w:rFonts w:hint="default" w:ascii="Times New Roman" w:hAnsi="Times New Roman" w:cs="Times New Roman"/>
                      <w:b w:val="0"/>
                      <w:bCs w:val="0"/>
                      <w:color w:val="auto"/>
                      <w:sz w:val="21"/>
                      <w:szCs w:val="21"/>
                      <w:highlight w:val="none"/>
                      <w:vertAlign w:val="subscript"/>
                      <w:lang w:val="en-US" w:eastAsia="zh-CN" w:bidi="ar"/>
                    </w:rPr>
                    <w:t>S</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bidi="ar"/>
                    </w:rPr>
                    <w:t>限值</w:t>
                  </w:r>
                  <w:r>
                    <w:rPr>
                      <w:rFonts w:hint="default" w:ascii="Times New Roman" w:hAnsi="Times New Roman" w:cs="Times New Roman"/>
                      <w:b w:val="0"/>
                      <w:bCs w:val="0"/>
                      <w:color w:val="auto"/>
                      <w:sz w:val="21"/>
                      <w:szCs w:val="21"/>
                      <w:highlight w:val="none"/>
                      <w:lang w:val="en-US" w:eastAsia="zh-CN" w:bidi="ar"/>
                    </w:rPr>
                    <w:t>为≤75%，根据MSDS报告，项目油墨</w:t>
                  </w:r>
                  <w:r>
                    <w:rPr>
                      <w:rFonts w:hint="default" w:ascii="Times New Roman" w:hAnsi="Times New Roman" w:cs="Times New Roman"/>
                      <w:b w:val="0"/>
                      <w:bCs w:val="0"/>
                      <w:color w:val="auto"/>
                      <w:sz w:val="21"/>
                      <w:szCs w:val="21"/>
                      <w:highlight w:val="none"/>
                      <w:lang w:val="en-US" w:eastAsia="zh-CN"/>
                    </w:rPr>
                    <w:t>挥发份为71.1%＜</w:t>
                  </w:r>
                  <w:r>
                    <w:rPr>
                      <w:rFonts w:hint="default" w:ascii="Times New Roman" w:hAnsi="Times New Roman" w:cs="Times New Roman"/>
                      <w:b w:val="0"/>
                      <w:bCs w:val="0"/>
                      <w:color w:val="auto"/>
                      <w:sz w:val="21"/>
                      <w:szCs w:val="21"/>
                      <w:highlight w:val="none"/>
                      <w:lang w:val="en-US" w:eastAsia="zh-CN" w:bidi="ar"/>
                    </w:rPr>
                    <w:t>75%，</w:t>
                  </w:r>
                  <w:r>
                    <w:rPr>
                      <w:rFonts w:hint="default" w:ascii="Times New Roman" w:hAnsi="Times New Roman" w:cs="Times New Roman"/>
                      <w:b w:val="0"/>
                      <w:bCs w:val="0"/>
                      <w:color w:val="auto"/>
                      <w:sz w:val="21"/>
                      <w:szCs w:val="21"/>
                      <w:highlight w:val="none"/>
                      <w:lang w:bidi="ar"/>
                    </w:rPr>
                    <w:t>符合标准规定</w:t>
                  </w:r>
                  <w:r>
                    <w:rPr>
                      <w:rFonts w:hint="eastAsia"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val="en-US" w:eastAsia="zh-CN" w:bidi="ar"/>
                    </w:rPr>
                    <w:t>水性油墨</w:t>
                  </w:r>
                  <w:r>
                    <w:rPr>
                      <w:rFonts w:hint="eastAsia" w:cs="Times New Roman"/>
                      <w:b w:val="0"/>
                      <w:bCs w:val="0"/>
                      <w:color w:val="auto"/>
                      <w:sz w:val="21"/>
                      <w:szCs w:val="21"/>
                      <w:highlight w:val="none"/>
                      <w:lang w:val="en-US" w:eastAsia="zh-CN" w:bidi="ar"/>
                    </w:rPr>
                    <w:t>中</w:t>
                  </w:r>
                  <w:r>
                    <w:rPr>
                      <w:rFonts w:hint="default" w:ascii="Times New Roman" w:hAnsi="Times New Roman" w:cs="Times New Roman"/>
                      <w:b w:val="0"/>
                      <w:bCs w:val="0"/>
                      <w:color w:val="auto"/>
                      <w:sz w:val="21"/>
                      <w:szCs w:val="21"/>
                      <w:highlight w:val="none"/>
                      <w:lang w:bidi="ar"/>
                    </w:rPr>
                    <w:t>凹印油墨挥发性有机化合物</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bidi="ar"/>
                    </w:rPr>
                    <w:t>VOC</w:t>
                  </w:r>
                  <w:r>
                    <w:rPr>
                      <w:rFonts w:hint="default" w:ascii="Times New Roman" w:hAnsi="Times New Roman" w:cs="Times New Roman"/>
                      <w:b w:val="0"/>
                      <w:bCs w:val="0"/>
                      <w:color w:val="auto"/>
                      <w:sz w:val="21"/>
                      <w:szCs w:val="21"/>
                      <w:highlight w:val="none"/>
                      <w:vertAlign w:val="subscript"/>
                      <w:lang w:val="en-US" w:eastAsia="zh-CN" w:bidi="ar"/>
                    </w:rPr>
                    <w:t>S</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bidi="ar"/>
                    </w:rPr>
                    <w:t>限值</w:t>
                  </w:r>
                  <w:r>
                    <w:rPr>
                      <w:rFonts w:hint="default" w:ascii="Times New Roman" w:hAnsi="Times New Roman" w:cs="Times New Roman"/>
                      <w:b w:val="0"/>
                      <w:bCs w:val="0"/>
                      <w:color w:val="auto"/>
                      <w:sz w:val="21"/>
                      <w:szCs w:val="21"/>
                      <w:highlight w:val="none"/>
                      <w:lang w:val="en-US" w:eastAsia="zh-CN" w:bidi="ar"/>
                    </w:rPr>
                    <w:t>为≤</w:t>
                  </w:r>
                  <w:r>
                    <w:rPr>
                      <w:rFonts w:hint="eastAsia" w:cs="Times New Roman"/>
                      <w:b w:val="0"/>
                      <w:bCs w:val="0"/>
                      <w:color w:val="auto"/>
                      <w:sz w:val="21"/>
                      <w:szCs w:val="21"/>
                      <w:highlight w:val="none"/>
                      <w:lang w:val="en-US" w:eastAsia="zh-CN" w:bidi="ar"/>
                    </w:rPr>
                    <w:t>30</w:t>
                  </w:r>
                  <w:r>
                    <w:rPr>
                      <w:rFonts w:hint="default" w:ascii="Times New Roman" w:hAnsi="Times New Roman" w:cs="Times New Roman"/>
                      <w:b w:val="0"/>
                      <w:bCs w:val="0"/>
                      <w:color w:val="auto"/>
                      <w:sz w:val="21"/>
                      <w:szCs w:val="21"/>
                      <w:highlight w:val="none"/>
                      <w:lang w:val="en-US" w:eastAsia="zh-CN" w:bidi="ar"/>
                    </w:rPr>
                    <w:t>%</w:t>
                  </w:r>
                  <w:r>
                    <w:rPr>
                      <w:rFonts w:hint="eastAsia" w:cs="Times New Roman"/>
                      <w:b w:val="0"/>
                      <w:bCs w:val="0"/>
                      <w:color w:val="auto"/>
                      <w:sz w:val="21"/>
                      <w:szCs w:val="21"/>
                      <w:highlight w:val="none"/>
                      <w:lang w:val="en-US" w:eastAsia="zh-CN" w:bidi="ar"/>
                    </w:rPr>
                    <w:t>（非吸收性承印物）</w:t>
                  </w:r>
                  <w:r>
                    <w:rPr>
                      <w:rFonts w:hint="default" w:ascii="Times New Roman" w:hAnsi="Times New Roman" w:cs="Times New Roman"/>
                      <w:b w:val="0"/>
                      <w:bCs w:val="0"/>
                      <w:color w:val="auto"/>
                      <w:sz w:val="21"/>
                      <w:szCs w:val="21"/>
                      <w:highlight w:val="none"/>
                      <w:lang w:val="en-US" w:eastAsia="zh-CN" w:bidi="ar"/>
                    </w:rPr>
                    <w:t>，根据MSDS报告，项目</w:t>
                  </w:r>
                  <w:r>
                    <w:rPr>
                      <w:rFonts w:hint="eastAsia" w:cs="Times New Roman"/>
                      <w:b w:val="0"/>
                      <w:bCs w:val="0"/>
                      <w:color w:val="auto"/>
                      <w:sz w:val="21"/>
                      <w:szCs w:val="21"/>
                      <w:highlight w:val="none"/>
                      <w:lang w:val="en-US" w:eastAsia="zh-CN" w:bidi="ar"/>
                    </w:rPr>
                    <w:t>水性</w:t>
                  </w:r>
                  <w:r>
                    <w:rPr>
                      <w:rFonts w:hint="default" w:ascii="Times New Roman" w:hAnsi="Times New Roman" w:cs="Times New Roman"/>
                      <w:b w:val="0"/>
                      <w:bCs w:val="0"/>
                      <w:color w:val="auto"/>
                      <w:sz w:val="21"/>
                      <w:szCs w:val="21"/>
                      <w:highlight w:val="none"/>
                      <w:lang w:val="en-US" w:eastAsia="zh-CN" w:bidi="ar"/>
                    </w:rPr>
                    <w:t>油墨</w:t>
                  </w:r>
                  <w:r>
                    <w:rPr>
                      <w:rFonts w:hint="default" w:ascii="Times New Roman" w:hAnsi="Times New Roman" w:cs="Times New Roman"/>
                      <w:b w:val="0"/>
                      <w:bCs w:val="0"/>
                      <w:color w:val="auto"/>
                      <w:sz w:val="21"/>
                      <w:szCs w:val="21"/>
                      <w:highlight w:val="none"/>
                      <w:lang w:val="en-US" w:eastAsia="zh-CN"/>
                    </w:rPr>
                    <w:t>挥发份为</w:t>
                  </w:r>
                  <w:r>
                    <w:rPr>
                      <w:rFonts w:hint="eastAsia" w:cs="Times New Roman"/>
                      <w:b w:val="0"/>
                      <w:bCs w:val="0"/>
                      <w:color w:val="auto"/>
                      <w:sz w:val="21"/>
                      <w:szCs w:val="21"/>
                      <w:highlight w:val="none"/>
                      <w:lang w:val="en-US" w:eastAsia="zh-CN"/>
                    </w:rPr>
                    <w:t>29.6</w:t>
                  </w:r>
                  <w:r>
                    <w:rPr>
                      <w:rFonts w:hint="default" w:ascii="Times New Roman" w:hAnsi="Times New Roman" w:cs="Times New Roman"/>
                      <w:b w:val="0"/>
                      <w:bCs w:val="0"/>
                      <w:color w:val="auto"/>
                      <w:sz w:val="21"/>
                      <w:szCs w:val="21"/>
                      <w:highlight w:val="none"/>
                      <w:lang w:val="en-US" w:eastAsia="zh-CN"/>
                    </w:rPr>
                    <w:t>%＜</w:t>
                  </w:r>
                  <w:r>
                    <w:rPr>
                      <w:rFonts w:hint="eastAsia" w:cs="Times New Roman"/>
                      <w:b w:val="0"/>
                      <w:bCs w:val="0"/>
                      <w:color w:val="auto"/>
                      <w:sz w:val="21"/>
                      <w:szCs w:val="21"/>
                      <w:highlight w:val="none"/>
                      <w:lang w:val="en-US" w:eastAsia="zh-CN" w:bidi="ar"/>
                    </w:rPr>
                    <w:t>30</w:t>
                  </w:r>
                  <w:r>
                    <w:rPr>
                      <w:rFonts w:hint="default" w:ascii="Times New Roman" w:hAnsi="Times New Roman" w:cs="Times New Roman"/>
                      <w:b w:val="0"/>
                      <w:bCs w:val="0"/>
                      <w:color w:val="auto"/>
                      <w:sz w:val="21"/>
                      <w:szCs w:val="21"/>
                      <w:highlight w:val="none"/>
                      <w:lang w:val="en-US" w:eastAsia="zh-CN" w:bidi="ar"/>
                    </w:rPr>
                    <w:t>%</w:t>
                  </w:r>
                  <w:r>
                    <w:rPr>
                      <w:rFonts w:hint="eastAsia" w:cs="Times New Roman"/>
                      <w:b w:val="0"/>
                      <w:bCs w:val="0"/>
                      <w:color w:val="auto"/>
                      <w:sz w:val="21"/>
                      <w:szCs w:val="21"/>
                      <w:highlight w:val="none"/>
                      <w:lang w:val="en-US" w:eastAsia="zh-CN" w:bidi="ar"/>
                    </w:rPr>
                    <w:t>，因此项目涂料</w:t>
                  </w:r>
                  <w:r>
                    <w:rPr>
                      <w:rFonts w:hint="default"/>
                      <w:color w:val="auto"/>
                      <w:spacing w:val="-11"/>
                      <w:sz w:val="21"/>
                      <w:szCs w:val="21"/>
                    </w:rPr>
                    <w:t>符合源头控制要求。</w:t>
                  </w:r>
                </w:p>
              </w:tc>
              <w:tc>
                <w:tcPr>
                  <w:tcW w:w="471" w:type="pct"/>
                  <w:noWrap w:val="0"/>
                  <w:vAlign w:val="center"/>
                </w:tcPr>
                <w:p w14:paraId="7B5F5BFB">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center"/>
                    <w:textAlignment w:val="auto"/>
                    <w:rPr>
                      <w:rFonts w:hint="eastAsia" w:eastAsia="宋体"/>
                      <w:color w:val="auto"/>
                      <w:spacing w:val="-11"/>
                      <w:sz w:val="21"/>
                      <w:szCs w:val="21"/>
                      <w:lang w:val="en-US" w:eastAsia="zh-CN"/>
                    </w:rPr>
                  </w:pPr>
                  <w:r>
                    <w:rPr>
                      <w:rFonts w:hint="eastAsia"/>
                      <w:color w:val="auto"/>
                      <w:spacing w:val="-11"/>
                      <w:sz w:val="21"/>
                      <w:szCs w:val="21"/>
                      <w:lang w:val="en-US" w:eastAsia="zh-CN"/>
                    </w:rPr>
                    <w:t>符合</w:t>
                  </w:r>
                </w:p>
              </w:tc>
            </w:tr>
            <w:tr w14:paraId="7B41B8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813" w:hRule="atLeast"/>
                <w:jc w:val="center"/>
              </w:trPr>
              <w:tc>
                <w:tcPr>
                  <w:tcW w:w="548" w:type="pct"/>
                  <w:vMerge w:val="restart"/>
                  <w:noWrap w:val="0"/>
                  <w:vAlign w:val="center"/>
                </w:tcPr>
                <w:p w14:paraId="2CA37559">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全面加强无组织排放控制</w:t>
                  </w:r>
                </w:p>
              </w:tc>
              <w:tc>
                <w:tcPr>
                  <w:tcW w:w="2226" w:type="pct"/>
                  <w:noWrap w:val="0"/>
                  <w:vAlign w:val="center"/>
                </w:tcPr>
                <w:p w14:paraId="7F4D6435">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both"/>
                    <w:textAlignment w:val="auto"/>
                    <w:rPr>
                      <w:rFonts w:hint="default"/>
                      <w:color w:val="auto"/>
                      <w:spacing w:val="-11"/>
                      <w:kern w:val="0"/>
                      <w:sz w:val="21"/>
                      <w:szCs w:val="21"/>
                    </w:rPr>
                  </w:pPr>
                  <w:r>
                    <w:rPr>
                      <w:rFonts w:hint="eastAsia"/>
                      <w:color w:val="auto"/>
                    </w:rPr>
                    <w:t>加强设备与场所密闭管理，含VOCs物料生产和使用过程</w:t>
                  </w:r>
                  <w:r>
                    <w:rPr>
                      <w:rFonts w:hint="eastAsia"/>
                      <w:color w:val="auto"/>
                      <w:lang w:eastAsia="zh-CN"/>
                    </w:rPr>
                    <w:t>，</w:t>
                  </w:r>
                  <w:r>
                    <w:rPr>
                      <w:rFonts w:hint="eastAsia"/>
                      <w:color w:val="auto"/>
                    </w:rPr>
                    <w:t>应采取有效收集措施或在密闭空间中操作。</w:t>
                  </w:r>
                </w:p>
              </w:tc>
              <w:tc>
                <w:tcPr>
                  <w:tcW w:w="1753" w:type="pct"/>
                  <w:vMerge w:val="restart"/>
                  <w:noWrap w:val="0"/>
                  <w:vAlign w:val="center"/>
                </w:tcPr>
                <w:p w14:paraId="368DE658">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both"/>
                    <w:textAlignment w:val="auto"/>
                    <w:rPr>
                      <w:rFonts w:hint="eastAsia" w:eastAsia="宋体"/>
                      <w:color w:val="auto"/>
                      <w:spacing w:val="-11"/>
                      <w:sz w:val="21"/>
                      <w:szCs w:val="21"/>
                      <w:lang w:eastAsia="zh-CN"/>
                    </w:rPr>
                  </w:pPr>
                  <w:r>
                    <w:rPr>
                      <w:rFonts w:hint="eastAsia"/>
                      <w:color w:val="auto"/>
                      <w:spacing w:val="-11"/>
                      <w:sz w:val="21"/>
                      <w:szCs w:val="21"/>
                      <w:lang w:val="en-US" w:eastAsia="zh-CN"/>
                    </w:rPr>
                    <w:t>项目生产过程中产生的</w:t>
                  </w:r>
                  <w:r>
                    <w:rPr>
                      <w:rFonts w:hint="default"/>
                      <w:color w:val="auto"/>
                      <w:spacing w:val="-11"/>
                      <w:sz w:val="21"/>
                      <w:szCs w:val="21"/>
                    </w:rPr>
                    <w:t>有机废气均采取</w:t>
                  </w:r>
                  <w:r>
                    <w:rPr>
                      <w:rFonts w:hint="eastAsia"/>
                      <w:color w:val="auto"/>
                      <w:spacing w:val="-11"/>
                      <w:sz w:val="21"/>
                      <w:szCs w:val="21"/>
                      <w:lang w:val="en-US" w:eastAsia="zh-CN"/>
                    </w:rPr>
                    <w:t>密闭负压</w:t>
                  </w:r>
                  <w:r>
                    <w:rPr>
                      <w:rFonts w:hint="default"/>
                      <w:color w:val="auto"/>
                      <w:spacing w:val="-11"/>
                      <w:sz w:val="21"/>
                      <w:szCs w:val="21"/>
                    </w:rPr>
                    <w:t>集气措施，加强了对有机废气的收集处理，符合文件要求。</w:t>
                  </w:r>
                </w:p>
              </w:tc>
              <w:tc>
                <w:tcPr>
                  <w:tcW w:w="471" w:type="pct"/>
                  <w:vMerge w:val="restart"/>
                  <w:noWrap w:val="0"/>
                  <w:vAlign w:val="center"/>
                </w:tcPr>
                <w:p w14:paraId="4488451D">
                  <w:pPr>
                    <w:keepNext w:val="0"/>
                    <w:keepLines w:val="0"/>
                    <w:pageBreakBefore w:val="0"/>
                    <w:suppressLineNumbers w:val="0"/>
                    <w:kinsoku/>
                    <w:wordWrap/>
                    <w:overflowPunct/>
                    <w:topLinePunct w:val="0"/>
                    <w:bidi w:val="0"/>
                    <w:adjustRightInd/>
                    <w:snapToGrid w:val="0"/>
                    <w:spacing w:before="0" w:beforeAutospacing="0" w:after="0" w:afterAutospacing="0" w:line="240" w:lineRule="auto"/>
                    <w:ind w:left="0" w:leftChars="0" w:right="0" w:firstLine="0" w:firstLineChars="0"/>
                    <w:jc w:val="center"/>
                    <w:textAlignment w:val="auto"/>
                    <w:rPr>
                      <w:rFonts w:hint="default"/>
                      <w:color w:val="auto"/>
                      <w:spacing w:val="-11"/>
                      <w:sz w:val="21"/>
                      <w:szCs w:val="21"/>
                    </w:rPr>
                  </w:pPr>
                  <w:r>
                    <w:rPr>
                      <w:rFonts w:hint="eastAsia"/>
                      <w:color w:val="auto"/>
                      <w:spacing w:val="-11"/>
                      <w:sz w:val="21"/>
                      <w:szCs w:val="21"/>
                      <w:lang w:val="en-US" w:eastAsia="zh-CN"/>
                    </w:rPr>
                    <w:t>符合</w:t>
                  </w:r>
                </w:p>
              </w:tc>
            </w:tr>
            <w:tr w14:paraId="5A01D9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813" w:hRule="atLeast"/>
                <w:jc w:val="center"/>
              </w:trPr>
              <w:tc>
                <w:tcPr>
                  <w:tcW w:w="548" w:type="pct"/>
                  <w:vMerge w:val="continue"/>
                  <w:noWrap w:val="0"/>
                  <w:vAlign w:val="center"/>
                </w:tcPr>
                <w:p w14:paraId="0D8A3099">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center"/>
                    <w:textAlignment w:val="auto"/>
                    <w:rPr>
                      <w:color w:val="auto"/>
                    </w:rPr>
                  </w:pPr>
                </w:p>
              </w:tc>
              <w:tc>
                <w:tcPr>
                  <w:tcW w:w="2226" w:type="pct"/>
                  <w:noWrap w:val="0"/>
                  <w:vAlign w:val="center"/>
                </w:tcPr>
                <w:p w14:paraId="79F0D11B">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both"/>
                    <w:textAlignment w:val="auto"/>
                    <w:rPr>
                      <w:rFonts w:hint="default"/>
                      <w:color w:val="auto"/>
                      <w:spacing w:val="0"/>
                      <w:kern w:val="0"/>
                      <w:sz w:val="21"/>
                      <w:szCs w:val="21"/>
                    </w:rPr>
                  </w:pPr>
                  <w:r>
                    <w:rPr>
                      <w:rFonts w:hint="default"/>
                      <w:color w:val="auto"/>
                      <w:spacing w:val="0"/>
                      <w:kern w:val="0"/>
                      <w:sz w:val="21"/>
                      <w:szCs w:val="21"/>
                    </w:rPr>
                    <w:t>推进使用先进生产工艺。通过采用全密闭、连续化、自动化等生产技术，以及高效工艺与设备等，减少工艺过程无组织排放。</w:t>
                  </w:r>
                </w:p>
              </w:tc>
              <w:tc>
                <w:tcPr>
                  <w:tcW w:w="1753" w:type="pct"/>
                  <w:vMerge w:val="continue"/>
                  <w:noWrap w:val="0"/>
                  <w:vAlign w:val="center"/>
                </w:tcPr>
                <w:p w14:paraId="148384E1">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both"/>
                    <w:textAlignment w:val="auto"/>
                    <w:rPr>
                      <w:rFonts w:hint="default"/>
                      <w:color w:val="auto"/>
                      <w:spacing w:val="0"/>
                      <w:kern w:val="0"/>
                      <w:sz w:val="21"/>
                      <w:szCs w:val="21"/>
                    </w:rPr>
                  </w:pPr>
                </w:p>
              </w:tc>
              <w:tc>
                <w:tcPr>
                  <w:tcW w:w="471" w:type="pct"/>
                  <w:vMerge w:val="continue"/>
                  <w:noWrap w:val="0"/>
                  <w:vAlign w:val="center"/>
                </w:tcPr>
                <w:p w14:paraId="6D62ECF6">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center"/>
                    <w:textAlignment w:val="auto"/>
                    <w:rPr>
                      <w:rFonts w:hint="default"/>
                      <w:color w:val="auto"/>
                      <w:spacing w:val="0"/>
                      <w:kern w:val="0"/>
                      <w:sz w:val="21"/>
                      <w:szCs w:val="21"/>
                    </w:rPr>
                  </w:pPr>
                </w:p>
              </w:tc>
            </w:tr>
            <w:tr w14:paraId="325A10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813" w:hRule="atLeast"/>
                <w:jc w:val="center"/>
              </w:trPr>
              <w:tc>
                <w:tcPr>
                  <w:tcW w:w="548" w:type="pct"/>
                  <w:vMerge w:val="continue"/>
                  <w:noWrap w:val="0"/>
                  <w:vAlign w:val="center"/>
                </w:tcPr>
                <w:p w14:paraId="06C02A81">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center"/>
                    <w:textAlignment w:val="auto"/>
                    <w:rPr>
                      <w:rFonts w:hint="default"/>
                      <w:color w:val="auto"/>
                      <w:spacing w:val="0"/>
                      <w:kern w:val="0"/>
                      <w:sz w:val="21"/>
                      <w:szCs w:val="21"/>
                    </w:rPr>
                  </w:pPr>
                </w:p>
              </w:tc>
              <w:tc>
                <w:tcPr>
                  <w:tcW w:w="2226" w:type="pct"/>
                  <w:noWrap w:val="0"/>
                  <w:vAlign w:val="center"/>
                </w:tcPr>
                <w:p w14:paraId="45D69997">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both"/>
                    <w:textAlignment w:val="auto"/>
                    <w:rPr>
                      <w:rFonts w:hint="default"/>
                      <w:color w:val="auto"/>
                      <w:spacing w:val="0"/>
                      <w:kern w:val="0"/>
                      <w:sz w:val="21"/>
                      <w:szCs w:val="21"/>
                    </w:rPr>
                  </w:pPr>
                  <w:r>
                    <w:rPr>
                      <w:rFonts w:hint="default"/>
                      <w:color w:val="auto"/>
                      <w:spacing w:val="0"/>
                      <w:kern w:val="0"/>
                      <w:sz w:val="21"/>
                      <w:szCs w:val="21"/>
                    </w:rPr>
                    <w:t>提高集气效率。遵循</w:t>
                  </w:r>
                  <w:r>
                    <w:rPr>
                      <w:rFonts w:hint="eastAsia"/>
                      <w:color w:val="auto"/>
                      <w:spacing w:val="0"/>
                      <w:kern w:val="0"/>
                      <w:sz w:val="21"/>
                      <w:szCs w:val="21"/>
                      <w:lang w:eastAsia="zh-CN"/>
                    </w:rPr>
                    <w:t>“</w:t>
                  </w:r>
                  <w:r>
                    <w:rPr>
                      <w:rFonts w:hint="default"/>
                      <w:color w:val="auto"/>
                      <w:spacing w:val="0"/>
                      <w:kern w:val="0"/>
                      <w:sz w:val="21"/>
                      <w:szCs w:val="21"/>
                    </w:rPr>
                    <w:t>应收尽收、分质收集</w:t>
                  </w:r>
                  <w:r>
                    <w:rPr>
                      <w:rFonts w:hint="eastAsia"/>
                      <w:color w:val="auto"/>
                      <w:spacing w:val="0"/>
                      <w:kern w:val="0"/>
                      <w:sz w:val="21"/>
                      <w:szCs w:val="21"/>
                      <w:lang w:eastAsia="zh-CN"/>
                    </w:rPr>
                    <w:t>”</w:t>
                  </w:r>
                  <w:r>
                    <w:rPr>
                      <w:rFonts w:hint="default"/>
                      <w:color w:val="auto"/>
                      <w:spacing w:val="0"/>
                      <w:kern w:val="0"/>
                      <w:sz w:val="21"/>
                      <w:szCs w:val="21"/>
                    </w:rPr>
                    <w:t>的原则，科学设计废气收集系统，将无组织排放转变为有组织排放进行控制。</w:t>
                  </w:r>
                </w:p>
              </w:tc>
              <w:tc>
                <w:tcPr>
                  <w:tcW w:w="1753" w:type="pct"/>
                  <w:vMerge w:val="continue"/>
                  <w:noWrap w:val="0"/>
                  <w:vAlign w:val="center"/>
                </w:tcPr>
                <w:p w14:paraId="5AC2F8DA">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both"/>
                    <w:textAlignment w:val="auto"/>
                    <w:rPr>
                      <w:rFonts w:hint="default"/>
                      <w:color w:val="auto"/>
                      <w:spacing w:val="0"/>
                      <w:kern w:val="0"/>
                      <w:sz w:val="21"/>
                      <w:szCs w:val="21"/>
                    </w:rPr>
                  </w:pPr>
                </w:p>
              </w:tc>
              <w:tc>
                <w:tcPr>
                  <w:tcW w:w="471" w:type="pct"/>
                  <w:vMerge w:val="continue"/>
                  <w:noWrap w:val="0"/>
                  <w:vAlign w:val="center"/>
                </w:tcPr>
                <w:p w14:paraId="4588E53A">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center"/>
                    <w:textAlignment w:val="auto"/>
                    <w:rPr>
                      <w:rFonts w:hint="default"/>
                      <w:color w:val="auto"/>
                      <w:spacing w:val="0"/>
                      <w:kern w:val="0"/>
                      <w:sz w:val="21"/>
                      <w:szCs w:val="21"/>
                    </w:rPr>
                  </w:pPr>
                </w:p>
              </w:tc>
            </w:tr>
            <w:tr w14:paraId="026735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813" w:hRule="atLeast"/>
                <w:jc w:val="center"/>
              </w:trPr>
              <w:tc>
                <w:tcPr>
                  <w:tcW w:w="548" w:type="pct"/>
                  <w:noWrap w:val="0"/>
                  <w:vAlign w:val="center"/>
                </w:tcPr>
                <w:p w14:paraId="5824895C">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center"/>
                    <w:textAlignment w:val="auto"/>
                    <w:rPr>
                      <w:rFonts w:hint="default" w:eastAsia="宋体"/>
                      <w:color w:val="auto"/>
                      <w:spacing w:val="0"/>
                      <w:kern w:val="0"/>
                      <w:sz w:val="21"/>
                      <w:szCs w:val="21"/>
                      <w:lang w:val="en-US" w:eastAsia="zh-CN"/>
                    </w:rPr>
                  </w:pPr>
                  <w:r>
                    <w:rPr>
                      <w:rFonts w:hint="eastAsia"/>
                      <w:color w:val="auto"/>
                      <w:spacing w:val="0"/>
                      <w:kern w:val="0"/>
                      <w:sz w:val="21"/>
                      <w:szCs w:val="21"/>
                      <w:lang w:val="en-US" w:eastAsia="zh-CN"/>
                    </w:rPr>
                    <w:t>推进建设适宜高效的治理设施</w:t>
                  </w:r>
                </w:p>
              </w:tc>
              <w:tc>
                <w:tcPr>
                  <w:tcW w:w="2226" w:type="pct"/>
                  <w:noWrap w:val="0"/>
                  <w:vAlign w:val="center"/>
                </w:tcPr>
                <w:p w14:paraId="043C2073">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both"/>
                    <w:textAlignment w:val="auto"/>
                    <w:rPr>
                      <w:rFonts w:hint="default"/>
                      <w:color w:val="auto"/>
                      <w:spacing w:val="0"/>
                      <w:kern w:val="0"/>
                      <w:sz w:val="21"/>
                      <w:szCs w:val="21"/>
                    </w:rPr>
                  </w:pPr>
                  <w:r>
                    <w:rPr>
                      <w:rFonts w:hint="default"/>
                      <w:color w:val="auto"/>
                      <w:spacing w:val="0"/>
                      <w:kern w:val="0"/>
                      <w:sz w:val="21"/>
                      <w:szCs w:val="21"/>
                    </w:rPr>
                    <w:t>企业新建治污设施或对现有治污设施实施改造，应依据排放废气的浓度、组分、风量，温度、湿度、压力，以及生产工况等，合理选择治理技术。鼓励企业采用多种技术的组合工艺，提高 VOCs治理效率。</w:t>
                  </w:r>
                </w:p>
              </w:tc>
              <w:tc>
                <w:tcPr>
                  <w:tcW w:w="1753" w:type="pct"/>
                  <w:noWrap w:val="0"/>
                  <w:vAlign w:val="center"/>
                </w:tcPr>
                <w:p w14:paraId="7161C88D">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both"/>
                    <w:textAlignment w:val="auto"/>
                    <w:rPr>
                      <w:rFonts w:hint="default"/>
                      <w:color w:val="auto"/>
                      <w:spacing w:val="0"/>
                      <w:kern w:val="0"/>
                      <w:sz w:val="21"/>
                      <w:szCs w:val="21"/>
                    </w:rPr>
                  </w:pPr>
                  <w:r>
                    <w:rPr>
                      <w:rFonts w:hint="eastAsia"/>
                      <w:color w:val="auto"/>
                      <w:spacing w:val="0"/>
                      <w:kern w:val="0"/>
                      <w:sz w:val="21"/>
                      <w:szCs w:val="21"/>
                      <w:lang w:val="en-US" w:eastAsia="zh-CN"/>
                    </w:rPr>
                    <w:t>针对生产过程中产生的</w:t>
                  </w:r>
                  <w:r>
                    <w:rPr>
                      <w:rFonts w:hint="default"/>
                      <w:color w:val="auto"/>
                      <w:spacing w:val="0"/>
                      <w:kern w:val="0"/>
                      <w:sz w:val="21"/>
                      <w:szCs w:val="21"/>
                    </w:rPr>
                    <w:t>有机废气</w:t>
                  </w:r>
                  <w:r>
                    <w:rPr>
                      <w:rFonts w:hint="eastAsia"/>
                      <w:color w:val="auto"/>
                      <w:spacing w:val="0"/>
                      <w:kern w:val="0"/>
                      <w:sz w:val="21"/>
                      <w:szCs w:val="21"/>
                      <w:lang w:eastAsia="zh-CN"/>
                    </w:rPr>
                    <w:t>，</w:t>
                  </w:r>
                  <w:r>
                    <w:rPr>
                      <w:rFonts w:hint="eastAsia"/>
                      <w:color w:val="auto"/>
                      <w:spacing w:val="0"/>
                      <w:kern w:val="0"/>
                      <w:sz w:val="21"/>
                      <w:szCs w:val="21"/>
                      <w:lang w:val="en-US" w:eastAsia="zh-CN"/>
                    </w:rPr>
                    <w:t>本项目采用一套“二级活性炭吸附”装置进行处理</w:t>
                  </w:r>
                  <w:r>
                    <w:rPr>
                      <w:rFonts w:hint="default"/>
                      <w:color w:val="auto"/>
                      <w:spacing w:val="0"/>
                      <w:kern w:val="0"/>
                      <w:sz w:val="21"/>
                      <w:szCs w:val="21"/>
                    </w:rPr>
                    <w:t>，</w:t>
                  </w:r>
                  <w:r>
                    <w:rPr>
                      <w:rFonts w:hint="eastAsia"/>
                      <w:color w:val="auto"/>
                      <w:spacing w:val="0"/>
                      <w:kern w:val="0"/>
                      <w:sz w:val="21"/>
                      <w:szCs w:val="21"/>
                      <w:lang w:val="en-US" w:eastAsia="zh-CN"/>
                    </w:rPr>
                    <w:t>废气经处理后可达标排放，</w:t>
                  </w:r>
                  <w:r>
                    <w:rPr>
                      <w:rFonts w:hint="default"/>
                      <w:color w:val="auto"/>
                      <w:spacing w:val="0"/>
                      <w:kern w:val="0"/>
                      <w:sz w:val="21"/>
                      <w:szCs w:val="21"/>
                    </w:rPr>
                    <w:t>符合文件要求。</w:t>
                  </w:r>
                </w:p>
              </w:tc>
              <w:tc>
                <w:tcPr>
                  <w:tcW w:w="471" w:type="pct"/>
                  <w:noWrap w:val="0"/>
                  <w:vAlign w:val="center"/>
                </w:tcPr>
                <w:p w14:paraId="610C62C7">
                  <w:pPr>
                    <w:keepNext w:val="0"/>
                    <w:keepLines w:val="0"/>
                    <w:pageBreakBefore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firstLine="0" w:firstLineChars="0"/>
                    <w:jc w:val="center"/>
                    <w:textAlignment w:val="auto"/>
                    <w:rPr>
                      <w:rFonts w:hint="default"/>
                      <w:color w:val="auto"/>
                      <w:spacing w:val="0"/>
                      <w:kern w:val="0"/>
                      <w:sz w:val="21"/>
                      <w:szCs w:val="21"/>
                    </w:rPr>
                  </w:pPr>
                  <w:r>
                    <w:rPr>
                      <w:rFonts w:hint="eastAsia"/>
                      <w:color w:val="auto"/>
                      <w:spacing w:val="-11"/>
                      <w:sz w:val="21"/>
                      <w:szCs w:val="21"/>
                      <w:lang w:val="en-US" w:eastAsia="zh-CN"/>
                    </w:rPr>
                    <w:t>符合</w:t>
                  </w:r>
                </w:p>
              </w:tc>
            </w:tr>
          </w:tbl>
          <w:p w14:paraId="795383DF">
            <w:pPr>
              <w:pStyle w:val="80"/>
              <w:ind w:firstLine="480" w:firstLineChars="200"/>
              <w:jc w:val="left"/>
              <w:rPr>
                <w:rFonts w:eastAsia="仿宋_GB2312"/>
                <w:color w:val="auto"/>
                <w:sz w:val="24"/>
              </w:rPr>
            </w:pPr>
            <w:r>
              <w:rPr>
                <w:rFonts w:hint="default" w:ascii="Times New Roman" w:hAnsi="Times New Roman" w:eastAsia="宋体" w:cs="Times New Roman"/>
                <w:b w:val="0"/>
                <w:bCs/>
                <w:color w:val="auto"/>
                <w:kern w:val="2"/>
                <w:lang w:val="en-US" w:eastAsia="zh-CN"/>
              </w:rPr>
              <w:t>综上，本项目符合《关于印发&lt;重点行业挥发性有机物综合治理方案&gt;的通知》（环大气</w:t>
            </w:r>
            <w:r>
              <w:rPr>
                <w:rFonts w:eastAsia="宋体"/>
                <w:b w:val="0"/>
                <w:bCs/>
                <w:color w:val="auto"/>
              </w:rPr>
              <w:t>〔20</w:t>
            </w:r>
            <w:r>
              <w:rPr>
                <w:rFonts w:hint="eastAsia" w:eastAsia="宋体"/>
                <w:b w:val="0"/>
                <w:bCs/>
                <w:color w:val="auto"/>
                <w:lang w:val="en-US" w:eastAsia="zh-CN"/>
              </w:rPr>
              <w:t>19</w:t>
            </w:r>
            <w:r>
              <w:rPr>
                <w:rFonts w:eastAsia="宋体"/>
                <w:b w:val="0"/>
                <w:bCs/>
                <w:color w:val="auto"/>
              </w:rPr>
              <w:t>〕</w:t>
            </w:r>
            <w:r>
              <w:rPr>
                <w:rFonts w:hint="default" w:ascii="Times New Roman" w:hAnsi="Times New Roman" w:eastAsia="宋体" w:cs="Times New Roman"/>
                <w:b w:val="0"/>
                <w:bCs/>
                <w:color w:val="auto"/>
                <w:kern w:val="2"/>
                <w:lang w:val="en-US" w:eastAsia="zh-CN"/>
              </w:rPr>
              <w:t>53号）的要求</w:t>
            </w:r>
            <w:r>
              <w:rPr>
                <w:rFonts w:hint="eastAsia" w:ascii="Times New Roman" w:hAnsi="Times New Roman" w:eastAsia="宋体" w:cs="Times New Roman"/>
                <w:b w:val="0"/>
                <w:bCs/>
                <w:color w:val="auto"/>
                <w:kern w:val="2"/>
                <w:lang w:val="en-US" w:eastAsia="zh-CN"/>
              </w:rPr>
              <w:t>。</w:t>
            </w:r>
          </w:p>
          <w:p w14:paraId="3A4730E6">
            <w:pPr>
              <w:spacing w:line="360" w:lineRule="auto"/>
              <w:ind w:firstLine="482" w:firstLineChars="200"/>
              <w:jc w:val="left"/>
              <w:rPr>
                <w:b/>
                <w:bCs/>
                <w:color w:val="auto"/>
                <w:sz w:val="24"/>
                <w:szCs w:val="24"/>
              </w:rPr>
            </w:pPr>
            <w:r>
              <w:rPr>
                <w:rFonts w:hint="eastAsia"/>
                <w:b/>
                <w:bCs/>
                <w:color w:val="auto"/>
                <w:sz w:val="24"/>
                <w:szCs w:val="24"/>
              </w:rPr>
              <w:t>1</w:t>
            </w:r>
            <w:r>
              <w:rPr>
                <w:rFonts w:hint="eastAsia"/>
                <w:b/>
                <w:bCs/>
                <w:color w:val="auto"/>
                <w:sz w:val="24"/>
                <w:szCs w:val="24"/>
                <w:lang w:val="en-US" w:eastAsia="zh-CN"/>
              </w:rPr>
              <w:t>2</w:t>
            </w:r>
            <w:r>
              <w:rPr>
                <w:rFonts w:hint="eastAsia"/>
                <w:b/>
                <w:bCs/>
                <w:color w:val="auto"/>
                <w:sz w:val="24"/>
                <w:szCs w:val="24"/>
              </w:rPr>
              <w:t>、</w:t>
            </w:r>
            <w:r>
              <w:rPr>
                <w:b/>
                <w:bCs/>
                <w:color w:val="auto"/>
                <w:sz w:val="24"/>
                <w:szCs w:val="24"/>
              </w:rPr>
              <w:t>与《关于加快解决当前挥发性有机物治理突出问题的通知》（环大气</w:t>
            </w:r>
            <w:r>
              <w:rPr>
                <w:rFonts w:eastAsia="宋体"/>
                <w:b/>
                <w:bCs/>
                <w:color w:val="auto"/>
                <w:sz w:val="24"/>
                <w:szCs w:val="24"/>
              </w:rPr>
              <w:t>〔20</w:t>
            </w:r>
            <w:r>
              <w:rPr>
                <w:rFonts w:hint="eastAsia" w:eastAsia="宋体"/>
                <w:b/>
                <w:bCs/>
                <w:color w:val="auto"/>
                <w:sz w:val="24"/>
                <w:szCs w:val="24"/>
                <w:lang w:val="en-US" w:eastAsia="zh-CN"/>
              </w:rPr>
              <w:t>21</w:t>
            </w:r>
            <w:r>
              <w:rPr>
                <w:rFonts w:eastAsia="宋体"/>
                <w:b/>
                <w:bCs/>
                <w:color w:val="auto"/>
                <w:sz w:val="24"/>
                <w:szCs w:val="24"/>
              </w:rPr>
              <w:t>〕</w:t>
            </w:r>
            <w:r>
              <w:rPr>
                <w:b/>
                <w:bCs/>
                <w:color w:val="auto"/>
                <w:sz w:val="24"/>
                <w:szCs w:val="24"/>
              </w:rPr>
              <w:t>61号）中附件《挥发性有机物治理突出问题排查整治工作要求》符合性分析</w:t>
            </w:r>
          </w:p>
          <w:p w14:paraId="5F8718C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auto"/>
                <w:sz w:val="24"/>
              </w:rPr>
            </w:pPr>
            <w:r>
              <w:rPr>
                <w:b/>
                <w:bCs/>
                <w:color w:val="auto"/>
                <w:sz w:val="24"/>
                <w:szCs w:val="24"/>
              </w:rPr>
              <w:t>表1-</w:t>
            </w:r>
            <w:r>
              <w:rPr>
                <w:rFonts w:hint="eastAsia"/>
                <w:b/>
                <w:bCs/>
                <w:color w:val="auto"/>
                <w:sz w:val="24"/>
                <w:szCs w:val="24"/>
              </w:rPr>
              <w:t>1</w:t>
            </w:r>
            <w:r>
              <w:rPr>
                <w:rFonts w:hint="eastAsia"/>
                <w:b/>
                <w:bCs/>
                <w:color w:val="auto"/>
                <w:sz w:val="24"/>
                <w:szCs w:val="24"/>
                <w:lang w:val="en-US" w:eastAsia="zh-CN"/>
              </w:rPr>
              <w:t xml:space="preserve">1  </w:t>
            </w:r>
            <w:r>
              <w:rPr>
                <w:b/>
                <w:bCs/>
                <w:color w:val="auto"/>
                <w:sz w:val="24"/>
                <w:szCs w:val="24"/>
              </w:rPr>
              <w:t>与环大气</w:t>
            </w:r>
            <w:r>
              <w:rPr>
                <w:rFonts w:eastAsia="宋体"/>
                <w:b/>
                <w:bCs/>
                <w:color w:val="auto"/>
                <w:sz w:val="24"/>
                <w:szCs w:val="24"/>
              </w:rPr>
              <w:t>〔20</w:t>
            </w:r>
            <w:r>
              <w:rPr>
                <w:rFonts w:hint="eastAsia" w:eastAsia="宋体"/>
                <w:b/>
                <w:bCs/>
                <w:color w:val="auto"/>
                <w:sz w:val="24"/>
                <w:szCs w:val="24"/>
                <w:lang w:val="en-US" w:eastAsia="zh-CN"/>
              </w:rPr>
              <w:t>21</w:t>
            </w:r>
            <w:r>
              <w:rPr>
                <w:rFonts w:eastAsia="宋体"/>
                <w:b/>
                <w:bCs/>
                <w:color w:val="auto"/>
                <w:sz w:val="24"/>
                <w:szCs w:val="24"/>
              </w:rPr>
              <w:t>〕</w:t>
            </w:r>
            <w:r>
              <w:rPr>
                <w:b/>
                <w:bCs/>
                <w:color w:val="auto"/>
                <w:sz w:val="24"/>
                <w:szCs w:val="24"/>
              </w:rPr>
              <w:t>61</w:t>
            </w:r>
            <w:r>
              <w:rPr>
                <w:b/>
                <w:bCs/>
                <w:color w:val="auto"/>
                <w:sz w:val="24"/>
              </w:rPr>
              <w:t>号中附件《挥发性有机物治理突出问题排查整治工作要求》符合性分析</w:t>
            </w:r>
          </w:p>
          <w:tbl>
            <w:tblPr>
              <w:tblStyle w:val="28"/>
              <w:tblW w:w="5000" w:type="pct"/>
              <w:jc w:val="center"/>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4961"/>
              <w:gridCol w:w="2360"/>
              <w:gridCol w:w="584"/>
            </w:tblGrid>
            <w:tr w14:paraId="0A6B5409">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blHeader/>
                <w:jc w:val="center"/>
              </w:trPr>
              <w:tc>
                <w:tcPr>
                  <w:tcW w:w="3137" w:type="pct"/>
                  <w:vAlign w:val="center"/>
                </w:tcPr>
                <w:p w14:paraId="6FB9310C">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color w:val="auto"/>
                      <w:szCs w:val="21"/>
                    </w:rPr>
                  </w:pPr>
                  <w:r>
                    <w:rPr>
                      <w:b/>
                      <w:bCs/>
                      <w:color w:val="auto"/>
                      <w:szCs w:val="21"/>
                    </w:rPr>
                    <w:t>治理要求</w:t>
                  </w:r>
                </w:p>
              </w:tc>
              <w:tc>
                <w:tcPr>
                  <w:tcW w:w="1492" w:type="pct"/>
                  <w:vAlign w:val="center"/>
                </w:tcPr>
                <w:p w14:paraId="60C6CBB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color w:val="auto"/>
                      <w:szCs w:val="21"/>
                    </w:rPr>
                  </w:pPr>
                  <w:r>
                    <w:rPr>
                      <w:rFonts w:hint="default"/>
                      <w:b/>
                      <w:bCs/>
                      <w:color w:val="auto"/>
                      <w:sz w:val="21"/>
                      <w:szCs w:val="21"/>
                    </w:rPr>
                    <w:t>本项目情况</w:t>
                  </w:r>
                </w:p>
              </w:tc>
              <w:tc>
                <w:tcPr>
                  <w:tcW w:w="369" w:type="pct"/>
                  <w:vAlign w:val="center"/>
                </w:tcPr>
                <w:p w14:paraId="794AF93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color w:val="auto"/>
                      <w:szCs w:val="21"/>
                    </w:rPr>
                  </w:pPr>
                  <w:r>
                    <w:rPr>
                      <w:rFonts w:hint="eastAsia"/>
                      <w:b/>
                      <w:bCs/>
                      <w:color w:val="auto"/>
                      <w:sz w:val="21"/>
                      <w:szCs w:val="21"/>
                      <w:lang w:val="en-US" w:eastAsia="zh-CN"/>
                    </w:rPr>
                    <w:t>相符性</w:t>
                  </w:r>
                </w:p>
              </w:tc>
            </w:tr>
            <w:tr w14:paraId="09EF507F">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3137" w:type="pct"/>
                  <w:vAlign w:val="center"/>
                </w:tcPr>
                <w:p w14:paraId="63B10294">
                  <w:pPr>
                    <w:keepNext w:val="0"/>
                    <w:keepLines w:val="0"/>
                    <w:pageBreakBefore w:val="0"/>
                    <w:widowControl w:val="0"/>
                    <w:kinsoku/>
                    <w:wordWrap/>
                    <w:overflowPunct/>
                    <w:topLinePunct w:val="0"/>
                    <w:autoSpaceDE/>
                    <w:autoSpaceDN/>
                    <w:bidi w:val="0"/>
                    <w:adjustRightInd w:val="0"/>
                    <w:snapToGrid w:val="0"/>
                    <w:ind w:left="0" w:leftChars="0" w:right="0" w:rightChars="0"/>
                    <w:jc w:val="both"/>
                    <w:textAlignment w:val="auto"/>
                    <w:rPr>
                      <w:color w:val="auto"/>
                      <w:szCs w:val="21"/>
                    </w:rPr>
                  </w:pPr>
                  <w:r>
                    <w:rPr>
                      <w:color w:val="auto"/>
                      <w:szCs w:val="21"/>
                    </w:rPr>
                    <w:t>产生VOC</w:t>
                  </w:r>
                  <w:r>
                    <w:rPr>
                      <w:rFonts w:hint="eastAsia"/>
                      <w:color w:val="auto"/>
                      <w:szCs w:val="21"/>
                      <w:vertAlign w:val="subscript"/>
                    </w:rPr>
                    <w:t>S</w:t>
                  </w:r>
                  <w:r>
                    <w:rPr>
                      <w:color w:val="auto"/>
                      <w:szCs w:val="21"/>
                    </w:rPr>
                    <w:t>的生产环节优先采用密闭设备、在密闭空间中操作或采用全密闭集气罩收集方式，并保持负压运行。无尘等级要求车间需设置成正压的，宜建设内层正压、外层微负压的双层整体密闭收集空间。对采用局部收集方式的企业，距废气收集系统排风罩开口面最远处的VOC</w:t>
                  </w:r>
                  <w:r>
                    <w:rPr>
                      <w:rFonts w:hint="eastAsia"/>
                      <w:color w:val="auto"/>
                      <w:szCs w:val="21"/>
                      <w:vertAlign w:val="subscript"/>
                    </w:rPr>
                    <w:t>S</w:t>
                  </w:r>
                  <w:r>
                    <w:rPr>
                      <w:color w:val="auto"/>
                      <w:szCs w:val="21"/>
                    </w:rPr>
                    <w:t>无组织排放位置控制风速不低于0.3m/s；推广以生产线或设备为单位设置隔间，收集风量应确保隔间保持微负压。当废气产生点较多、彼此距离较远时，在满足设计规范、风压平衡的基础上，适当分设多套收集系统或中继风机。废气收集系统的输送管道应密闭、无破损。焦化行业加强焦炉密封性检查，对于变形炉门、炉顶炉盖及时修复更换；加强焦炉工况监督，对焦炉墙串漏及时修缮。制药、农药、涂料、油墨、胶粘剂等间歇性生产工序较多的行业应对进出料、物料输送、搅拌、固液分离、干燥、灌装、取样等过程采取密闭化措施，提升工艺装备水平；含VOC</w:t>
                  </w:r>
                  <w:r>
                    <w:rPr>
                      <w:rFonts w:hint="eastAsia"/>
                      <w:color w:val="auto"/>
                      <w:szCs w:val="21"/>
                      <w:vertAlign w:val="subscript"/>
                    </w:rPr>
                    <w:t>S</w:t>
                  </w:r>
                  <w:r>
                    <w:rPr>
                      <w:color w:val="auto"/>
                      <w:szCs w:val="21"/>
                    </w:rPr>
                    <w:t>物料输送原则上采用重力流或泵送方式；有机液体进料鼓励采用底部、浸入管给料方式；固体物料投加逐步推进采用密闭式投料装置。工业涂装行业建设密闭喷漆房，对于大型构件（船舶、钢结构）实施分段涂装，废气进行收集治理；对于确需露天涂装的，应采用符合国家或地方标准要求的低（无）VOC</w:t>
                  </w:r>
                  <w:r>
                    <w:rPr>
                      <w:rFonts w:hint="eastAsia"/>
                      <w:color w:val="auto"/>
                      <w:szCs w:val="21"/>
                      <w:vertAlign w:val="subscript"/>
                    </w:rPr>
                    <w:t>S</w:t>
                  </w:r>
                  <w:r>
                    <w:rPr>
                      <w:color w:val="auto"/>
                      <w:szCs w:val="21"/>
                    </w:rPr>
                    <w:t>含量涂料，或使用移动式废气收集治理设施。包装印刷行业的印刷、复合、涂布工序实施密闭化改造，全面采用VOC</w:t>
                  </w:r>
                  <w:r>
                    <w:rPr>
                      <w:rFonts w:hint="eastAsia"/>
                      <w:color w:val="auto"/>
                      <w:szCs w:val="21"/>
                      <w:vertAlign w:val="subscript"/>
                    </w:rPr>
                    <w:t>S</w:t>
                  </w:r>
                  <w:r>
                    <w:rPr>
                      <w:color w:val="auto"/>
                      <w:szCs w:val="21"/>
                    </w:rPr>
                    <w:t>质量占比小于10%的原辅材料的除外。鼓励石油炼制企业开展冷焦水、切焦水等废气收集治理。使用VOC</w:t>
                  </w:r>
                  <w:r>
                    <w:rPr>
                      <w:rFonts w:hint="eastAsia"/>
                      <w:color w:val="auto"/>
                      <w:szCs w:val="21"/>
                      <w:vertAlign w:val="subscript"/>
                    </w:rPr>
                    <w:t>S</w:t>
                  </w:r>
                  <w:r>
                    <w:rPr>
                      <w:color w:val="auto"/>
                      <w:szCs w:val="21"/>
                    </w:rPr>
                    <w:t>质量占比大于等于10%的涂料、油墨、胶粘剂、稀释剂、清洗剂等物料存储、调配、转移、输送等环节应密闭。</w:t>
                  </w:r>
                </w:p>
              </w:tc>
              <w:tc>
                <w:tcPr>
                  <w:tcW w:w="1492" w:type="pct"/>
                  <w:vAlign w:val="center"/>
                </w:tcPr>
                <w:p w14:paraId="3E7D40C2">
                  <w:pPr>
                    <w:keepNext w:val="0"/>
                    <w:keepLines w:val="0"/>
                    <w:pageBreakBefore w:val="0"/>
                    <w:widowControl w:val="0"/>
                    <w:kinsoku/>
                    <w:wordWrap/>
                    <w:overflowPunct/>
                    <w:topLinePunct w:val="0"/>
                    <w:autoSpaceDE/>
                    <w:autoSpaceDN/>
                    <w:bidi w:val="0"/>
                    <w:adjustRightInd w:val="0"/>
                    <w:snapToGrid w:val="0"/>
                    <w:ind w:left="0" w:leftChars="0" w:right="0" w:rightChars="0"/>
                    <w:jc w:val="both"/>
                    <w:textAlignment w:val="auto"/>
                    <w:rPr>
                      <w:rFonts w:hint="eastAsia" w:eastAsia="宋体"/>
                      <w:color w:val="auto"/>
                      <w:szCs w:val="21"/>
                      <w:lang w:eastAsia="zh-CN"/>
                    </w:rPr>
                  </w:pPr>
                  <w:r>
                    <w:rPr>
                      <w:rFonts w:hint="eastAsia"/>
                      <w:color w:val="auto"/>
                      <w:szCs w:val="21"/>
                      <w:lang w:val="en-US" w:eastAsia="zh-CN"/>
                    </w:rPr>
                    <w:t>项目调墨、印刷工序位于印刷车间内进行，印刷车间为密闭无尘车间，车间内设有负压收集装置，废气通过负压收集后经一套“二级活性炭吸附”装置处理达标后排放；</w:t>
                  </w:r>
                  <w:r>
                    <w:rPr>
                      <w:color w:val="auto"/>
                      <w:szCs w:val="21"/>
                    </w:rPr>
                    <w:t>含VOC</w:t>
                  </w:r>
                  <w:r>
                    <w:rPr>
                      <w:rFonts w:hint="eastAsia"/>
                      <w:color w:val="auto"/>
                      <w:szCs w:val="21"/>
                      <w:vertAlign w:val="subscript"/>
                    </w:rPr>
                    <w:t>S</w:t>
                  </w:r>
                  <w:r>
                    <w:rPr>
                      <w:color w:val="auto"/>
                      <w:szCs w:val="21"/>
                    </w:rPr>
                    <w:t>物料</w:t>
                  </w:r>
                  <w:r>
                    <w:rPr>
                      <w:rFonts w:hint="eastAsia"/>
                      <w:color w:val="auto"/>
                      <w:spacing w:val="0"/>
                      <w:kern w:val="0"/>
                      <w:sz w:val="21"/>
                      <w:szCs w:val="21"/>
                      <w:lang w:val="en-US" w:eastAsia="zh-CN"/>
                    </w:rPr>
                    <w:t>密闭封装后进行运输。</w:t>
                  </w:r>
                </w:p>
              </w:tc>
              <w:tc>
                <w:tcPr>
                  <w:tcW w:w="369" w:type="pct"/>
                  <w:vAlign w:val="center"/>
                </w:tcPr>
                <w:p w14:paraId="1845E9E4">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color w:val="auto"/>
                      <w:szCs w:val="21"/>
                    </w:rPr>
                  </w:pPr>
                  <w:r>
                    <w:rPr>
                      <w:color w:val="auto"/>
                      <w:szCs w:val="21"/>
                    </w:rPr>
                    <w:t>符合</w:t>
                  </w:r>
                </w:p>
              </w:tc>
            </w:tr>
            <w:tr w14:paraId="55D698E7">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6" w:hRule="atLeast"/>
                <w:jc w:val="center"/>
              </w:trPr>
              <w:tc>
                <w:tcPr>
                  <w:tcW w:w="3137" w:type="pct"/>
                  <w:vAlign w:val="center"/>
                </w:tcPr>
                <w:p w14:paraId="4B06EF6F">
                  <w:pPr>
                    <w:keepNext w:val="0"/>
                    <w:keepLines w:val="0"/>
                    <w:pageBreakBefore w:val="0"/>
                    <w:widowControl w:val="0"/>
                    <w:kinsoku/>
                    <w:wordWrap/>
                    <w:overflowPunct/>
                    <w:topLinePunct w:val="0"/>
                    <w:autoSpaceDE/>
                    <w:autoSpaceDN/>
                    <w:bidi w:val="0"/>
                    <w:adjustRightInd w:val="0"/>
                    <w:snapToGrid w:val="0"/>
                    <w:ind w:left="0" w:leftChars="0" w:right="0" w:rightChars="0"/>
                    <w:jc w:val="both"/>
                    <w:textAlignment w:val="auto"/>
                    <w:rPr>
                      <w:color w:val="auto"/>
                      <w:szCs w:val="21"/>
                    </w:rPr>
                  </w:pPr>
                  <w:r>
                    <w:rPr>
                      <w:color w:val="auto"/>
                      <w:szCs w:val="21"/>
                    </w:rPr>
                    <w:t>新建治理设施或对现有治理设施实施改造，应依据</w:t>
                  </w:r>
                  <w:r>
                    <w:rPr>
                      <w:rFonts w:hint="eastAsia"/>
                      <w:color w:val="auto"/>
                      <w:szCs w:val="21"/>
                    </w:rPr>
                    <w:t>排</w:t>
                  </w:r>
                  <w:r>
                    <w:rPr>
                      <w:color w:val="auto"/>
                      <w:szCs w:val="21"/>
                    </w:rPr>
                    <w:t>放废气特征、VOC</w:t>
                  </w:r>
                  <w:r>
                    <w:rPr>
                      <w:rFonts w:hint="eastAsia"/>
                      <w:color w:val="auto"/>
                      <w:szCs w:val="21"/>
                      <w:vertAlign w:val="subscript"/>
                    </w:rPr>
                    <w:t>S</w:t>
                  </w:r>
                  <w:r>
                    <w:rPr>
                      <w:color w:val="auto"/>
                      <w:szCs w:val="21"/>
                    </w:rPr>
                    <w:t>组分及浓度、生产工况等，合理选择治理技术；对治理难度大、单一治理工艺难以稳定达标的，宜采用多种技术的组合工艺；除恶臭异味治理外，一般不使用低温等离子、光催化、光氧化等技术。加强运行维护管理，做到治理设施较生产设备</w:t>
                  </w:r>
                  <w:r>
                    <w:rPr>
                      <w:rFonts w:hint="eastAsia"/>
                      <w:color w:val="auto"/>
                      <w:szCs w:val="21"/>
                      <w:lang w:eastAsia="zh-CN"/>
                    </w:rPr>
                    <w:t>“</w:t>
                  </w:r>
                  <w:r>
                    <w:rPr>
                      <w:color w:val="auto"/>
                      <w:szCs w:val="21"/>
                    </w:rPr>
                    <w:t>先启后停</w:t>
                  </w:r>
                  <w:r>
                    <w:rPr>
                      <w:rFonts w:hint="eastAsia"/>
                      <w:color w:val="auto"/>
                      <w:szCs w:val="21"/>
                      <w:lang w:eastAsia="zh-CN"/>
                    </w:rPr>
                    <w:t>”</w:t>
                  </w:r>
                  <w:r>
                    <w:rPr>
                      <w:color w:val="auto"/>
                      <w:szCs w:val="21"/>
                    </w:rPr>
                    <w:t>，在治理设施达到正常运行条件后方可启动生产设备，在生产设备停止、残留VOC</w:t>
                  </w:r>
                  <w:r>
                    <w:rPr>
                      <w:rFonts w:hint="eastAsia"/>
                      <w:color w:val="auto"/>
                      <w:szCs w:val="21"/>
                      <w:vertAlign w:val="subscript"/>
                    </w:rPr>
                    <w:t>S</w:t>
                  </w:r>
                  <w:r>
                    <w:rPr>
                      <w:color w:val="auto"/>
                      <w:szCs w:val="21"/>
                    </w:rPr>
                    <w:t>废气收集处理完毕后，方可停运治理设施；及时清理、更换吸附剂、吸收剂、催化剂、蓄热体、过滤棉、灯管、电器元件等治理设施耗材，确保设施能够稳定高效运行；做好生产设备和治理设施启停机时间、检维修情况、治理设施耗材维护更换、处置情况等台账记录；对于VOC</w:t>
                  </w:r>
                  <w:r>
                    <w:rPr>
                      <w:rFonts w:hint="eastAsia"/>
                      <w:color w:val="auto"/>
                      <w:szCs w:val="21"/>
                      <w:vertAlign w:val="subscript"/>
                    </w:rPr>
                    <w:t>S</w:t>
                  </w:r>
                  <w:r>
                    <w:rPr>
                      <w:color w:val="auto"/>
                      <w:szCs w:val="21"/>
                    </w:rPr>
                    <w:t>治理设施产生的废过滤棉、废催化剂、废吸附剂、废吸收剂、废有机溶剂等，应及时清运，属于危险废物的应交有资质的单位处理处置。采用活性炭吸附工艺的企业，应根据废气排放特征，按照相关工程技术规范设计净化工艺和设备，使废气在吸附装置中有足够的停留时间，选择符合相关产品质量标准的活性炭，并足额充填、及时更换。采用颗粒活性炭作为吸附剂时，其碘值不宜低于800mg/g；采用蜂窝活性炭作为吸附剂时，其碘值不宜低</w:t>
                  </w:r>
                  <w:r>
                    <w:rPr>
                      <w:rFonts w:hint="eastAsia"/>
                      <w:color w:val="auto"/>
                      <w:szCs w:val="21"/>
                    </w:rPr>
                    <w:t>6</w:t>
                  </w:r>
                  <w:r>
                    <w:rPr>
                      <w:color w:val="auto"/>
                      <w:szCs w:val="21"/>
                    </w:rPr>
                    <w:t>50mg/g；采用活性炭纤维作为吸附剂时，其比表面积不低于1100m</w:t>
                  </w:r>
                  <w:r>
                    <w:rPr>
                      <w:color w:val="auto"/>
                      <w:szCs w:val="21"/>
                      <w:vertAlign w:val="superscript"/>
                    </w:rPr>
                    <w:t>2</w:t>
                  </w:r>
                  <w:r>
                    <w:rPr>
                      <w:color w:val="auto"/>
                      <w:szCs w:val="21"/>
                    </w:rPr>
                    <w:t>/g（BET法）。一次性活性炭吸附工艺宜采用颗粒活性炭作为吸附剂。活性炭、活性炭纤维产品销售时应提供产品质量证明材料。</w:t>
                  </w:r>
                </w:p>
              </w:tc>
              <w:tc>
                <w:tcPr>
                  <w:tcW w:w="1492" w:type="pct"/>
                  <w:vAlign w:val="center"/>
                </w:tcPr>
                <w:p w14:paraId="617E3B91">
                  <w:pPr>
                    <w:keepNext w:val="0"/>
                    <w:keepLines w:val="0"/>
                    <w:pageBreakBefore w:val="0"/>
                    <w:widowControl w:val="0"/>
                    <w:kinsoku/>
                    <w:wordWrap/>
                    <w:overflowPunct/>
                    <w:topLinePunct w:val="0"/>
                    <w:autoSpaceDE/>
                    <w:autoSpaceDN/>
                    <w:bidi w:val="0"/>
                    <w:adjustRightInd w:val="0"/>
                    <w:snapToGrid w:val="0"/>
                    <w:ind w:left="0" w:leftChars="0" w:right="0" w:rightChars="0"/>
                    <w:jc w:val="both"/>
                    <w:textAlignment w:val="auto"/>
                    <w:rPr>
                      <w:rFonts w:hint="eastAsia"/>
                      <w:color w:val="auto"/>
                      <w:szCs w:val="21"/>
                      <w:lang w:val="en-US" w:eastAsia="zh-CN"/>
                    </w:rPr>
                  </w:pPr>
                  <w:r>
                    <w:rPr>
                      <w:rFonts w:hint="eastAsia"/>
                      <w:color w:val="auto"/>
                      <w:szCs w:val="21"/>
                      <w:lang w:val="en-US" w:eastAsia="zh-CN"/>
                    </w:rPr>
                    <w:t>项目废气通过密闭负压收集后</w:t>
                  </w:r>
                  <w:r>
                    <w:rPr>
                      <w:rFonts w:hint="eastAsia" w:cs="Times New Roman"/>
                      <w:b w:val="0"/>
                      <w:bCs/>
                      <w:color w:val="auto"/>
                      <w:kern w:val="2"/>
                      <w:sz w:val="21"/>
                      <w:szCs w:val="21"/>
                      <w:vertAlign w:val="baseline"/>
                      <w:lang w:val="en-US" w:eastAsia="zh-CN"/>
                    </w:rPr>
                    <w:t>经一套“二级</w:t>
                  </w:r>
                  <w:r>
                    <w:rPr>
                      <w:rFonts w:hint="eastAsia" w:ascii="Times New Roman" w:hAnsi="Times New Roman" w:eastAsia="宋体" w:cs="Times New Roman"/>
                      <w:b w:val="0"/>
                      <w:bCs/>
                      <w:color w:val="auto"/>
                      <w:kern w:val="2"/>
                      <w:sz w:val="21"/>
                      <w:szCs w:val="21"/>
                      <w:vertAlign w:val="baseline"/>
                      <w:lang w:val="en-US" w:eastAsia="zh-CN"/>
                    </w:rPr>
                    <w:t>活性炭吸附</w:t>
                  </w:r>
                  <w:r>
                    <w:rPr>
                      <w:rFonts w:hint="eastAsia" w:cs="Times New Roman"/>
                      <w:b w:val="0"/>
                      <w:bCs/>
                      <w:color w:val="auto"/>
                      <w:kern w:val="2"/>
                      <w:sz w:val="21"/>
                      <w:szCs w:val="21"/>
                      <w:vertAlign w:val="baseline"/>
                      <w:lang w:val="en-US" w:eastAsia="zh-CN"/>
                    </w:rPr>
                    <w:t>”装置</w:t>
                  </w:r>
                  <w:r>
                    <w:rPr>
                      <w:rFonts w:hint="eastAsia" w:ascii="Times New Roman" w:hAnsi="Times New Roman" w:eastAsia="宋体" w:cs="Times New Roman"/>
                      <w:b w:val="0"/>
                      <w:bCs/>
                      <w:color w:val="auto"/>
                      <w:kern w:val="2"/>
                      <w:sz w:val="21"/>
                      <w:szCs w:val="21"/>
                      <w:vertAlign w:val="baseline"/>
                      <w:lang w:val="en-US" w:eastAsia="zh-CN"/>
                    </w:rPr>
                    <w:t>处理后</w:t>
                  </w:r>
                  <w:r>
                    <w:rPr>
                      <w:rFonts w:hint="eastAsia" w:eastAsia="宋体" w:cs="Times New Roman"/>
                      <w:b w:val="0"/>
                      <w:bCs/>
                      <w:color w:val="auto"/>
                      <w:kern w:val="2"/>
                      <w:sz w:val="21"/>
                      <w:szCs w:val="21"/>
                      <w:vertAlign w:val="baseline"/>
                      <w:lang w:val="en-US" w:eastAsia="zh-CN"/>
                    </w:rPr>
                    <w:t>可</w:t>
                  </w:r>
                  <w:r>
                    <w:rPr>
                      <w:rFonts w:hint="eastAsia" w:ascii="Times New Roman" w:hAnsi="Times New Roman" w:eastAsia="宋体" w:cs="Times New Roman"/>
                      <w:b w:val="0"/>
                      <w:bCs/>
                      <w:color w:val="auto"/>
                      <w:kern w:val="2"/>
                      <w:sz w:val="21"/>
                      <w:szCs w:val="21"/>
                      <w:vertAlign w:val="baseline"/>
                      <w:lang w:val="en-US" w:eastAsia="zh-CN"/>
                    </w:rPr>
                    <w:t>达标排放</w:t>
                  </w:r>
                  <w:r>
                    <w:rPr>
                      <w:rFonts w:hint="eastAsia" w:eastAsia="宋体" w:cs="Times New Roman"/>
                      <w:b w:val="0"/>
                      <w:bCs/>
                      <w:color w:val="auto"/>
                      <w:kern w:val="2"/>
                      <w:sz w:val="21"/>
                      <w:szCs w:val="21"/>
                      <w:vertAlign w:val="baseline"/>
                      <w:lang w:val="en-US" w:eastAsia="zh-CN"/>
                    </w:rPr>
                    <w:t>；</w:t>
                  </w:r>
                  <w:r>
                    <w:rPr>
                      <w:color w:val="auto"/>
                      <w:szCs w:val="21"/>
                    </w:rPr>
                    <w:t>项目采用颗粒活性炭作为吸附剂，其碘值不低于800mg/g，废活性炭定期更换并交有危废处置资质的单位处理。</w:t>
                  </w:r>
                </w:p>
              </w:tc>
              <w:tc>
                <w:tcPr>
                  <w:tcW w:w="369" w:type="pct"/>
                  <w:vAlign w:val="center"/>
                </w:tcPr>
                <w:p w14:paraId="615016A9">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eastAsia="宋体"/>
                      <w:color w:val="auto"/>
                      <w:szCs w:val="21"/>
                      <w:lang w:eastAsia="zh-CN"/>
                    </w:rPr>
                  </w:pPr>
                  <w:r>
                    <w:rPr>
                      <w:rFonts w:hint="eastAsia"/>
                      <w:color w:val="auto"/>
                      <w:szCs w:val="21"/>
                      <w:lang w:val="en-US" w:eastAsia="zh-CN"/>
                    </w:rPr>
                    <w:t>符合</w:t>
                  </w:r>
                </w:p>
              </w:tc>
            </w:tr>
            <w:tr w14:paraId="1C11AFDD">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3137" w:type="pct"/>
                  <w:vAlign w:val="center"/>
                </w:tcPr>
                <w:p w14:paraId="47788285">
                  <w:pPr>
                    <w:keepNext w:val="0"/>
                    <w:keepLines w:val="0"/>
                    <w:pageBreakBefore w:val="0"/>
                    <w:widowControl w:val="0"/>
                    <w:kinsoku/>
                    <w:wordWrap/>
                    <w:overflowPunct/>
                    <w:topLinePunct w:val="0"/>
                    <w:autoSpaceDE/>
                    <w:autoSpaceDN/>
                    <w:bidi w:val="0"/>
                    <w:adjustRightInd w:val="0"/>
                    <w:snapToGrid w:val="0"/>
                    <w:ind w:left="0" w:leftChars="0" w:right="0" w:rightChars="0"/>
                    <w:jc w:val="both"/>
                    <w:textAlignment w:val="auto"/>
                    <w:rPr>
                      <w:color w:val="auto"/>
                      <w:szCs w:val="21"/>
                    </w:rPr>
                  </w:pPr>
                  <w:r>
                    <w:rPr>
                      <w:color w:val="auto"/>
                      <w:szCs w:val="21"/>
                    </w:rPr>
                    <w:t>工业涂装、包装印刷、鞋革箱包制造、竹木制品、电子等重点行业要加大低（无）VOC</w:t>
                  </w:r>
                  <w:r>
                    <w:rPr>
                      <w:rFonts w:hint="eastAsia"/>
                      <w:color w:val="auto"/>
                      <w:szCs w:val="21"/>
                      <w:vertAlign w:val="subscript"/>
                    </w:rPr>
                    <w:t>S</w:t>
                  </w:r>
                  <w:r>
                    <w:rPr>
                      <w:color w:val="auto"/>
                      <w:szCs w:val="21"/>
                    </w:rPr>
                    <w:t>含量原辅材料的源头替代力度，加强成熟技术替代品的应用。涂料、油墨、胶粘剂、清洗剂等生产企业在产品出厂时应配有产品标签，注明产品名称、使用领域、施工配比以及VOC</w:t>
                  </w:r>
                  <w:r>
                    <w:rPr>
                      <w:rFonts w:hint="eastAsia"/>
                      <w:color w:val="auto"/>
                      <w:szCs w:val="21"/>
                      <w:vertAlign w:val="subscript"/>
                    </w:rPr>
                    <w:t>S</w:t>
                  </w:r>
                  <w:r>
                    <w:rPr>
                      <w:color w:val="auto"/>
                      <w:szCs w:val="21"/>
                    </w:rPr>
                    <w:t>含量等信息，提供载有详细技术信息的产品技术说明书或者产品安全数据表。含VOC</w:t>
                  </w:r>
                  <w:r>
                    <w:rPr>
                      <w:rFonts w:hint="eastAsia"/>
                      <w:color w:val="auto"/>
                      <w:szCs w:val="21"/>
                      <w:vertAlign w:val="subscript"/>
                    </w:rPr>
                    <w:t>S</w:t>
                  </w:r>
                  <w:r>
                    <w:rPr>
                      <w:color w:val="auto"/>
                      <w:szCs w:val="21"/>
                    </w:rPr>
                    <w:t>产品使用量大的国企、政府投资建设工程承建单位要自行或委托社会化检测机构进行抽检，鼓励其他企业主动委托社会化检测机构进行抽检。</w:t>
                  </w:r>
                </w:p>
              </w:tc>
              <w:tc>
                <w:tcPr>
                  <w:tcW w:w="1492" w:type="pct"/>
                  <w:vAlign w:val="center"/>
                </w:tcPr>
                <w:p w14:paraId="088D610D">
                  <w:pPr>
                    <w:pStyle w:val="81"/>
                    <w:keepNext w:val="0"/>
                    <w:keepLines w:val="0"/>
                    <w:pageBreakBefore w:val="0"/>
                    <w:widowControl w:val="0"/>
                    <w:kinsoku/>
                    <w:wordWrap/>
                    <w:overflowPunct/>
                    <w:topLinePunct w:val="0"/>
                    <w:autoSpaceDE/>
                    <w:autoSpaceDN/>
                    <w:bidi w:val="0"/>
                    <w:adjustRightInd w:val="0"/>
                    <w:snapToGrid w:val="0"/>
                    <w:ind w:left="0" w:leftChars="0" w:right="0" w:rightChars="0"/>
                    <w:jc w:val="both"/>
                    <w:textAlignment w:val="auto"/>
                    <w:rPr>
                      <w:rFonts w:hint="eastAsia"/>
                      <w:color w:val="auto"/>
                      <w:szCs w:val="21"/>
                      <w:lang w:val="en-US" w:eastAsia="zh-CN"/>
                    </w:rPr>
                  </w:pPr>
                  <w:r>
                    <w:rPr>
                      <w:rFonts w:hint="eastAsia"/>
                      <w:color w:val="auto"/>
                      <w:spacing w:val="-11"/>
                      <w:sz w:val="21"/>
                      <w:szCs w:val="21"/>
                      <w:lang w:val="en-US" w:eastAsia="zh-CN"/>
                    </w:rPr>
                    <w:t>项目生产印刷过程以水性油墨为主，根据客户要求，每年使用溶剂型油墨不大于0.1t/a。</w:t>
                  </w:r>
                  <w:r>
                    <w:rPr>
                      <w:rFonts w:hint="default" w:ascii="Times New Roman" w:hAnsi="Times New Roman" w:cs="Times New Roman"/>
                      <w:b w:val="0"/>
                      <w:bCs w:val="0"/>
                      <w:color w:val="auto"/>
                      <w:sz w:val="21"/>
                      <w:szCs w:val="21"/>
                      <w:highlight w:val="none"/>
                      <w:lang w:val="en-US" w:eastAsia="zh-CN" w:bidi="ar"/>
                    </w:rPr>
                    <w:t>根据《油墨中可挥发性有机化合物</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bidi="ar"/>
                    </w:rPr>
                    <w:t>VOC</w:t>
                  </w:r>
                  <w:r>
                    <w:rPr>
                      <w:rFonts w:hint="default" w:ascii="Times New Roman" w:hAnsi="Times New Roman" w:cs="Times New Roman"/>
                      <w:b w:val="0"/>
                      <w:bCs w:val="0"/>
                      <w:color w:val="auto"/>
                      <w:sz w:val="21"/>
                      <w:szCs w:val="21"/>
                      <w:highlight w:val="none"/>
                      <w:vertAlign w:val="subscript"/>
                      <w:lang w:val="en-US" w:eastAsia="zh-CN" w:bidi="ar"/>
                    </w:rPr>
                    <w:t>S</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val="en-US" w:eastAsia="zh-CN" w:bidi="ar"/>
                    </w:rPr>
                    <w:t>含量的限值》</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bidi="ar"/>
                    </w:rPr>
                    <w:t>GB38507-2020</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val="en-US" w:eastAsia="zh-CN" w:bidi="ar"/>
                    </w:rPr>
                    <w:t>表1</w:t>
                  </w:r>
                  <w:r>
                    <w:rPr>
                      <w:rFonts w:hint="default" w:ascii="Times New Roman" w:hAnsi="Times New Roman" w:cs="Times New Roman"/>
                      <w:b w:val="0"/>
                      <w:bCs w:val="0"/>
                      <w:color w:val="auto"/>
                      <w:sz w:val="21"/>
                      <w:szCs w:val="21"/>
                      <w:highlight w:val="none"/>
                      <w:lang w:bidi="ar"/>
                    </w:rPr>
                    <w:t>溶剂油墨</w:t>
                  </w:r>
                  <w:r>
                    <w:rPr>
                      <w:rFonts w:hint="default" w:ascii="Times New Roman" w:hAnsi="Times New Roman" w:cs="Times New Roman"/>
                      <w:b w:val="0"/>
                      <w:bCs w:val="0"/>
                      <w:color w:val="auto"/>
                      <w:sz w:val="21"/>
                      <w:szCs w:val="21"/>
                      <w:highlight w:val="none"/>
                      <w:lang w:val="en-US" w:eastAsia="zh-CN" w:bidi="ar"/>
                    </w:rPr>
                    <w:t>中</w:t>
                  </w:r>
                  <w:r>
                    <w:rPr>
                      <w:rFonts w:hint="default" w:ascii="Times New Roman" w:hAnsi="Times New Roman" w:cs="Times New Roman"/>
                      <w:b w:val="0"/>
                      <w:bCs w:val="0"/>
                      <w:color w:val="auto"/>
                      <w:sz w:val="21"/>
                      <w:szCs w:val="21"/>
                      <w:highlight w:val="none"/>
                      <w:lang w:bidi="ar"/>
                    </w:rPr>
                    <w:t>凹印油墨挥发性有机化合物</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bidi="ar"/>
                    </w:rPr>
                    <w:t>VOC</w:t>
                  </w:r>
                  <w:r>
                    <w:rPr>
                      <w:rFonts w:hint="default" w:ascii="Times New Roman" w:hAnsi="Times New Roman" w:cs="Times New Roman"/>
                      <w:b w:val="0"/>
                      <w:bCs w:val="0"/>
                      <w:color w:val="auto"/>
                      <w:sz w:val="21"/>
                      <w:szCs w:val="21"/>
                      <w:highlight w:val="none"/>
                      <w:vertAlign w:val="subscript"/>
                      <w:lang w:val="en-US" w:eastAsia="zh-CN" w:bidi="ar"/>
                    </w:rPr>
                    <w:t>S</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bidi="ar"/>
                    </w:rPr>
                    <w:t>限值</w:t>
                  </w:r>
                  <w:r>
                    <w:rPr>
                      <w:rFonts w:hint="default" w:ascii="Times New Roman" w:hAnsi="Times New Roman" w:cs="Times New Roman"/>
                      <w:b w:val="0"/>
                      <w:bCs w:val="0"/>
                      <w:color w:val="auto"/>
                      <w:sz w:val="21"/>
                      <w:szCs w:val="21"/>
                      <w:highlight w:val="none"/>
                      <w:lang w:val="en-US" w:eastAsia="zh-CN" w:bidi="ar"/>
                    </w:rPr>
                    <w:t>为≤75%，根据MSDS报告，项目油墨</w:t>
                  </w:r>
                  <w:r>
                    <w:rPr>
                      <w:rFonts w:hint="default" w:ascii="Times New Roman" w:hAnsi="Times New Roman" w:cs="Times New Roman"/>
                      <w:b w:val="0"/>
                      <w:bCs w:val="0"/>
                      <w:color w:val="auto"/>
                      <w:sz w:val="21"/>
                      <w:szCs w:val="21"/>
                      <w:highlight w:val="none"/>
                      <w:lang w:val="en-US" w:eastAsia="zh-CN"/>
                    </w:rPr>
                    <w:t>挥发份为71.1%＜</w:t>
                  </w:r>
                  <w:r>
                    <w:rPr>
                      <w:rFonts w:hint="default" w:ascii="Times New Roman" w:hAnsi="Times New Roman" w:cs="Times New Roman"/>
                      <w:b w:val="0"/>
                      <w:bCs w:val="0"/>
                      <w:color w:val="auto"/>
                      <w:sz w:val="21"/>
                      <w:szCs w:val="21"/>
                      <w:highlight w:val="none"/>
                      <w:lang w:val="en-US" w:eastAsia="zh-CN" w:bidi="ar"/>
                    </w:rPr>
                    <w:t>75%，</w:t>
                  </w:r>
                  <w:r>
                    <w:rPr>
                      <w:rFonts w:hint="default" w:ascii="Times New Roman" w:hAnsi="Times New Roman" w:cs="Times New Roman"/>
                      <w:b w:val="0"/>
                      <w:bCs w:val="0"/>
                      <w:color w:val="auto"/>
                      <w:sz w:val="21"/>
                      <w:szCs w:val="21"/>
                      <w:highlight w:val="none"/>
                      <w:lang w:bidi="ar"/>
                    </w:rPr>
                    <w:t>符合标准规定</w:t>
                  </w:r>
                  <w:r>
                    <w:rPr>
                      <w:rFonts w:hint="eastAsia"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val="en-US" w:eastAsia="zh-CN" w:bidi="ar"/>
                    </w:rPr>
                    <w:t>水性油墨</w:t>
                  </w:r>
                  <w:r>
                    <w:rPr>
                      <w:rFonts w:hint="eastAsia" w:cs="Times New Roman"/>
                      <w:b w:val="0"/>
                      <w:bCs w:val="0"/>
                      <w:color w:val="auto"/>
                      <w:sz w:val="21"/>
                      <w:szCs w:val="21"/>
                      <w:highlight w:val="none"/>
                      <w:lang w:val="en-US" w:eastAsia="zh-CN" w:bidi="ar"/>
                    </w:rPr>
                    <w:t>中</w:t>
                  </w:r>
                  <w:r>
                    <w:rPr>
                      <w:rFonts w:hint="default" w:ascii="Times New Roman" w:hAnsi="Times New Roman" w:cs="Times New Roman"/>
                      <w:b w:val="0"/>
                      <w:bCs w:val="0"/>
                      <w:color w:val="auto"/>
                      <w:sz w:val="21"/>
                      <w:szCs w:val="21"/>
                      <w:highlight w:val="none"/>
                      <w:lang w:bidi="ar"/>
                    </w:rPr>
                    <w:t>凹印油墨挥发性有机化合物</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bidi="ar"/>
                    </w:rPr>
                    <w:t>VOC</w:t>
                  </w:r>
                  <w:r>
                    <w:rPr>
                      <w:rFonts w:hint="default" w:ascii="Times New Roman" w:hAnsi="Times New Roman" w:cs="Times New Roman"/>
                      <w:b w:val="0"/>
                      <w:bCs w:val="0"/>
                      <w:color w:val="auto"/>
                      <w:sz w:val="21"/>
                      <w:szCs w:val="21"/>
                      <w:highlight w:val="none"/>
                      <w:vertAlign w:val="subscript"/>
                      <w:lang w:val="en-US" w:eastAsia="zh-CN" w:bidi="ar"/>
                    </w:rPr>
                    <w:t>S</w:t>
                  </w:r>
                  <w:r>
                    <w:rPr>
                      <w:rFonts w:hint="default" w:ascii="Times New Roman" w:hAnsi="Times New Roman" w:cs="Times New Roman"/>
                      <w:b w:val="0"/>
                      <w:bCs w:val="0"/>
                      <w:color w:val="auto"/>
                      <w:sz w:val="21"/>
                      <w:szCs w:val="21"/>
                      <w:highlight w:val="none"/>
                      <w:lang w:eastAsia="zh-CN" w:bidi="ar"/>
                    </w:rPr>
                    <w:t>）</w:t>
                  </w:r>
                  <w:r>
                    <w:rPr>
                      <w:rFonts w:hint="default" w:ascii="Times New Roman" w:hAnsi="Times New Roman" w:cs="Times New Roman"/>
                      <w:b w:val="0"/>
                      <w:bCs w:val="0"/>
                      <w:color w:val="auto"/>
                      <w:sz w:val="21"/>
                      <w:szCs w:val="21"/>
                      <w:highlight w:val="none"/>
                      <w:lang w:bidi="ar"/>
                    </w:rPr>
                    <w:t>限值</w:t>
                  </w:r>
                  <w:r>
                    <w:rPr>
                      <w:rFonts w:hint="default" w:ascii="Times New Roman" w:hAnsi="Times New Roman" w:cs="Times New Roman"/>
                      <w:b w:val="0"/>
                      <w:bCs w:val="0"/>
                      <w:color w:val="auto"/>
                      <w:sz w:val="21"/>
                      <w:szCs w:val="21"/>
                      <w:highlight w:val="none"/>
                      <w:lang w:val="en-US" w:eastAsia="zh-CN" w:bidi="ar"/>
                    </w:rPr>
                    <w:t>为≤</w:t>
                  </w:r>
                  <w:r>
                    <w:rPr>
                      <w:rFonts w:hint="eastAsia" w:cs="Times New Roman"/>
                      <w:b w:val="0"/>
                      <w:bCs w:val="0"/>
                      <w:color w:val="auto"/>
                      <w:sz w:val="21"/>
                      <w:szCs w:val="21"/>
                      <w:highlight w:val="none"/>
                      <w:lang w:val="en-US" w:eastAsia="zh-CN" w:bidi="ar"/>
                    </w:rPr>
                    <w:t>30</w:t>
                  </w:r>
                  <w:r>
                    <w:rPr>
                      <w:rFonts w:hint="default" w:ascii="Times New Roman" w:hAnsi="Times New Roman" w:cs="Times New Roman"/>
                      <w:b w:val="0"/>
                      <w:bCs w:val="0"/>
                      <w:color w:val="auto"/>
                      <w:sz w:val="21"/>
                      <w:szCs w:val="21"/>
                      <w:highlight w:val="none"/>
                      <w:lang w:val="en-US" w:eastAsia="zh-CN" w:bidi="ar"/>
                    </w:rPr>
                    <w:t>%</w:t>
                  </w:r>
                  <w:r>
                    <w:rPr>
                      <w:rFonts w:hint="eastAsia" w:cs="Times New Roman"/>
                      <w:b w:val="0"/>
                      <w:bCs w:val="0"/>
                      <w:color w:val="auto"/>
                      <w:sz w:val="21"/>
                      <w:szCs w:val="21"/>
                      <w:highlight w:val="none"/>
                      <w:lang w:val="en-US" w:eastAsia="zh-CN" w:bidi="ar"/>
                    </w:rPr>
                    <w:t>（非吸收性承印物）</w:t>
                  </w:r>
                  <w:r>
                    <w:rPr>
                      <w:rFonts w:hint="default" w:ascii="Times New Roman" w:hAnsi="Times New Roman" w:cs="Times New Roman"/>
                      <w:b w:val="0"/>
                      <w:bCs w:val="0"/>
                      <w:color w:val="auto"/>
                      <w:sz w:val="21"/>
                      <w:szCs w:val="21"/>
                      <w:highlight w:val="none"/>
                      <w:lang w:val="en-US" w:eastAsia="zh-CN" w:bidi="ar"/>
                    </w:rPr>
                    <w:t>，根据MSDS报告，项目</w:t>
                  </w:r>
                  <w:r>
                    <w:rPr>
                      <w:rFonts w:hint="eastAsia" w:cs="Times New Roman"/>
                      <w:b w:val="0"/>
                      <w:bCs w:val="0"/>
                      <w:color w:val="auto"/>
                      <w:sz w:val="21"/>
                      <w:szCs w:val="21"/>
                      <w:highlight w:val="none"/>
                      <w:lang w:val="en-US" w:eastAsia="zh-CN" w:bidi="ar"/>
                    </w:rPr>
                    <w:t>水性</w:t>
                  </w:r>
                  <w:r>
                    <w:rPr>
                      <w:rFonts w:hint="default" w:ascii="Times New Roman" w:hAnsi="Times New Roman" w:cs="Times New Roman"/>
                      <w:b w:val="0"/>
                      <w:bCs w:val="0"/>
                      <w:color w:val="auto"/>
                      <w:sz w:val="21"/>
                      <w:szCs w:val="21"/>
                      <w:highlight w:val="none"/>
                      <w:lang w:val="en-US" w:eastAsia="zh-CN" w:bidi="ar"/>
                    </w:rPr>
                    <w:t>油墨</w:t>
                  </w:r>
                  <w:r>
                    <w:rPr>
                      <w:rFonts w:hint="default" w:ascii="Times New Roman" w:hAnsi="Times New Roman" w:cs="Times New Roman"/>
                      <w:b w:val="0"/>
                      <w:bCs w:val="0"/>
                      <w:color w:val="auto"/>
                      <w:sz w:val="21"/>
                      <w:szCs w:val="21"/>
                      <w:highlight w:val="none"/>
                      <w:lang w:val="en-US" w:eastAsia="zh-CN"/>
                    </w:rPr>
                    <w:t>挥发份为</w:t>
                  </w:r>
                  <w:r>
                    <w:rPr>
                      <w:rFonts w:hint="eastAsia" w:cs="Times New Roman"/>
                      <w:b w:val="0"/>
                      <w:bCs w:val="0"/>
                      <w:color w:val="auto"/>
                      <w:sz w:val="21"/>
                      <w:szCs w:val="21"/>
                      <w:highlight w:val="none"/>
                      <w:lang w:val="en-US" w:eastAsia="zh-CN"/>
                    </w:rPr>
                    <w:t>29.6</w:t>
                  </w:r>
                  <w:r>
                    <w:rPr>
                      <w:rFonts w:hint="default" w:ascii="Times New Roman" w:hAnsi="Times New Roman" w:cs="Times New Roman"/>
                      <w:b w:val="0"/>
                      <w:bCs w:val="0"/>
                      <w:color w:val="auto"/>
                      <w:sz w:val="21"/>
                      <w:szCs w:val="21"/>
                      <w:highlight w:val="none"/>
                      <w:lang w:val="en-US" w:eastAsia="zh-CN"/>
                    </w:rPr>
                    <w:t>%＜</w:t>
                  </w:r>
                  <w:r>
                    <w:rPr>
                      <w:rFonts w:hint="eastAsia" w:cs="Times New Roman"/>
                      <w:b w:val="0"/>
                      <w:bCs w:val="0"/>
                      <w:color w:val="auto"/>
                      <w:sz w:val="21"/>
                      <w:szCs w:val="21"/>
                      <w:highlight w:val="none"/>
                      <w:lang w:val="en-US" w:eastAsia="zh-CN" w:bidi="ar"/>
                    </w:rPr>
                    <w:t>30</w:t>
                  </w:r>
                  <w:r>
                    <w:rPr>
                      <w:rFonts w:hint="default" w:ascii="Times New Roman" w:hAnsi="Times New Roman" w:cs="Times New Roman"/>
                      <w:b w:val="0"/>
                      <w:bCs w:val="0"/>
                      <w:color w:val="auto"/>
                      <w:sz w:val="21"/>
                      <w:szCs w:val="21"/>
                      <w:highlight w:val="none"/>
                      <w:lang w:val="en-US" w:eastAsia="zh-CN" w:bidi="ar"/>
                    </w:rPr>
                    <w:t>%</w:t>
                  </w:r>
                  <w:r>
                    <w:rPr>
                      <w:rFonts w:hint="eastAsia" w:cs="Times New Roman"/>
                      <w:b w:val="0"/>
                      <w:bCs w:val="0"/>
                      <w:color w:val="auto"/>
                      <w:sz w:val="21"/>
                      <w:szCs w:val="21"/>
                      <w:highlight w:val="none"/>
                      <w:lang w:val="en-US" w:eastAsia="zh-CN" w:bidi="ar"/>
                    </w:rPr>
                    <w:t>，因此项目涂料</w:t>
                  </w:r>
                  <w:r>
                    <w:rPr>
                      <w:rFonts w:hint="default"/>
                      <w:color w:val="auto"/>
                      <w:spacing w:val="-11"/>
                      <w:sz w:val="21"/>
                      <w:szCs w:val="21"/>
                    </w:rPr>
                    <w:t>符合源头控制要求。</w:t>
                  </w:r>
                  <w:r>
                    <w:rPr>
                      <w:rFonts w:hint="eastAsia"/>
                      <w:color w:val="auto"/>
                      <w:spacing w:val="-11"/>
                      <w:sz w:val="21"/>
                      <w:szCs w:val="21"/>
                      <w:lang w:val="en-US" w:eastAsia="zh-CN"/>
                    </w:rPr>
                    <w:t>因此项目涂料</w:t>
                  </w:r>
                  <w:r>
                    <w:rPr>
                      <w:rFonts w:hint="default"/>
                      <w:color w:val="auto"/>
                      <w:spacing w:val="-11"/>
                      <w:sz w:val="21"/>
                      <w:szCs w:val="21"/>
                    </w:rPr>
                    <w:t>符合源头控制要求。</w:t>
                  </w:r>
                  <w:r>
                    <w:rPr>
                      <w:rFonts w:hint="eastAsia"/>
                      <w:color w:val="auto"/>
                      <w:szCs w:val="21"/>
                      <w:lang w:val="en-US" w:eastAsia="zh-CN"/>
                    </w:rPr>
                    <w:t>废气经密闭负压</w:t>
                  </w:r>
                  <w:r>
                    <w:rPr>
                      <w:rFonts w:hint="eastAsia" w:cs="Times New Roman"/>
                      <w:b w:val="0"/>
                      <w:bCs/>
                      <w:color w:val="auto"/>
                      <w:kern w:val="2"/>
                      <w:sz w:val="21"/>
                      <w:szCs w:val="21"/>
                      <w:vertAlign w:val="baseline"/>
                      <w:lang w:val="en-US" w:eastAsia="zh-CN"/>
                    </w:rPr>
                    <w:t>收集后再经一套“二级</w:t>
                  </w:r>
                  <w:r>
                    <w:rPr>
                      <w:rFonts w:hint="eastAsia" w:ascii="Times New Roman" w:hAnsi="Times New Roman" w:eastAsia="宋体" w:cs="Times New Roman"/>
                      <w:b w:val="0"/>
                      <w:bCs/>
                      <w:color w:val="auto"/>
                      <w:kern w:val="2"/>
                      <w:sz w:val="21"/>
                      <w:szCs w:val="21"/>
                      <w:vertAlign w:val="baseline"/>
                      <w:lang w:val="en-US" w:eastAsia="zh-CN"/>
                    </w:rPr>
                    <w:t>活性炭吸附</w:t>
                  </w:r>
                  <w:r>
                    <w:rPr>
                      <w:rFonts w:hint="eastAsia" w:cs="Times New Roman"/>
                      <w:b w:val="0"/>
                      <w:bCs/>
                      <w:color w:val="auto"/>
                      <w:kern w:val="2"/>
                      <w:sz w:val="21"/>
                      <w:szCs w:val="21"/>
                      <w:vertAlign w:val="baseline"/>
                      <w:lang w:val="en-US" w:eastAsia="zh-CN"/>
                    </w:rPr>
                    <w:t>”装置</w:t>
                  </w:r>
                  <w:r>
                    <w:rPr>
                      <w:rFonts w:hint="eastAsia" w:ascii="Times New Roman" w:hAnsi="Times New Roman" w:eastAsia="宋体" w:cs="Times New Roman"/>
                      <w:b w:val="0"/>
                      <w:bCs/>
                      <w:color w:val="auto"/>
                      <w:kern w:val="2"/>
                      <w:sz w:val="21"/>
                      <w:szCs w:val="21"/>
                      <w:vertAlign w:val="baseline"/>
                      <w:lang w:val="en-US" w:eastAsia="zh-CN"/>
                    </w:rPr>
                    <w:t>处理后达标排放。</w:t>
                  </w:r>
                </w:p>
              </w:tc>
              <w:tc>
                <w:tcPr>
                  <w:tcW w:w="369" w:type="pct"/>
                  <w:vAlign w:val="center"/>
                </w:tcPr>
                <w:p w14:paraId="2C96E6D8">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color w:val="auto"/>
                      <w:szCs w:val="21"/>
                    </w:rPr>
                  </w:pPr>
                  <w:r>
                    <w:rPr>
                      <w:color w:val="auto"/>
                      <w:szCs w:val="21"/>
                    </w:rPr>
                    <w:t>符合</w:t>
                  </w:r>
                </w:p>
              </w:tc>
            </w:tr>
          </w:tbl>
          <w:p w14:paraId="29E11447">
            <w:pPr>
              <w:adjustRightInd w:val="0"/>
              <w:snapToGrid w:val="0"/>
              <w:spacing w:line="360" w:lineRule="auto"/>
              <w:ind w:firstLine="480" w:firstLineChars="200"/>
              <w:jc w:val="left"/>
              <w:rPr>
                <w:color w:val="auto"/>
                <w:sz w:val="24"/>
              </w:rPr>
            </w:pPr>
            <w:r>
              <w:rPr>
                <w:color w:val="auto"/>
                <w:sz w:val="24"/>
              </w:rPr>
              <w:t>综上所述，本项目符合《关于加快解决当前挥发性有机物治理突出问题的通知》（环大气</w:t>
            </w:r>
            <w:r>
              <w:rPr>
                <w:b w:val="0"/>
                <w:bCs w:val="0"/>
                <w:color w:val="auto"/>
                <w:sz w:val="24"/>
              </w:rPr>
              <w:t>〔2021〕</w:t>
            </w:r>
            <w:r>
              <w:rPr>
                <w:color w:val="auto"/>
                <w:sz w:val="24"/>
              </w:rPr>
              <w:t>61号）中附件《挥发性有机物治理突出问题排查整治工作要求》中相关要求。</w:t>
            </w:r>
          </w:p>
          <w:p w14:paraId="39B1FA8C">
            <w:pPr>
              <w:spacing w:line="360" w:lineRule="auto"/>
              <w:ind w:firstLine="482" w:firstLineChars="200"/>
              <w:jc w:val="left"/>
              <w:rPr>
                <w:b/>
                <w:bCs/>
                <w:color w:val="auto"/>
                <w:sz w:val="24"/>
              </w:rPr>
            </w:pPr>
            <w:r>
              <w:rPr>
                <w:rFonts w:hint="eastAsia"/>
                <w:b/>
                <w:bCs/>
                <w:color w:val="auto"/>
                <w:sz w:val="24"/>
              </w:rPr>
              <w:t>1</w:t>
            </w:r>
            <w:r>
              <w:rPr>
                <w:rFonts w:hint="eastAsia"/>
                <w:b/>
                <w:bCs/>
                <w:color w:val="auto"/>
                <w:sz w:val="24"/>
                <w:lang w:val="en-US" w:eastAsia="zh-CN"/>
              </w:rPr>
              <w:t>3</w:t>
            </w:r>
            <w:r>
              <w:rPr>
                <w:rFonts w:hint="eastAsia"/>
                <w:b/>
                <w:bCs/>
                <w:color w:val="auto"/>
                <w:sz w:val="24"/>
              </w:rPr>
              <w:t>、</w:t>
            </w:r>
            <w:r>
              <w:rPr>
                <w:b/>
                <w:bCs/>
                <w:color w:val="auto"/>
                <w:sz w:val="24"/>
              </w:rPr>
              <w:t>与《2020年挥发性有机物治理攻坚方案》（环大气〔2020〕33号）相符性分析</w:t>
            </w:r>
          </w:p>
          <w:p w14:paraId="3F082CE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auto"/>
                <w:sz w:val="24"/>
              </w:rPr>
            </w:pPr>
            <w:r>
              <w:rPr>
                <w:b/>
                <w:bCs/>
                <w:color w:val="auto"/>
                <w:sz w:val="24"/>
              </w:rPr>
              <w:t>表1-1</w:t>
            </w:r>
            <w:r>
              <w:rPr>
                <w:rFonts w:hint="eastAsia"/>
                <w:b/>
                <w:bCs/>
                <w:color w:val="auto"/>
                <w:sz w:val="24"/>
                <w:lang w:val="en-US" w:eastAsia="zh-CN"/>
              </w:rPr>
              <w:t xml:space="preserve">2  </w:t>
            </w:r>
            <w:r>
              <w:rPr>
                <w:b/>
                <w:bCs/>
                <w:color w:val="auto"/>
                <w:sz w:val="24"/>
              </w:rPr>
              <w:t>与《2020年挥发性有机物治理攻坚方案》（环大气〔2020〕33号）符合性分析</w:t>
            </w:r>
          </w:p>
          <w:tbl>
            <w:tblPr>
              <w:tblStyle w:val="28"/>
              <w:tblW w:w="5000" w:type="pct"/>
              <w:jc w:val="center"/>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5049"/>
              <w:gridCol w:w="2096"/>
              <w:gridCol w:w="760"/>
            </w:tblGrid>
            <w:tr w14:paraId="2E4D2B6F">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blHeader/>
                <w:jc w:val="center"/>
              </w:trPr>
              <w:tc>
                <w:tcPr>
                  <w:tcW w:w="3259" w:type="pct"/>
                  <w:vAlign w:val="center"/>
                </w:tcPr>
                <w:p w14:paraId="002075A0">
                  <w:pPr>
                    <w:adjustRightInd w:val="0"/>
                    <w:snapToGrid w:val="0"/>
                    <w:ind w:left="-63" w:leftChars="-30" w:right="-63" w:rightChars="-30"/>
                    <w:jc w:val="center"/>
                    <w:rPr>
                      <w:color w:val="auto"/>
                      <w:szCs w:val="21"/>
                    </w:rPr>
                  </w:pPr>
                  <w:r>
                    <w:rPr>
                      <w:b/>
                      <w:bCs/>
                      <w:color w:val="auto"/>
                      <w:szCs w:val="21"/>
                    </w:rPr>
                    <w:t>治理要求</w:t>
                  </w:r>
                </w:p>
              </w:tc>
              <w:tc>
                <w:tcPr>
                  <w:tcW w:w="1193" w:type="pct"/>
                  <w:vAlign w:val="center"/>
                </w:tcPr>
                <w:p w14:paraId="043C1BF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color w:val="auto"/>
                      <w:szCs w:val="21"/>
                    </w:rPr>
                  </w:pPr>
                  <w:r>
                    <w:rPr>
                      <w:rFonts w:hint="default"/>
                      <w:b/>
                      <w:bCs/>
                      <w:color w:val="auto"/>
                      <w:sz w:val="21"/>
                      <w:szCs w:val="21"/>
                    </w:rPr>
                    <w:t>本项目情况</w:t>
                  </w:r>
                </w:p>
              </w:tc>
              <w:tc>
                <w:tcPr>
                  <w:tcW w:w="546" w:type="pct"/>
                  <w:vAlign w:val="center"/>
                </w:tcPr>
                <w:p w14:paraId="6D0A655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color w:val="auto"/>
                      <w:szCs w:val="21"/>
                    </w:rPr>
                  </w:pPr>
                  <w:r>
                    <w:rPr>
                      <w:rFonts w:hint="eastAsia"/>
                      <w:b/>
                      <w:bCs/>
                      <w:color w:val="auto"/>
                      <w:sz w:val="21"/>
                      <w:szCs w:val="21"/>
                      <w:lang w:val="en-US" w:eastAsia="zh-CN"/>
                    </w:rPr>
                    <w:t>相符性</w:t>
                  </w:r>
                </w:p>
              </w:tc>
            </w:tr>
            <w:tr w14:paraId="3679B37B">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3259" w:type="pct"/>
                  <w:vAlign w:val="center"/>
                </w:tcPr>
                <w:p w14:paraId="72477CA7">
                  <w:pPr>
                    <w:numPr>
                      <w:ilvl w:val="0"/>
                      <w:numId w:val="5"/>
                    </w:numPr>
                    <w:adjustRightInd w:val="0"/>
                    <w:snapToGrid w:val="0"/>
                    <w:jc w:val="both"/>
                    <w:rPr>
                      <w:color w:val="auto"/>
                    </w:rPr>
                  </w:pPr>
                  <w:r>
                    <w:rPr>
                      <w:color w:val="auto"/>
                      <w:szCs w:val="21"/>
                    </w:rPr>
                    <w:t>大力推进源头替代，有效减少VOC</w:t>
                  </w:r>
                  <w:r>
                    <w:rPr>
                      <w:rFonts w:hint="eastAsia"/>
                      <w:color w:val="auto"/>
                      <w:szCs w:val="21"/>
                      <w:vertAlign w:val="subscript"/>
                    </w:rPr>
                    <w:t>S</w:t>
                  </w:r>
                  <w:r>
                    <w:rPr>
                      <w:color w:val="auto"/>
                      <w:szCs w:val="21"/>
                    </w:rPr>
                    <w:t>产生大力推进低（无）</w:t>
                  </w:r>
                  <w:r>
                    <w:rPr>
                      <w:bCs/>
                      <w:color w:val="auto"/>
                      <w:szCs w:val="21"/>
                    </w:rPr>
                    <w:t>VOC</w:t>
                  </w:r>
                  <w:r>
                    <w:rPr>
                      <w:rFonts w:hint="eastAsia"/>
                      <w:bCs/>
                      <w:color w:val="auto"/>
                      <w:szCs w:val="21"/>
                      <w:vertAlign w:val="subscript"/>
                    </w:rPr>
                    <w:t>S</w:t>
                  </w:r>
                  <w:r>
                    <w:rPr>
                      <w:color w:val="auto"/>
                      <w:szCs w:val="21"/>
                    </w:rPr>
                    <w:t>含量原辅材料替代。将全面使用符合国家要求的低</w:t>
                  </w:r>
                  <w:r>
                    <w:rPr>
                      <w:bCs/>
                      <w:color w:val="auto"/>
                      <w:szCs w:val="21"/>
                    </w:rPr>
                    <w:t>VOC</w:t>
                  </w:r>
                  <w:r>
                    <w:rPr>
                      <w:rFonts w:hint="eastAsia"/>
                      <w:bCs/>
                      <w:color w:val="auto"/>
                      <w:szCs w:val="21"/>
                      <w:vertAlign w:val="subscript"/>
                    </w:rPr>
                    <w:t>S</w:t>
                  </w:r>
                  <w:r>
                    <w:rPr>
                      <w:color w:val="auto"/>
                      <w:szCs w:val="21"/>
                    </w:rPr>
                    <w:t>含量原辅材料的企业纳入正面清单和政府绿色采购清单。企业应建立原辅材料台账，记录</w:t>
                  </w:r>
                  <w:r>
                    <w:rPr>
                      <w:bCs/>
                      <w:color w:val="auto"/>
                      <w:szCs w:val="21"/>
                    </w:rPr>
                    <w:t>VOC</w:t>
                  </w:r>
                  <w:r>
                    <w:rPr>
                      <w:rFonts w:hint="eastAsia"/>
                      <w:bCs/>
                      <w:color w:val="auto"/>
                      <w:szCs w:val="21"/>
                      <w:vertAlign w:val="subscript"/>
                    </w:rPr>
                    <w:t>S</w:t>
                  </w:r>
                  <w:r>
                    <w:rPr>
                      <w:color w:val="auto"/>
                      <w:szCs w:val="21"/>
                    </w:rPr>
                    <w:t>原辅材料名称、成分、</w:t>
                  </w:r>
                  <w:r>
                    <w:rPr>
                      <w:bCs/>
                      <w:color w:val="auto"/>
                      <w:szCs w:val="21"/>
                    </w:rPr>
                    <w:t>VOC</w:t>
                  </w:r>
                  <w:r>
                    <w:rPr>
                      <w:rFonts w:hint="eastAsia"/>
                      <w:bCs/>
                      <w:color w:val="auto"/>
                      <w:szCs w:val="21"/>
                      <w:vertAlign w:val="subscript"/>
                    </w:rPr>
                    <w:t>S</w:t>
                  </w:r>
                  <w:r>
                    <w:rPr>
                      <w:color w:val="auto"/>
                      <w:szCs w:val="21"/>
                    </w:rPr>
                    <w:t>含量、采购量、使用量、库存量、回收方式、回收量等信息，并保存相关证明材料。采用符合国家有关低VOC</w:t>
                  </w:r>
                  <w:r>
                    <w:rPr>
                      <w:rFonts w:hint="eastAsia"/>
                      <w:color w:val="auto"/>
                      <w:szCs w:val="21"/>
                      <w:vertAlign w:val="subscript"/>
                    </w:rPr>
                    <w:t>S</w:t>
                  </w:r>
                  <w:r>
                    <w:rPr>
                      <w:color w:val="auto"/>
                      <w:szCs w:val="21"/>
                    </w:rPr>
                    <w:t>含量产品规定的涂料、油墨、胶粘剂等，排放浓度稳定达标且排放速率满足相关规定的，相应生产工序可不要求建设末端治理设施。使用的原辅材料VOC</w:t>
                  </w:r>
                  <w:r>
                    <w:rPr>
                      <w:rFonts w:hint="eastAsia"/>
                      <w:color w:val="auto"/>
                      <w:szCs w:val="21"/>
                      <w:vertAlign w:val="subscript"/>
                    </w:rPr>
                    <w:t>S</w:t>
                  </w:r>
                  <w:r>
                    <w:rPr>
                      <w:color w:val="auto"/>
                      <w:szCs w:val="21"/>
                    </w:rPr>
                    <w:t>含量（质量比）均低于10%的工序，可不要求采取无组织排放收集和处理措施。推进政府绿色采购，要求家具、印刷等政府定点招标采购企业优先使用低挥发性原辅材料，鼓励汽车维修等政府定点招标采购企业使用低挥发性原辅材料；将低VOC</w:t>
                  </w:r>
                  <w:r>
                    <w:rPr>
                      <w:rFonts w:hint="eastAsia"/>
                      <w:color w:val="auto"/>
                      <w:szCs w:val="21"/>
                      <w:vertAlign w:val="subscript"/>
                    </w:rPr>
                    <w:t>S</w:t>
                  </w:r>
                  <w:r>
                    <w:rPr>
                      <w:color w:val="auto"/>
                      <w:szCs w:val="21"/>
                    </w:rPr>
                    <w:t>含量产品纳入政府采购名录，并在政府投资项目中优先使用；引导将使用低VOC</w:t>
                  </w:r>
                  <w:r>
                    <w:rPr>
                      <w:rFonts w:hint="eastAsia"/>
                      <w:color w:val="auto"/>
                      <w:szCs w:val="21"/>
                      <w:vertAlign w:val="subscript"/>
                    </w:rPr>
                    <w:t>S</w:t>
                  </w:r>
                  <w:r>
                    <w:rPr>
                      <w:color w:val="auto"/>
                      <w:szCs w:val="21"/>
                    </w:rPr>
                    <w:t>含量涂料、胶粘剂等纳入政府采购装修合同环保条款。</w:t>
                  </w:r>
                </w:p>
              </w:tc>
              <w:tc>
                <w:tcPr>
                  <w:tcW w:w="1193" w:type="pct"/>
                  <w:vAlign w:val="center"/>
                </w:tcPr>
                <w:p w14:paraId="49362FBD">
                  <w:pPr>
                    <w:adjustRightInd w:val="0"/>
                    <w:snapToGrid w:val="0"/>
                    <w:ind w:left="-63" w:leftChars="-30" w:right="-63" w:rightChars="-30"/>
                    <w:jc w:val="both"/>
                    <w:rPr>
                      <w:rFonts w:hint="eastAsia" w:eastAsia="宋体"/>
                      <w:color w:val="auto"/>
                      <w:szCs w:val="21"/>
                      <w:lang w:eastAsia="zh-CN"/>
                    </w:rPr>
                  </w:pPr>
                  <w:r>
                    <w:rPr>
                      <w:rFonts w:hint="eastAsia"/>
                      <w:color w:val="auto"/>
                      <w:spacing w:val="-11"/>
                      <w:sz w:val="21"/>
                      <w:szCs w:val="21"/>
                      <w:lang w:val="en-US" w:eastAsia="zh-CN"/>
                    </w:rPr>
                    <w:t>项目生产过程中主要以水性油墨、油墨作为生产涂料使用</w:t>
                  </w:r>
                  <w:r>
                    <w:rPr>
                      <w:color w:val="auto"/>
                      <w:szCs w:val="21"/>
                    </w:rPr>
                    <w:t>，</w:t>
                  </w:r>
                  <w:r>
                    <w:rPr>
                      <w:rFonts w:hint="eastAsia"/>
                      <w:color w:val="auto"/>
                      <w:szCs w:val="21"/>
                      <w:lang w:val="en-US" w:eastAsia="zh-CN"/>
                    </w:rPr>
                    <w:t>废气经密闭负压</w:t>
                  </w:r>
                  <w:r>
                    <w:rPr>
                      <w:rFonts w:hint="eastAsia" w:cs="Times New Roman"/>
                      <w:b w:val="0"/>
                      <w:bCs/>
                      <w:color w:val="auto"/>
                      <w:kern w:val="2"/>
                      <w:sz w:val="21"/>
                      <w:szCs w:val="21"/>
                      <w:vertAlign w:val="baseline"/>
                      <w:lang w:val="en-US" w:eastAsia="zh-CN"/>
                    </w:rPr>
                    <w:t>收集后经一套“二级</w:t>
                  </w:r>
                  <w:r>
                    <w:rPr>
                      <w:rFonts w:hint="eastAsia" w:ascii="Times New Roman" w:hAnsi="Times New Roman" w:eastAsia="宋体" w:cs="Times New Roman"/>
                      <w:b w:val="0"/>
                      <w:bCs/>
                      <w:color w:val="auto"/>
                      <w:kern w:val="2"/>
                      <w:sz w:val="21"/>
                      <w:szCs w:val="21"/>
                      <w:vertAlign w:val="baseline"/>
                      <w:lang w:val="en-US" w:eastAsia="zh-CN"/>
                    </w:rPr>
                    <w:t>活性炭吸附</w:t>
                  </w:r>
                  <w:r>
                    <w:rPr>
                      <w:rFonts w:hint="eastAsia" w:cs="Times New Roman"/>
                      <w:b w:val="0"/>
                      <w:bCs/>
                      <w:color w:val="auto"/>
                      <w:kern w:val="2"/>
                      <w:sz w:val="21"/>
                      <w:szCs w:val="21"/>
                      <w:vertAlign w:val="baseline"/>
                      <w:lang w:val="en-US" w:eastAsia="zh-CN"/>
                    </w:rPr>
                    <w:t>”装置</w:t>
                  </w:r>
                  <w:r>
                    <w:rPr>
                      <w:rFonts w:hint="eastAsia" w:ascii="Times New Roman" w:hAnsi="Times New Roman" w:eastAsia="宋体" w:cs="Times New Roman"/>
                      <w:b w:val="0"/>
                      <w:bCs/>
                      <w:color w:val="auto"/>
                      <w:kern w:val="2"/>
                      <w:sz w:val="21"/>
                      <w:szCs w:val="21"/>
                      <w:vertAlign w:val="baseline"/>
                      <w:lang w:val="en-US" w:eastAsia="zh-CN"/>
                    </w:rPr>
                    <w:t>处理后达标排放。</w:t>
                  </w:r>
                </w:p>
              </w:tc>
              <w:tc>
                <w:tcPr>
                  <w:tcW w:w="546" w:type="pct"/>
                  <w:vAlign w:val="center"/>
                </w:tcPr>
                <w:p w14:paraId="2C3D6C53">
                  <w:pPr>
                    <w:adjustRightInd w:val="0"/>
                    <w:snapToGrid w:val="0"/>
                    <w:ind w:left="-63" w:leftChars="-30" w:right="-63" w:rightChars="-30"/>
                    <w:jc w:val="center"/>
                    <w:rPr>
                      <w:color w:val="auto"/>
                      <w:szCs w:val="21"/>
                    </w:rPr>
                  </w:pPr>
                  <w:r>
                    <w:rPr>
                      <w:color w:val="auto"/>
                      <w:szCs w:val="21"/>
                    </w:rPr>
                    <w:t>符合</w:t>
                  </w:r>
                </w:p>
              </w:tc>
            </w:tr>
            <w:tr w14:paraId="656E6CE4">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3259" w:type="pct"/>
                  <w:vAlign w:val="center"/>
                </w:tcPr>
                <w:p w14:paraId="0C65A02C">
                  <w:pPr>
                    <w:numPr>
                      <w:ilvl w:val="0"/>
                      <w:numId w:val="5"/>
                    </w:numPr>
                    <w:adjustRightInd w:val="0"/>
                    <w:snapToGrid w:val="0"/>
                    <w:jc w:val="both"/>
                    <w:rPr>
                      <w:color w:val="auto"/>
                    </w:rPr>
                  </w:pPr>
                  <w:r>
                    <w:rPr>
                      <w:color w:val="auto"/>
                      <w:szCs w:val="21"/>
                    </w:rPr>
                    <w:t>全面落实标准要求，强化无组织排放控制企业在无组织排放排查整治过程中，在保证安全的前提下，加强含</w:t>
                  </w:r>
                  <w:r>
                    <w:rPr>
                      <w:rFonts w:hint="eastAsia"/>
                      <w:color w:val="auto"/>
                      <w:szCs w:val="21"/>
                    </w:rPr>
                    <w:t>VOC</w:t>
                  </w:r>
                  <w:r>
                    <w:rPr>
                      <w:rFonts w:hint="eastAsia"/>
                      <w:color w:val="auto"/>
                      <w:szCs w:val="21"/>
                      <w:vertAlign w:val="subscript"/>
                    </w:rPr>
                    <w:t>S</w:t>
                  </w:r>
                  <w:r>
                    <w:rPr>
                      <w:color w:val="auto"/>
                      <w:szCs w:val="21"/>
                    </w:rPr>
                    <w:t>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w:t>
                  </w:r>
                  <w:r>
                    <w:rPr>
                      <w:rFonts w:hint="eastAsia"/>
                      <w:color w:val="auto"/>
                      <w:szCs w:val="21"/>
                    </w:rPr>
                    <w:t>VOC</w:t>
                  </w:r>
                  <w:r>
                    <w:rPr>
                      <w:rFonts w:hint="eastAsia"/>
                      <w:color w:val="auto"/>
                      <w:szCs w:val="21"/>
                      <w:vertAlign w:val="subscript"/>
                    </w:rPr>
                    <w:t>S</w:t>
                  </w:r>
                  <w:r>
                    <w:rPr>
                      <w:color w:val="auto"/>
                      <w:szCs w:val="21"/>
                    </w:rPr>
                    <w:t>物料的包装容器、含</w:t>
                  </w:r>
                  <w:r>
                    <w:rPr>
                      <w:rFonts w:hint="eastAsia"/>
                      <w:color w:val="auto"/>
                      <w:szCs w:val="21"/>
                    </w:rPr>
                    <w:t>VOC</w:t>
                  </w:r>
                  <w:r>
                    <w:rPr>
                      <w:rFonts w:hint="eastAsia"/>
                      <w:color w:val="auto"/>
                      <w:szCs w:val="21"/>
                      <w:vertAlign w:val="subscript"/>
                    </w:rPr>
                    <w:t>S</w:t>
                  </w:r>
                  <w:r>
                    <w:rPr>
                      <w:color w:val="auto"/>
                      <w:szCs w:val="21"/>
                    </w:rPr>
                    <w:t>废料（渣、液）、废吸附剂等通过加盖、封装等方式密闭，妥善存放，不得随意丢弃，7月15日前集中清运一次，交有资质的单位处置；处置单位在贮存、清洗、破碎等环节应按要求对</w:t>
                  </w:r>
                  <w:r>
                    <w:rPr>
                      <w:rFonts w:hint="eastAsia"/>
                      <w:color w:val="auto"/>
                      <w:szCs w:val="21"/>
                    </w:rPr>
                    <w:t>VOC</w:t>
                  </w:r>
                  <w:r>
                    <w:rPr>
                      <w:rFonts w:hint="eastAsia"/>
                      <w:color w:val="auto"/>
                      <w:szCs w:val="21"/>
                      <w:vertAlign w:val="subscript"/>
                    </w:rPr>
                    <w:t>S</w:t>
                  </w:r>
                  <w:r>
                    <w:rPr>
                      <w:color w:val="auto"/>
                      <w:szCs w:val="21"/>
                    </w:rPr>
                    <w:t>无组织排放废气进行收集、处理。高</w:t>
                  </w:r>
                  <w:r>
                    <w:rPr>
                      <w:rFonts w:hint="eastAsia"/>
                      <w:color w:val="auto"/>
                      <w:szCs w:val="21"/>
                    </w:rPr>
                    <w:t>VOC</w:t>
                  </w:r>
                  <w:r>
                    <w:rPr>
                      <w:rFonts w:hint="eastAsia"/>
                      <w:color w:val="auto"/>
                      <w:szCs w:val="21"/>
                      <w:vertAlign w:val="subscript"/>
                    </w:rPr>
                    <w:t>S</w:t>
                  </w:r>
                  <w:r>
                    <w:rPr>
                      <w:color w:val="auto"/>
                      <w:szCs w:val="21"/>
                    </w:rPr>
                    <w:t>含量废水的集输、储存和处理环节，应加盖密闭。企业中载有气态、液态</w:t>
                  </w:r>
                  <w:r>
                    <w:rPr>
                      <w:rFonts w:hint="eastAsia"/>
                      <w:color w:val="auto"/>
                      <w:szCs w:val="21"/>
                    </w:rPr>
                    <w:t>VOC</w:t>
                  </w:r>
                  <w:r>
                    <w:rPr>
                      <w:rFonts w:hint="eastAsia"/>
                      <w:color w:val="auto"/>
                      <w:szCs w:val="21"/>
                      <w:vertAlign w:val="subscript"/>
                    </w:rPr>
                    <w:t>S</w:t>
                  </w:r>
                  <w:r>
                    <w:rPr>
                      <w:color w:val="auto"/>
                      <w:szCs w:val="21"/>
                    </w:rPr>
                    <w:t>物料的设备与管线组件密封点大于等于2000个的，应全面梳理建立台账，6-9月完成一轮泄漏检测与修复（LDAR）工作，及时修复泄漏源；石油炼制、石油化工、合成树脂企业严格按照排放标准要求开展LDAR工作，加强备用泵、在用泵、调节阀、搅拌器、开口管线等检测工作，强化质量控制；要将</w:t>
                  </w:r>
                  <w:r>
                    <w:rPr>
                      <w:rFonts w:hint="eastAsia"/>
                      <w:color w:val="auto"/>
                      <w:szCs w:val="21"/>
                    </w:rPr>
                    <w:t>VOC</w:t>
                  </w:r>
                  <w:r>
                    <w:rPr>
                      <w:rFonts w:hint="eastAsia"/>
                      <w:color w:val="auto"/>
                      <w:szCs w:val="21"/>
                      <w:vertAlign w:val="subscript"/>
                    </w:rPr>
                    <w:t>S</w:t>
                  </w:r>
                  <w:r>
                    <w:rPr>
                      <w:color w:val="auto"/>
                      <w:szCs w:val="21"/>
                    </w:rPr>
                    <w:t>治理设施和储罐的密封点纳入检测计划中。</w:t>
                  </w:r>
                </w:p>
              </w:tc>
              <w:tc>
                <w:tcPr>
                  <w:tcW w:w="1193" w:type="pct"/>
                  <w:vAlign w:val="center"/>
                </w:tcPr>
                <w:p w14:paraId="16325744">
                  <w:pPr>
                    <w:adjustRightInd w:val="0"/>
                    <w:snapToGrid w:val="0"/>
                    <w:ind w:left="-63" w:leftChars="-30" w:right="-63" w:rightChars="-30"/>
                    <w:jc w:val="both"/>
                    <w:rPr>
                      <w:color w:val="auto"/>
                      <w:szCs w:val="21"/>
                    </w:rPr>
                  </w:pPr>
                  <w:r>
                    <w:rPr>
                      <w:color w:val="auto"/>
                      <w:szCs w:val="21"/>
                    </w:rPr>
                    <w:t>项目</w:t>
                  </w:r>
                  <w:r>
                    <w:rPr>
                      <w:rFonts w:hint="eastAsia"/>
                      <w:color w:val="auto"/>
                      <w:szCs w:val="21"/>
                      <w:lang w:val="en-US" w:eastAsia="zh-CN"/>
                    </w:rPr>
                    <w:t>所使用的含有机废气物料</w:t>
                  </w:r>
                  <w:r>
                    <w:rPr>
                      <w:color w:val="auto"/>
                    </w:rPr>
                    <w:t>均储存于密闭容器内；</w:t>
                  </w:r>
                  <w:r>
                    <w:rPr>
                      <w:rFonts w:hint="eastAsia"/>
                      <w:color w:val="auto"/>
                      <w:szCs w:val="21"/>
                      <w:lang w:val="en-US" w:eastAsia="zh-CN"/>
                    </w:rPr>
                    <w:t>废气经密闭负压</w:t>
                  </w:r>
                  <w:r>
                    <w:rPr>
                      <w:rFonts w:hint="eastAsia" w:cs="Times New Roman"/>
                      <w:b w:val="0"/>
                      <w:bCs/>
                      <w:color w:val="auto"/>
                      <w:kern w:val="2"/>
                      <w:sz w:val="21"/>
                      <w:szCs w:val="21"/>
                      <w:vertAlign w:val="baseline"/>
                      <w:lang w:val="en-US" w:eastAsia="zh-CN"/>
                    </w:rPr>
                    <w:t>收集后再经一套“二级</w:t>
                  </w:r>
                  <w:r>
                    <w:rPr>
                      <w:rFonts w:hint="eastAsia" w:ascii="Times New Roman" w:hAnsi="Times New Roman" w:eastAsia="宋体" w:cs="Times New Roman"/>
                      <w:b w:val="0"/>
                      <w:bCs/>
                      <w:color w:val="auto"/>
                      <w:kern w:val="2"/>
                      <w:sz w:val="21"/>
                      <w:szCs w:val="21"/>
                      <w:vertAlign w:val="baseline"/>
                      <w:lang w:val="en-US" w:eastAsia="zh-CN"/>
                    </w:rPr>
                    <w:t>活性炭吸附</w:t>
                  </w:r>
                  <w:r>
                    <w:rPr>
                      <w:rFonts w:hint="eastAsia" w:cs="Times New Roman"/>
                      <w:b w:val="0"/>
                      <w:bCs/>
                      <w:color w:val="auto"/>
                      <w:kern w:val="2"/>
                      <w:sz w:val="21"/>
                      <w:szCs w:val="21"/>
                      <w:vertAlign w:val="baseline"/>
                      <w:lang w:val="en-US" w:eastAsia="zh-CN"/>
                    </w:rPr>
                    <w:t>”装置</w:t>
                  </w:r>
                  <w:r>
                    <w:rPr>
                      <w:rFonts w:hint="eastAsia" w:ascii="Times New Roman" w:hAnsi="Times New Roman" w:eastAsia="宋体" w:cs="Times New Roman"/>
                      <w:b w:val="0"/>
                      <w:bCs/>
                      <w:color w:val="auto"/>
                      <w:kern w:val="2"/>
                      <w:sz w:val="21"/>
                      <w:szCs w:val="21"/>
                      <w:vertAlign w:val="baseline"/>
                      <w:lang w:val="en-US" w:eastAsia="zh-CN"/>
                    </w:rPr>
                    <w:t>处理后达标排放。</w:t>
                  </w:r>
                  <w:r>
                    <w:rPr>
                      <w:color w:val="auto"/>
                      <w:szCs w:val="21"/>
                    </w:rPr>
                    <w:t>废活性炭定期更换并交有危废处置资质的单位处理。</w:t>
                  </w:r>
                </w:p>
              </w:tc>
              <w:tc>
                <w:tcPr>
                  <w:tcW w:w="546" w:type="pct"/>
                  <w:vAlign w:val="center"/>
                </w:tcPr>
                <w:p w14:paraId="57403738">
                  <w:pPr>
                    <w:adjustRightInd w:val="0"/>
                    <w:snapToGrid w:val="0"/>
                    <w:ind w:left="-63" w:leftChars="-30" w:right="-63" w:rightChars="-30"/>
                    <w:jc w:val="center"/>
                    <w:rPr>
                      <w:color w:val="auto"/>
                      <w:szCs w:val="21"/>
                    </w:rPr>
                  </w:pPr>
                  <w:r>
                    <w:rPr>
                      <w:color w:val="auto"/>
                      <w:szCs w:val="21"/>
                    </w:rPr>
                    <w:t>符合</w:t>
                  </w:r>
                </w:p>
              </w:tc>
            </w:tr>
            <w:tr w14:paraId="48CC82B9">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3259" w:type="pct"/>
                  <w:vAlign w:val="center"/>
                </w:tcPr>
                <w:p w14:paraId="29D49D2D">
                  <w:pPr>
                    <w:numPr>
                      <w:ilvl w:val="0"/>
                      <w:numId w:val="5"/>
                    </w:numPr>
                    <w:jc w:val="both"/>
                    <w:rPr>
                      <w:color w:val="auto"/>
                      <w:szCs w:val="21"/>
                    </w:rPr>
                  </w:pPr>
                  <w:r>
                    <w:rPr>
                      <w:color w:val="auto"/>
                    </w:rPr>
                    <w:t>聚焦治污设施“三率”，提升综合治理效率组织企业对现有</w:t>
                  </w:r>
                  <w:r>
                    <w:rPr>
                      <w:rFonts w:hint="eastAsia"/>
                      <w:color w:val="auto"/>
                      <w:szCs w:val="21"/>
                    </w:rPr>
                    <w:t>VOC</w:t>
                  </w:r>
                  <w:r>
                    <w:rPr>
                      <w:rFonts w:hint="eastAsia"/>
                      <w:color w:val="auto"/>
                      <w:szCs w:val="21"/>
                      <w:vertAlign w:val="subscript"/>
                    </w:rPr>
                    <w:t>S</w:t>
                  </w:r>
                  <w:r>
                    <w:rPr>
                      <w:color w:val="auto"/>
                    </w:rPr>
                    <w:t>废气收集率、治理设施同步运行率和去除率开展自查，重点关注单一采用光氧化、光催化、低温等离子、一次性活性炭吸附、喷淋吸收等工艺的治理设施，7月15日前完成。对达不到要求的</w:t>
                  </w:r>
                  <w:r>
                    <w:rPr>
                      <w:rFonts w:hint="eastAsia"/>
                      <w:color w:val="auto"/>
                      <w:szCs w:val="21"/>
                    </w:rPr>
                    <w:t>VOC</w:t>
                  </w:r>
                  <w:r>
                    <w:rPr>
                      <w:rFonts w:hint="eastAsia"/>
                      <w:color w:val="auto"/>
                      <w:szCs w:val="21"/>
                      <w:vertAlign w:val="subscript"/>
                    </w:rPr>
                    <w:t>S</w:t>
                  </w:r>
                  <w:r>
                    <w:rPr>
                      <w:color w:val="auto"/>
                    </w:rPr>
                    <w:t>收集、治理设施进行更换或升级改造，确保实现达标排放。除恶臭异味治理外，一般不采用低温等离子、光催化、光氧化等技术。行业排放标准中规定特别排放限值和控制要求的，应按相关规定执行；未制定行业标准的应执行大气污染物综合排放标准和挥发性有机物无组织排放控制标准；已制定更严格地方排放标准的，按地方标准执行。按照“应收尽收”的原则提升废气收集率。推动取消废气排放系统旁路，因安全生产等原因必须保留的，应将保留旁路清单报当地生态环境部门，旁路在非紧急情况下保持关闭，并通过铅封、安装自动监控设施、流量计等方式加强监管，开启后应及时向当地生态环境部门报告，做好台账记录。将无组织排放转变为有组织排放进行控制，优先采用密闭设备、在密闭空间中操作或采用全密闭集气罩收集方式；对于采用局部集气罩的，应根据废气排放特点合理选择收集点位，距集气罩开口面最远处的</w:t>
                  </w:r>
                  <w:r>
                    <w:rPr>
                      <w:rFonts w:hint="eastAsia"/>
                      <w:color w:val="auto"/>
                      <w:szCs w:val="21"/>
                    </w:rPr>
                    <w:t>VOC</w:t>
                  </w:r>
                  <w:r>
                    <w:rPr>
                      <w:rFonts w:hint="eastAsia"/>
                      <w:color w:val="auto"/>
                      <w:szCs w:val="21"/>
                      <w:vertAlign w:val="subscript"/>
                    </w:rPr>
                    <w:t>S</w:t>
                  </w:r>
                  <w:r>
                    <w:rPr>
                      <w:color w:val="auto"/>
                    </w:rPr>
                    <w:t>无组织排放位置，控制风速不低于0.3米/秒，达不到要求的通过更换大功率风机、增设烟道风机、增加垂帘等方式及时改造；加强生产车间密闭管理，在符合安全生产、职业卫生相关规定前提下，采用自动卷帘门、密闭性好的塑钢门窗等，在非必要时保持关闭。按照与生产设备“同启同停”的原则提升治理设施运行率。根据处理工艺要求，在处理设施达到正常运行条件后方可启动生产设备，在生产设备停止、残留</w:t>
                  </w:r>
                  <w:r>
                    <w:rPr>
                      <w:rFonts w:hint="eastAsia"/>
                      <w:color w:val="auto"/>
                      <w:szCs w:val="21"/>
                    </w:rPr>
                    <w:t>VOC</w:t>
                  </w:r>
                  <w:r>
                    <w:rPr>
                      <w:rFonts w:hint="eastAsia"/>
                      <w:color w:val="auto"/>
                      <w:szCs w:val="21"/>
                      <w:vertAlign w:val="subscript"/>
                    </w:rPr>
                    <w:t>S</w:t>
                  </w:r>
                  <w:r>
                    <w:rPr>
                      <w:color w:val="auto"/>
                    </w:rPr>
                    <w:t>废气收集处理完毕后，方可停运处理设施。</w:t>
                  </w:r>
                  <w:r>
                    <w:rPr>
                      <w:rFonts w:hint="eastAsia"/>
                      <w:color w:val="auto"/>
                      <w:szCs w:val="21"/>
                    </w:rPr>
                    <w:t>VOC</w:t>
                  </w:r>
                  <w:r>
                    <w:rPr>
                      <w:rFonts w:hint="eastAsia"/>
                      <w:color w:val="auto"/>
                      <w:szCs w:val="21"/>
                      <w:vertAlign w:val="subscript"/>
                    </w:rPr>
                    <w:t>S</w:t>
                  </w:r>
                  <w:r>
                    <w:rPr>
                      <w:color w:val="auto"/>
                    </w:rPr>
                    <w:t>废气处理系统发生故障或检修时，对应生产工艺设备应停止运行，待检修完毕后同步投入使用；因安全等因素生产工艺设备不能停止或不能及时停止运行的，应设置废气应急处理设施或采取其他替代措施。按照“适宜高效”的原则提高治理设施去除率，不得稀释排放。企业新建治污设施或对现有治污设施实施改造，应依据排放废气特征、</w:t>
                  </w:r>
                  <w:r>
                    <w:rPr>
                      <w:rFonts w:hint="eastAsia"/>
                      <w:color w:val="auto"/>
                      <w:szCs w:val="21"/>
                    </w:rPr>
                    <w:t>VOC</w:t>
                  </w:r>
                  <w:r>
                    <w:rPr>
                      <w:rFonts w:hint="eastAsia"/>
                      <w:color w:val="auto"/>
                      <w:szCs w:val="21"/>
                      <w:vertAlign w:val="subscript"/>
                    </w:rPr>
                    <w:t>S</w:t>
                  </w:r>
                  <w:r>
                    <w:rPr>
                      <w:color w:val="auto"/>
                    </w:rPr>
                    <w:t>组分及浓度、生产工况等，合理选择治理技术，对治理难度大、单一治理工艺难以稳定达标的，要采用多种技术的组合工艺。采用活性炭吸附技术的，应选择碘值不低于800毫克/克的活性炭，并按设计要求足量添加、及时更换；各地要督促行政区域内采用一次性活性炭吸附技术的企业按期更换活性炭，对于长期未进行更换的，于7月底前全部更换一次，并将废旧活性炭交有资质的单位处理处置，记录更换时间和使用量。</w:t>
                  </w:r>
                </w:p>
              </w:tc>
              <w:tc>
                <w:tcPr>
                  <w:tcW w:w="1193" w:type="pct"/>
                  <w:shd w:val="clear" w:color="auto" w:fill="auto"/>
                  <w:vAlign w:val="center"/>
                </w:tcPr>
                <w:p w14:paraId="0777E7BF">
                  <w:pPr>
                    <w:adjustRightInd w:val="0"/>
                    <w:snapToGrid w:val="0"/>
                    <w:ind w:left="-63" w:leftChars="-30" w:right="-63" w:rightChars="-30"/>
                    <w:jc w:val="both"/>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项目生产过程中废气经密闭负压</w:t>
                  </w:r>
                  <w:r>
                    <w:rPr>
                      <w:rFonts w:hint="eastAsia" w:cs="Times New Roman"/>
                      <w:b w:val="0"/>
                      <w:bCs/>
                      <w:color w:val="auto"/>
                      <w:kern w:val="2"/>
                      <w:sz w:val="21"/>
                      <w:szCs w:val="21"/>
                      <w:vertAlign w:val="baseline"/>
                      <w:lang w:val="en-US" w:eastAsia="zh-CN"/>
                    </w:rPr>
                    <w:t>收集后再经一套“二级</w:t>
                  </w:r>
                  <w:r>
                    <w:rPr>
                      <w:rFonts w:hint="eastAsia" w:ascii="Times New Roman" w:hAnsi="Times New Roman" w:eastAsia="宋体" w:cs="Times New Roman"/>
                      <w:b w:val="0"/>
                      <w:bCs/>
                      <w:color w:val="auto"/>
                      <w:kern w:val="2"/>
                      <w:sz w:val="21"/>
                      <w:szCs w:val="21"/>
                      <w:vertAlign w:val="baseline"/>
                      <w:lang w:val="en-US" w:eastAsia="zh-CN"/>
                    </w:rPr>
                    <w:t>活性炭吸附</w:t>
                  </w:r>
                  <w:r>
                    <w:rPr>
                      <w:rFonts w:hint="eastAsia" w:cs="Times New Roman"/>
                      <w:b w:val="0"/>
                      <w:bCs/>
                      <w:color w:val="auto"/>
                      <w:kern w:val="2"/>
                      <w:sz w:val="21"/>
                      <w:szCs w:val="21"/>
                      <w:vertAlign w:val="baseline"/>
                      <w:lang w:val="en-US" w:eastAsia="zh-CN"/>
                    </w:rPr>
                    <w:t>”装置</w:t>
                  </w:r>
                  <w:r>
                    <w:rPr>
                      <w:rFonts w:hint="eastAsia" w:ascii="Times New Roman" w:hAnsi="Times New Roman" w:eastAsia="宋体" w:cs="Times New Roman"/>
                      <w:b w:val="0"/>
                      <w:bCs/>
                      <w:color w:val="auto"/>
                      <w:kern w:val="2"/>
                      <w:sz w:val="21"/>
                      <w:szCs w:val="21"/>
                      <w:vertAlign w:val="baseline"/>
                      <w:lang w:val="en-US" w:eastAsia="zh-CN"/>
                    </w:rPr>
                    <w:t>处理后达标排放</w:t>
                  </w:r>
                  <w:r>
                    <w:rPr>
                      <w:rFonts w:hint="eastAsia" w:eastAsia="宋体" w:cs="Times New Roman"/>
                      <w:b w:val="0"/>
                      <w:bCs/>
                      <w:color w:val="auto"/>
                      <w:kern w:val="2"/>
                      <w:sz w:val="21"/>
                      <w:szCs w:val="21"/>
                      <w:vertAlign w:val="baseline"/>
                      <w:lang w:val="en-US" w:eastAsia="zh-CN"/>
                    </w:rPr>
                    <w:t>；</w:t>
                  </w:r>
                  <w:r>
                    <w:rPr>
                      <w:color w:val="auto"/>
                      <w:sz w:val="21"/>
                      <w:szCs w:val="21"/>
                    </w:rPr>
                    <w:t>废活性炭定期更换并交有危废处置资质的单位处理</w:t>
                  </w:r>
                  <w:r>
                    <w:rPr>
                      <w:rFonts w:hint="eastAsia"/>
                      <w:color w:val="auto"/>
                      <w:sz w:val="21"/>
                      <w:szCs w:val="21"/>
                      <w:lang w:eastAsia="zh-CN"/>
                    </w:rPr>
                    <w:t>；</w:t>
                  </w:r>
                  <w:r>
                    <w:rPr>
                      <w:rFonts w:hint="eastAsia"/>
                      <w:color w:val="auto"/>
                      <w:sz w:val="21"/>
                      <w:szCs w:val="21"/>
                      <w:lang w:val="en-US" w:eastAsia="zh-CN"/>
                    </w:rPr>
                    <w:t>项目生产过程中</w:t>
                  </w:r>
                  <w:r>
                    <w:rPr>
                      <w:color w:val="auto"/>
                      <w:sz w:val="21"/>
                      <w:szCs w:val="21"/>
                    </w:rPr>
                    <w:t>产生的</w:t>
                  </w:r>
                  <w:r>
                    <w:rPr>
                      <w:rFonts w:hint="eastAsia"/>
                      <w:color w:val="auto"/>
                      <w:sz w:val="21"/>
                      <w:szCs w:val="21"/>
                      <w:lang w:val="en-US" w:eastAsia="zh-CN"/>
                    </w:rPr>
                    <w:t>废气</w:t>
                  </w:r>
                  <w:r>
                    <w:rPr>
                      <w:rFonts w:hint="default" w:ascii="Times New Roman" w:hAnsi="Times New Roman" w:cs="Times New Roman"/>
                      <w:bCs/>
                      <w:color w:val="auto"/>
                      <w:sz w:val="21"/>
                      <w:szCs w:val="21"/>
                      <w:vertAlign w:val="baseline"/>
                      <w:lang w:val="en-US" w:eastAsia="zh-CN"/>
                    </w:rPr>
                    <w:t>NMHC</w:t>
                  </w:r>
                  <w:r>
                    <w:rPr>
                      <w:rFonts w:hint="eastAsia"/>
                      <w:color w:val="auto"/>
                      <w:sz w:val="21"/>
                      <w:szCs w:val="21"/>
                      <w:lang w:val="en-US" w:eastAsia="zh-CN"/>
                    </w:rPr>
                    <w:t>排放可以满足</w:t>
                  </w:r>
                  <w:r>
                    <w:rPr>
                      <w:rFonts w:hint="eastAsia" w:ascii="宋体" w:hAnsi="宋体" w:cs="宋体"/>
                      <w:color w:val="auto"/>
                      <w:kern w:val="0"/>
                      <w:sz w:val="21"/>
                      <w:szCs w:val="21"/>
                      <w:lang w:bidi="ar"/>
                    </w:rPr>
                    <w:t>《印刷工业大气污染物排放标准》（</w:t>
                  </w:r>
                  <w:r>
                    <w:rPr>
                      <w:rFonts w:hint="eastAsia"/>
                      <w:color w:val="auto"/>
                      <w:kern w:val="0"/>
                      <w:sz w:val="21"/>
                      <w:szCs w:val="21"/>
                      <w:lang w:bidi="ar"/>
                    </w:rPr>
                    <w:t>GB41616-2022</w:t>
                  </w:r>
                  <w:r>
                    <w:rPr>
                      <w:rFonts w:hint="eastAsia" w:ascii="宋体" w:hAnsi="宋体" w:cs="宋体"/>
                      <w:color w:val="auto"/>
                      <w:kern w:val="0"/>
                      <w:sz w:val="21"/>
                      <w:szCs w:val="21"/>
                      <w:lang w:bidi="ar"/>
                    </w:rPr>
                    <w:t>）表</w:t>
                  </w:r>
                  <w:r>
                    <w:rPr>
                      <w:color w:val="auto"/>
                      <w:kern w:val="0"/>
                      <w:sz w:val="21"/>
                      <w:szCs w:val="21"/>
                      <w:lang w:bidi="ar"/>
                    </w:rPr>
                    <w:t>1</w:t>
                  </w:r>
                  <w:r>
                    <w:rPr>
                      <w:rFonts w:hint="eastAsia"/>
                      <w:color w:val="auto"/>
                      <w:kern w:val="0"/>
                      <w:sz w:val="21"/>
                      <w:szCs w:val="21"/>
                      <w:lang w:val="en-US" w:eastAsia="zh-CN" w:bidi="ar"/>
                    </w:rPr>
                    <w:t>中</w:t>
                  </w:r>
                  <w:r>
                    <w:rPr>
                      <w:rFonts w:hint="eastAsia"/>
                      <w:color w:val="auto"/>
                      <w:sz w:val="21"/>
                      <w:szCs w:val="21"/>
                    </w:rPr>
                    <w:t>相</w:t>
                  </w:r>
                  <w:r>
                    <w:rPr>
                      <w:rFonts w:hint="eastAsia"/>
                      <w:bCs/>
                      <w:color w:val="auto"/>
                      <w:sz w:val="21"/>
                      <w:szCs w:val="21"/>
                    </w:rPr>
                    <w:t>关限值</w:t>
                  </w:r>
                  <w:r>
                    <w:rPr>
                      <w:rFonts w:hint="eastAsia"/>
                      <w:bCs/>
                      <w:color w:val="auto"/>
                      <w:sz w:val="21"/>
                      <w:szCs w:val="21"/>
                      <w:lang w:eastAsia="zh-CN"/>
                    </w:rPr>
                    <w:t>。</w:t>
                  </w:r>
                </w:p>
              </w:tc>
              <w:tc>
                <w:tcPr>
                  <w:tcW w:w="546" w:type="pct"/>
                  <w:vAlign w:val="center"/>
                </w:tcPr>
                <w:p w14:paraId="10D4F4DF">
                  <w:pPr>
                    <w:adjustRightInd w:val="0"/>
                    <w:snapToGrid w:val="0"/>
                    <w:ind w:left="-63" w:leftChars="-30" w:right="-63" w:rightChars="-30"/>
                    <w:jc w:val="center"/>
                    <w:rPr>
                      <w:color w:val="auto"/>
                      <w:szCs w:val="21"/>
                    </w:rPr>
                  </w:pPr>
                  <w:r>
                    <w:rPr>
                      <w:color w:val="auto"/>
                      <w:szCs w:val="21"/>
                    </w:rPr>
                    <w:t>符合</w:t>
                  </w:r>
                </w:p>
              </w:tc>
            </w:tr>
          </w:tbl>
          <w:p w14:paraId="23CE980F">
            <w:pPr>
              <w:spacing w:line="360" w:lineRule="auto"/>
              <w:ind w:firstLine="480" w:firstLineChars="200"/>
              <w:rPr>
                <w:color w:val="auto"/>
                <w:sz w:val="24"/>
              </w:rPr>
            </w:pPr>
            <w:r>
              <w:rPr>
                <w:color w:val="auto"/>
                <w:sz w:val="24"/>
              </w:rPr>
              <w:t>综上所述，本项目符合《2020年挥发性有机物治理攻坚方案》（环大气〔2020〕33号）中相关要求。</w:t>
            </w:r>
          </w:p>
          <w:p w14:paraId="2C29B0B6">
            <w:pPr>
              <w:spacing w:line="360" w:lineRule="auto"/>
              <w:ind w:firstLine="482" w:firstLineChars="200"/>
              <w:jc w:val="left"/>
              <w:rPr>
                <w:b/>
                <w:bCs/>
                <w:color w:val="auto"/>
                <w:sz w:val="24"/>
              </w:rPr>
            </w:pPr>
            <w:r>
              <w:rPr>
                <w:rFonts w:hint="eastAsia"/>
                <w:b/>
                <w:bCs/>
                <w:color w:val="auto"/>
                <w:sz w:val="24"/>
              </w:rPr>
              <w:t>1</w:t>
            </w:r>
            <w:r>
              <w:rPr>
                <w:rFonts w:hint="eastAsia"/>
                <w:b/>
                <w:bCs/>
                <w:color w:val="auto"/>
                <w:sz w:val="24"/>
                <w:lang w:val="en-US" w:eastAsia="zh-CN"/>
              </w:rPr>
              <w:t>4</w:t>
            </w:r>
            <w:r>
              <w:rPr>
                <w:rFonts w:hint="eastAsia"/>
                <w:b/>
                <w:bCs/>
                <w:color w:val="auto"/>
                <w:sz w:val="24"/>
              </w:rPr>
              <w:t>、</w:t>
            </w:r>
            <w:r>
              <w:rPr>
                <w:b/>
                <w:bCs/>
                <w:color w:val="auto"/>
                <w:sz w:val="24"/>
              </w:rPr>
              <w:t>与《</w:t>
            </w:r>
            <w:r>
              <w:rPr>
                <w:rFonts w:hint="eastAsia"/>
                <w:b/>
                <w:bCs/>
                <w:color w:val="auto"/>
                <w:sz w:val="24"/>
                <w:lang w:val="en-US" w:eastAsia="zh-CN"/>
              </w:rPr>
              <w:t>环境标志产品技术要求 凹印油墨和柔印油墨</w:t>
            </w:r>
            <w:r>
              <w:rPr>
                <w:b/>
                <w:bCs/>
                <w:color w:val="auto"/>
                <w:sz w:val="24"/>
              </w:rPr>
              <w:t>》（</w:t>
            </w:r>
            <w:r>
              <w:rPr>
                <w:rFonts w:hint="eastAsia"/>
                <w:b/>
                <w:bCs/>
                <w:color w:val="auto"/>
                <w:sz w:val="24"/>
              </w:rPr>
              <w:t>HJ 371-2018</w:t>
            </w:r>
            <w:r>
              <w:rPr>
                <w:b/>
                <w:bCs/>
                <w:color w:val="auto"/>
                <w:sz w:val="24"/>
              </w:rPr>
              <w:t>）相符性分析</w:t>
            </w:r>
          </w:p>
          <w:p w14:paraId="3D75AD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auto"/>
                <w:sz w:val="24"/>
              </w:rPr>
            </w:pPr>
            <w:r>
              <w:rPr>
                <w:b/>
                <w:bCs/>
                <w:color w:val="auto"/>
                <w:sz w:val="24"/>
              </w:rPr>
              <w:t>表1-1</w:t>
            </w:r>
            <w:r>
              <w:rPr>
                <w:rFonts w:hint="eastAsia"/>
                <w:b/>
                <w:bCs/>
                <w:color w:val="auto"/>
                <w:sz w:val="24"/>
                <w:lang w:val="en-US" w:eastAsia="zh-CN"/>
              </w:rPr>
              <w:t xml:space="preserve">3  </w:t>
            </w:r>
            <w:r>
              <w:rPr>
                <w:b/>
                <w:bCs/>
                <w:color w:val="auto"/>
                <w:sz w:val="24"/>
              </w:rPr>
              <w:t>与《</w:t>
            </w:r>
            <w:r>
              <w:rPr>
                <w:rFonts w:hint="eastAsia"/>
                <w:b/>
                <w:bCs/>
                <w:color w:val="auto"/>
                <w:sz w:val="24"/>
                <w:lang w:val="en-US" w:eastAsia="zh-CN"/>
              </w:rPr>
              <w:t>环境标志产品技术要求 凹印油墨和柔印油墨</w:t>
            </w:r>
            <w:r>
              <w:rPr>
                <w:b/>
                <w:bCs/>
                <w:color w:val="auto"/>
                <w:sz w:val="24"/>
              </w:rPr>
              <w:t>》（</w:t>
            </w:r>
            <w:r>
              <w:rPr>
                <w:rFonts w:hint="eastAsia"/>
                <w:b/>
                <w:bCs/>
                <w:color w:val="auto"/>
                <w:sz w:val="24"/>
              </w:rPr>
              <w:t>HJ 371-2018</w:t>
            </w:r>
            <w:r>
              <w:rPr>
                <w:b/>
                <w:bCs/>
                <w:color w:val="auto"/>
                <w:sz w:val="24"/>
              </w:rPr>
              <w:t>）相符性分析</w:t>
            </w:r>
          </w:p>
          <w:tbl>
            <w:tblPr>
              <w:tblStyle w:val="28"/>
              <w:tblW w:w="5000" w:type="pct"/>
              <w:jc w:val="center"/>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5049"/>
              <w:gridCol w:w="2096"/>
              <w:gridCol w:w="760"/>
            </w:tblGrid>
            <w:tr w14:paraId="0D33990B">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blHeader/>
                <w:jc w:val="center"/>
              </w:trPr>
              <w:tc>
                <w:tcPr>
                  <w:tcW w:w="3259" w:type="pct"/>
                  <w:vAlign w:val="center"/>
                </w:tcPr>
                <w:p w14:paraId="0D2E8BC5">
                  <w:pPr>
                    <w:adjustRightInd w:val="0"/>
                    <w:snapToGrid w:val="0"/>
                    <w:ind w:left="-63" w:leftChars="-30" w:right="-63" w:rightChars="-30"/>
                    <w:jc w:val="center"/>
                    <w:rPr>
                      <w:color w:val="auto"/>
                      <w:szCs w:val="21"/>
                    </w:rPr>
                  </w:pPr>
                  <w:r>
                    <w:rPr>
                      <w:rFonts w:hint="eastAsia"/>
                      <w:b/>
                      <w:bCs/>
                      <w:color w:val="auto"/>
                      <w:sz w:val="21"/>
                      <w:szCs w:val="21"/>
                      <w:lang w:val="en-US" w:eastAsia="zh-CN"/>
                    </w:rPr>
                    <w:t>产品技术</w:t>
                  </w:r>
                  <w:r>
                    <w:rPr>
                      <w:b/>
                      <w:bCs/>
                      <w:color w:val="auto"/>
                      <w:szCs w:val="21"/>
                    </w:rPr>
                    <w:t>要求</w:t>
                  </w:r>
                </w:p>
              </w:tc>
              <w:tc>
                <w:tcPr>
                  <w:tcW w:w="1193" w:type="pct"/>
                  <w:vAlign w:val="center"/>
                </w:tcPr>
                <w:p w14:paraId="3B33D5A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color w:val="auto"/>
                      <w:szCs w:val="21"/>
                    </w:rPr>
                  </w:pPr>
                  <w:r>
                    <w:rPr>
                      <w:rFonts w:hint="default"/>
                      <w:b/>
                      <w:bCs/>
                      <w:color w:val="auto"/>
                      <w:sz w:val="21"/>
                      <w:szCs w:val="21"/>
                    </w:rPr>
                    <w:t>本项目情况</w:t>
                  </w:r>
                </w:p>
              </w:tc>
              <w:tc>
                <w:tcPr>
                  <w:tcW w:w="546" w:type="pct"/>
                  <w:vAlign w:val="center"/>
                </w:tcPr>
                <w:p w14:paraId="1844301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color w:val="auto"/>
                      <w:szCs w:val="21"/>
                    </w:rPr>
                  </w:pPr>
                  <w:r>
                    <w:rPr>
                      <w:rFonts w:hint="eastAsia"/>
                      <w:b/>
                      <w:bCs/>
                      <w:color w:val="auto"/>
                      <w:sz w:val="21"/>
                      <w:szCs w:val="21"/>
                      <w:lang w:val="en-US" w:eastAsia="zh-CN"/>
                    </w:rPr>
                    <w:t>相符性</w:t>
                  </w:r>
                </w:p>
              </w:tc>
            </w:tr>
            <w:tr w14:paraId="1C184DBE">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3259" w:type="pct"/>
                  <w:vAlign w:val="center"/>
                </w:tcPr>
                <w:p w14:paraId="58B5899A">
                  <w:pPr>
                    <w:numPr>
                      <w:ilvl w:val="0"/>
                      <w:numId w:val="0"/>
                    </w:numPr>
                    <w:adjustRightInd w:val="0"/>
                    <w:snapToGrid w:val="0"/>
                    <w:jc w:val="both"/>
                    <w:rPr>
                      <w:b w:val="0"/>
                      <w:bCs w:val="0"/>
                      <w:color w:val="auto"/>
                      <w:sz w:val="21"/>
                      <w:szCs w:val="21"/>
                    </w:rPr>
                  </w:pPr>
                  <w:r>
                    <w:rPr>
                      <w:rFonts w:hint="eastAsia"/>
                      <w:b w:val="0"/>
                      <w:bCs w:val="0"/>
                      <w:color w:val="auto"/>
                      <w:sz w:val="21"/>
                      <w:szCs w:val="21"/>
                      <w:lang w:val="en-US" w:eastAsia="zh-CN"/>
                    </w:rPr>
                    <w:t>产品中不应添加甲醇、甲醛、卤代烃、丙酮、丁酮、环己酮、甲基异丁基甲酮、异佛尔酮、对苯二酚、对甲氧基苯酚及苯类溶剂。</w:t>
                  </w:r>
                </w:p>
              </w:tc>
              <w:tc>
                <w:tcPr>
                  <w:tcW w:w="1193" w:type="pct"/>
                  <w:vAlign w:val="center"/>
                </w:tcPr>
                <w:p w14:paraId="08679220">
                  <w:pPr>
                    <w:adjustRightInd w:val="0"/>
                    <w:snapToGrid w:val="0"/>
                    <w:ind w:left="-63" w:leftChars="-30" w:right="-63" w:rightChars="-30"/>
                    <w:jc w:val="both"/>
                    <w:rPr>
                      <w:rFonts w:hint="eastAsia" w:eastAsia="宋体"/>
                      <w:color w:val="auto"/>
                      <w:szCs w:val="21"/>
                      <w:lang w:eastAsia="zh-CN"/>
                    </w:rPr>
                  </w:pPr>
                  <w:r>
                    <w:rPr>
                      <w:rFonts w:hint="eastAsia"/>
                      <w:color w:val="auto"/>
                      <w:spacing w:val="-11"/>
                      <w:sz w:val="21"/>
                      <w:szCs w:val="21"/>
                      <w:lang w:val="en-US" w:eastAsia="zh-CN"/>
                    </w:rPr>
                    <w:t>项目生产过程中主要以水性油墨、油墨作为生产涂料使用</w:t>
                  </w:r>
                  <w:r>
                    <w:rPr>
                      <w:color w:val="auto"/>
                      <w:szCs w:val="21"/>
                    </w:rPr>
                    <w:t>，</w:t>
                  </w:r>
                  <w:r>
                    <w:rPr>
                      <w:rFonts w:hint="eastAsia"/>
                      <w:color w:val="auto"/>
                      <w:szCs w:val="21"/>
                      <w:lang w:val="en-US" w:eastAsia="zh-CN"/>
                    </w:rPr>
                    <w:t>废气经密闭负压</w:t>
                  </w:r>
                  <w:r>
                    <w:rPr>
                      <w:rFonts w:hint="eastAsia" w:cs="Times New Roman"/>
                      <w:b w:val="0"/>
                      <w:bCs/>
                      <w:color w:val="auto"/>
                      <w:kern w:val="2"/>
                      <w:sz w:val="21"/>
                      <w:szCs w:val="21"/>
                      <w:vertAlign w:val="baseline"/>
                      <w:lang w:val="en-US" w:eastAsia="zh-CN"/>
                    </w:rPr>
                    <w:t>收集后经一套“二级</w:t>
                  </w:r>
                  <w:r>
                    <w:rPr>
                      <w:rFonts w:hint="eastAsia" w:ascii="Times New Roman" w:hAnsi="Times New Roman" w:eastAsia="宋体" w:cs="Times New Roman"/>
                      <w:b w:val="0"/>
                      <w:bCs/>
                      <w:color w:val="auto"/>
                      <w:kern w:val="2"/>
                      <w:sz w:val="21"/>
                      <w:szCs w:val="21"/>
                      <w:vertAlign w:val="baseline"/>
                      <w:lang w:val="en-US" w:eastAsia="zh-CN"/>
                    </w:rPr>
                    <w:t>活性炭吸附</w:t>
                  </w:r>
                  <w:r>
                    <w:rPr>
                      <w:rFonts w:hint="eastAsia" w:cs="Times New Roman"/>
                      <w:b w:val="0"/>
                      <w:bCs/>
                      <w:color w:val="auto"/>
                      <w:kern w:val="2"/>
                      <w:sz w:val="21"/>
                      <w:szCs w:val="21"/>
                      <w:vertAlign w:val="baseline"/>
                      <w:lang w:val="en-US" w:eastAsia="zh-CN"/>
                    </w:rPr>
                    <w:t>”装置</w:t>
                  </w:r>
                  <w:r>
                    <w:rPr>
                      <w:rFonts w:hint="eastAsia" w:ascii="Times New Roman" w:hAnsi="Times New Roman" w:eastAsia="宋体" w:cs="Times New Roman"/>
                      <w:b w:val="0"/>
                      <w:bCs/>
                      <w:color w:val="auto"/>
                      <w:kern w:val="2"/>
                      <w:sz w:val="21"/>
                      <w:szCs w:val="21"/>
                      <w:vertAlign w:val="baseline"/>
                      <w:lang w:val="en-US" w:eastAsia="zh-CN"/>
                    </w:rPr>
                    <w:t>处理后达标排放。</w:t>
                  </w:r>
                </w:p>
              </w:tc>
              <w:tc>
                <w:tcPr>
                  <w:tcW w:w="546" w:type="pct"/>
                  <w:vAlign w:val="center"/>
                </w:tcPr>
                <w:p w14:paraId="67E350BA">
                  <w:pPr>
                    <w:adjustRightInd w:val="0"/>
                    <w:snapToGrid w:val="0"/>
                    <w:ind w:left="-63" w:leftChars="-30" w:right="-63" w:rightChars="-30"/>
                    <w:jc w:val="center"/>
                    <w:rPr>
                      <w:color w:val="auto"/>
                      <w:szCs w:val="21"/>
                    </w:rPr>
                  </w:pPr>
                  <w:r>
                    <w:rPr>
                      <w:color w:val="auto"/>
                      <w:szCs w:val="21"/>
                    </w:rPr>
                    <w:t>符合</w:t>
                  </w:r>
                </w:p>
              </w:tc>
            </w:tr>
            <w:tr w14:paraId="2E98B080">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3259" w:type="pct"/>
                  <w:vAlign w:val="center"/>
                </w:tcPr>
                <w:p w14:paraId="716FCF96">
                  <w:pPr>
                    <w:numPr>
                      <w:ilvl w:val="0"/>
                      <w:numId w:val="0"/>
                    </w:numPr>
                    <w:adjustRightInd w:val="0"/>
                    <w:snapToGrid w:val="0"/>
                    <w:jc w:val="both"/>
                    <w:rPr>
                      <w:color w:val="auto"/>
                    </w:rPr>
                  </w:pPr>
                </w:p>
              </w:tc>
              <w:tc>
                <w:tcPr>
                  <w:tcW w:w="1193" w:type="pct"/>
                  <w:vAlign w:val="center"/>
                </w:tcPr>
                <w:p w14:paraId="094ACC38">
                  <w:pPr>
                    <w:adjustRightInd w:val="0"/>
                    <w:snapToGrid w:val="0"/>
                    <w:ind w:left="-63" w:leftChars="-30" w:right="-63" w:rightChars="-30"/>
                    <w:jc w:val="both"/>
                    <w:rPr>
                      <w:color w:val="auto"/>
                      <w:szCs w:val="21"/>
                    </w:rPr>
                  </w:pPr>
                  <w:r>
                    <w:rPr>
                      <w:color w:val="auto"/>
                      <w:szCs w:val="21"/>
                    </w:rPr>
                    <w:t>项目</w:t>
                  </w:r>
                  <w:r>
                    <w:rPr>
                      <w:rFonts w:hint="eastAsia"/>
                      <w:color w:val="auto"/>
                      <w:szCs w:val="21"/>
                      <w:lang w:val="en-US" w:eastAsia="zh-CN"/>
                    </w:rPr>
                    <w:t>所使用的含有机废气物料</w:t>
                  </w:r>
                  <w:r>
                    <w:rPr>
                      <w:color w:val="auto"/>
                    </w:rPr>
                    <w:t>均储存于密闭容器内；</w:t>
                  </w:r>
                  <w:r>
                    <w:rPr>
                      <w:rFonts w:hint="eastAsia"/>
                      <w:color w:val="auto"/>
                      <w:szCs w:val="21"/>
                      <w:lang w:val="en-US" w:eastAsia="zh-CN"/>
                    </w:rPr>
                    <w:t>废气经密闭负压</w:t>
                  </w:r>
                  <w:r>
                    <w:rPr>
                      <w:rFonts w:hint="eastAsia" w:cs="Times New Roman"/>
                      <w:b w:val="0"/>
                      <w:bCs/>
                      <w:color w:val="auto"/>
                      <w:kern w:val="2"/>
                      <w:sz w:val="21"/>
                      <w:szCs w:val="21"/>
                      <w:vertAlign w:val="baseline"/>
                      <w:lang w:val="en-US" w:eastAsia="zh-CN"/>
                    </w:rPr>
                    <w:t>收集后再经一套“二级</w:t>
                  </w:r>
                  <w:r>
                    <w:rPr>
                      <w:rFonts w:hint="eastAsia" w:ascii="Times New Roman" w:hAnsi="Times New Roman" w:eastAsia="宋体" w:cs="Times New Roman"/>
                      <w:b w:val="0"/>
                      <w:bCs/>
                      <w:color w:val="auto"/>
                      <w:kern w:val="2"/>
                      <w:sz w:val="21"/>
                      <w:szCs w:val="21"/>
                      <w:vertAlign w:val="baseline"/>
                      <w:lang w:val="en-US" w:eastAsia="zh-CN"/>
                    </w:rPr>
                    <w:t>活性炭吸附</w:t>
                  </w:r>
                  <w:r>
                    <w:rPr>
                      <w:rFonts w:hint="eastAsia" w:cs="Times New Roman"/>
                      <w:b w:val="0"/>
                      <w:bCs/>
                      <w:color w:val="auto"/>
                      <w:kern w:val="2"/>
                      <w:sz w:val="21"/>
                      <w:szCs w:val="21"/>
                      <w:vertAlign w:val="baseline"/>
                      <w:lang w:val="en-US" w:eastAsia="zh-CN"/>
                    </w:rPr>
                    <w:t>”装置</w:t>
                  </w:r>
                  <w:r>
                    <w:rPr>
                      <w:rFonts w:hint="eastAsia" w:ascii="Times New Roman" w:hAnsi="Times New Roman" w:eastAsia="宋体" w:cs="Times New Roman"/>
                      <w:b w:val="0"/>
                      <w:bCs/>
                      <w:color w:val="auto"/>
                      <w:kern w:val="2"/>
                      <w:sz w:val="21"/>
                      <w:szCs w:val="21"/>
                      <w:vertAlign w:val="baseline"/>
                      <w:lang w:val="en-US" w:eastAsia="zh-CN"/>
                    </w:rPr>
                    <w:t>处理后达标排放。</w:t>
                  </w:r>
                  <w:r>
                    <w:rPr>
                      <w:color w:val="auto"/>
                      <w:szCs w:val="21"/>
                    </w:rPr>
                    <w:t>废活性炭定期更换并交有危废处置资质的单位处理。</w:t>
                  </w:r>
                </w:p>
              </w:tc>
              <w:tc>
                <w:tcPr>
                  <w:tcW w:w="546" w:type="pct"/>
                  <w:vAlign w:val="center"/>
                </w:tcPr>
                <w:p w14:paraId="2A4CA6BE">
                  <w:pPr>
                    <w:adjustRightInd w:val="0"/>
                    <w:snapToGrid w:val="0"/>
                    <w:ind w:left="-63" w:leftChars="-30" w:right="-63" w:rightChars="-30"/>
                    <w:jc w:val="center"/>
                    <w:rPr>
                      <w:color w:val="auto"/>
                      <w:szCs w:val="21"/>
                    </w:rPr>
                  </w:pPr>
                  <w:r>
                    <w:rPr>
                      <w:color w:val="auto"/>
                      <w:szCs w:val="21"/>
                    </w:rPr>
                    <w:t>符合</w:t>
                  </w:r>
                </w:p>
              </w:tc>
            </w:tr>
            <w:tr w14:paraId="72D77BFD">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jc w:val="center"/>
              </w:trPr>
              <w:tc>
                <w:tcPr>
                  <w:tcW w:w="3259" w:type="pct"/>
                  <w:vAlign w:val="center"/>
                </w:tcPr>
                <w:p w14:paraId="7FCE460F">
                  <w:pPr>
                    <w:numPr>
                      <w:ilvl w:val="0"/>
                      <w:numId w:val="0"/>
                    </w:numPr>
                    <w:jc w:val="both"/>
                    <w:rPr>
                      <w:color w:val="auto"/>
                      <w:szCs w:val="21"/>
                    </w:rPr>
                  </w:pPr>
                </w:p>
              </w:tc>
              <w:tc>
                <w:tcPr>
                  <w:tcW w:w="1193" w:type="pct"/>
                  <w:shd w:val="clear" w:color="auto" w:fill="auto"/>
                  <w:vAlign w:val="center"/>
                </w:tcPr>
                <w:p w14:paraId="033C5693">
                  <w:pPr>
                    <w:adjustRightInd w:val="0"/>
                    <w:snapToGrid w:val="0"/>
                    <w:ind w:left="-63" w:leftChars="-30" w:right="-63" w:rightChars="-30"/>
                    <w:jc w:val="both"/>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项目生产过程中废气经密闭负压</w:t>
                  </w:r>
                  <w:r>
                    <w:rPr>
                      <w:rFonts w:hint="eastAsia" w:cs="Times New Roman"/>
                      <w:b w:val="0"/>
                      <w:bCs/>
                      <w:color w:val="auto"/>
                      <w:kern w:val="2"/>
                      <w:sz w:val="21"/>
                      <w:szCs w:val="21"/>
                      <w:vertAlign w:val="baseline"/>
                      <w:lang w:val="en-US" w:eastAsia="zh-CN"/>
                    </w:rPr>
                    <w:t>收集后再经一套“二级</w:t>
                  </w:r>
                  <w:r>
                    <w:rPr>
                      <w:rFonts w:hint="eastAsia" w:ascii="Times New Roman" w:hAnsi="Times New Roman" w:eastAsia="宋体" w:cs="Times New Roman"/>
                      <w:b w:val="0"/>
                      <w:bCs/>
                      <w:color w:val="auto"/>
                      <w:kern w:val="2"/>
                      <w:sz w:val="21"/>
                      <w:szCs w:val="21"/>
                      <w:vertAlign w:val="baseline"/>
                      <w:lang w:val="en-US" w:eastAsia="zh-CN"/>
                    </w:rPr>
                    <w:t>活性炭吸附</w:t>
                  </w:r>
                  <w:r>
                    <w:rPr>
                      <w:rFonts w:hint="eastAsia" w:cs="Times New Roman"/>
                      <w:b w:val="0"/>
                      <w:bCs/>
                      <w:color w:val="auto"/>
                      <w:kern w:val="2"/>
                      <w:sz w:val="21"/>
                      <w:szCs w:val="21"/>
                      <w:vertAlign w:val="baseline"/>
                      <w:lang w:val="en-US" w:eastAsia="zh-CN"/>
                    </w:rPr>
                    <w:t>”装置</w:t>
                  </w:r>
                  <w:r>
                    <w:rPr>
                      <w:rFonts w:hint="eastAsia" w:ascii="Times New Roman" w:hAnsi="Times New Roman" w:eastAsia="宋体" w:cs="Times New Roman"/>
                      <w:b w:val="0"/>
                      <w:bCs/>
                      <w:color w:val="auto"/>
                      <w:kern w:val="2"/>
                      <w:sz w:val="21"/>
                      <w:szCs w:val="21"/>
                      <w:vertAlign w:val="baseline"/>
                      <w:lang w:val="en-US" w:eastAsia="zh-CN"/>
                    </w:rPr>
                    <w:t>处理后达标排放</w:t>
                  </w:r>
                  <w:r>
                    <w:rPr>
                      <w:rFonts w:hint="eastAsia" w:eastAsia="宋体" w:cs="Times New Roman"/>
                      <w:b w:val="0"/>
                      <w:bCs/>
                      <w:color w:val="auto"/>
                      <w:kern w:val="2"/>
                      <w:sz w:val="21"/>
                      <w:szCs w:val="21"/>
                      <w:vertAlign w:val="baseline"/>
                      <w:lang w:val="en-US" w:eastAsia="zh-CN"/>
                    </w:rPr>
                    <w:t>；</w:t>
                  </w:r>
                  <w:r>
                    <w:rPr>
                      <w:color w:val="auto"/>
                      <w:sz w:val="21"/>
                      <w:szCs w:val="21"/>
                    </w:rPr>
                    <w:t>废活性炭定期更换并交有危废处置资质的单位处理</w:t>
                  </w:r>
                  <w:r>
                    <w:rPr>
                      <w:rFonts w:hint="eastAsia"/>
                      <w:color w:val="auto"/>
                      <w:sz w:val="21"/>
                      <w:szCs w:val="21"/>
                      <w:lang w:eastAsia="zh-CN"/>
                    </w:rPr>
                    <w:t>；</w:t>
                  </w:r>
                  <w:r>
                    <w:rPr>
                      <w:rFonts w:hint="eastAsia"/>
                      <w:color w:val="auto"/>
                      <w:sz w:val="21"/>
                      <w:szCs w:val="21"/>
                      <w:lang w:val="en-US" w:eastAsia="zh-CN"/>
                    </w:rPr>
                    <w:t>项目生产过程中</w:t>
                  </w:r>
                  <w:r>
                    <w:rPr>
                      <w:color w:val="auto"/>
                      <w:sz w:val="21"/>
                      <w:szCs w:val="21"/>
                    </w:rPr>
                    <w:t>产生的</w:t>
                  </w:r>
                  <w:r>
                    <w:rPr>
                      <w:rFonts w:hint="eastAsia"/>
                      <w:color w:val="auto"/>
                      <w:sz w:val="21"/>
                      <w:szCs w:val="21"/>
                      <w:lang w:val="en-US" w:eastAsia="zh-CN"/>
                    </w:rPr>
                    <w:t>废气</w:t>
                  </w:r>
                  <w:r>
                    <w:rPr>
                      <w:rFonts w:hint="default" w:ascii="Times New Roman" w:hAnsi="Times New Roman" w:cs="Times New Roman"/>
                      <w:bCs/>
                      <w:color w:val="auto"/>
                      <w:sz w:val="21"/>
                      <w:szCs w:val="21"/>
                      <w:vertAlign w:val="baseline"/>
                      <w:lang w:val="en-US" w:eastAsia="zh-CN"/>
                    </w:rPr>
                    <w:t>NMHC</w:t>
                  </w:r>
                  <w:r>
                    <w:rPr>
                      <w:rFonts w:hint="eastAsia"/>
                      <w:color w:val="auto"/>
                      <w:sz w:val="21"/>
                      <w:szCs w:val="21"/>
                      <w:lang w:val="en-US" w:eastAsia="zh-CN"/>
                    </w:rPr>
                    <w:t>排放可以满足</w:t>
                  </w:r>
                  <w:r>
                    <w:rPr>
                      <w:rFonts w:hint="eastAsia" w:ascii="宋体" w:hAnsi="宋体" w:cs="宋体"/>
                      <w:color w:val="auto"/>
                      <w:kern w:val="0"/>
                      <w:sz w:val="21"/>
                      <w:szCs w:val="21"/>
                      <w:lang w:bidi="ar"/>
                    </w:rPr>
                    <w:t>《印刷工业大气污染物排放标准》（</w:t>
                  </w:r>
                  <w:r>
                    <w:rPr>
                      <w:rFonts w:hint="eastAsia"/>
                      <w:color w:val="auto"/>
                      <w:kern w:val="0"/>
                      <w:sz w:val="21"/>
                      <w:szCs w:val="21"/>
                      <w:lang w:bidi="ar"/>
                    </w:rPr>
                    <w:t>GB41616-2022</w:t>
                  </w:r>
                  <w:r>
                    <w:rPr>
                      <w:rFonts w:hint="eastAsia" w:ascii="宋体" w:hAnsi="宋体" w:cs="宋体"/>
                      <w:color w:val="auto"/>
                      <w:kern w:val="0"/>
                      <w:sz w:val="21"/>
                      <w:szCs w:val="21"/>
                      <w:lang w:bidi="ar"/>
                    </w:rPr>
                    <w:t>）表</w:t>
                  </w:r>
                  <w:r>
                    <w:rPr>
                      <w:color w:val="auto"/>
                      <w:kern w:val="0"/>
                      <w:sz w:val="21"/>
                      <w:szCs w:val="21"/>
                      <w:lang w:bidi="ar"/>
                    </w:rPr>
                    <w:t>1</w:t>
                  </w:r>
                  <w:r>
                    <w:rPr>
                      <w:rFonts w:hint="eastAsia"/>
                      <w:color w:val="auto"/>
                      <w:kern w:val="0"/>
                      <w:sz w:val="21"/>
                      <w:szCs w:val="21"/>
                      <w:lang w:val="en-US" w:eastAsia="zh-CN" w:bidi="ar"/>
                    </w:rPr>
                    <w:t>中</w:t>
                  </w:r>
                  <w:r>
                    <w:rPr>
                      <w:rFonts w:hint="eastAsia"/>
                      <w:color w:val="auto"/>
                      <w:sz w:val="21"/>
                      <w:szCs w:val="21"/>
                    </w:rPr>
                    <w:t>相</w:t>
                  </w:r>
                  <w:r>
                    <w:rPr>
                      <w:rFonts w:hint="eastAsia"/>
                      <w:bCs/>
                      <w:color w:val="auto"/>
                      <w:sz w:val="21"/>
                      <w:szCs w:val="21"/>
                    </w:rPr>
                    <w:t>关限值</w:t>
                  </w:r>
                  <w:r>
                    <w:rPr>
                      <w:rFonts w:hint="eastAsia"/>
                      <w:bCs/>
                      <w:color w:val="auto"/>
                      <w:sz w:val="21"/>
                      <w:szCs w:val="21"/>
                      <w:lang w:eastAsia="zh-CN"/>
                    </w:rPr>
                    <w:t>。</w:t>
                  </w:r>
                </w:p>
              </w:tc>
              <w:tc>
                <w:tcPr>
                  <w:tcW w:w="546" w:type="pct"/>
                  <w:vAlign w:val="center"/>
                </w:tcPr>
                <w:p w14:paraId="554CB3D3">
                  <w:pPr>
                    <w:adjustRightInd w:val="0"/>
                    <w:snapToGrid w:val="0"/>
                    <w:ind w:left="-63" w:leftChars="-30" w:right="-63" w:rightChars="-30"/>
                    <w:jc w:val="center"/>
                    <w:rPr>
                      <w:color w:val="auto"/>
                      <w:szCs w:val="21"/>
                    </w:rPr>
                  </w:pPr>
                  <w:r>
                    <w:rPr>
                      <w:color w:val="auto"/>
                      <w:szCs w:val="21"/>
                    </w:rPr>
                    <w:t>符合</w:t>
                  </w:r>
                </w:p>
              </w:tc>
            </w:tr>
          </w:tbl>
          <w:p w14:paraId="759EA039">
            <w:pPr>
              <w:spacing w:line="360" w:lineRule="auto"/>
              <w:ind w:firstLine="480" w:firstLineChars="200"/>
              <w:rPr>
                <w:color w:val="auto"/>
                <w:sz w:val="24"/>
              </w:rPr>
            </w:pPr>
            <w:r>
              <w:rPr>
                <w:color w:val="auto"/>
                <w:sz w:val="24"/>
              </w:rPr>
              <w:t>综上所述，本项目符合《2020年挥发性有机物治理攻坚方案》（环大气〔2020〕33号）中相关要求。</w:t>
            </w:r>
          </w:p>
          <w:p w14:paraId="059E5021">
            <w:pPr>
              <w:spacing w:line="360" w:lineRule="auto"/>
              <w:rPr>
                <w:rFonts w:hint="eastAsia" w:eastAsia="宋体"/>
                <w:color w:val="auto"/>
                <w:lang w:eastAsia="zh-CN"/>
              </w:rPr>
            </w:pPr>
          </w:p>
        </w:tc>
      </w:tr>
    </w:tbl>
    <w:p w14:paraId="107037B6">
      <w:pPr>
        <w:spacing w:line="360" w:lineRule="auto"/>
        <w:outlineLvl w:val="0"/>
        <w:rPr>
          <w:rFonts w:eastAsia="黑体"/>
          <w:color w:val="auto"/>
          <w:sz w:val="30"/>
        </w:rPr>
        <w:sectPr>
          <w:footerReference r:id="rId7" w:type="default"/>
          <w:pgSz w:w="11906" w:h="16838"/>
          <w:pgMar w:top="1701" w:right="1531" w:bottom="1701" w:left="1531" w:header="851" w:footer="1077" w:gutter="0"/>
          <w:pgNumType w:fmt="decimal" w:start="1"/>
          <w:cols w:space="720" w:num="1"/>
          <w:docGrid w:linePitch="312" w:charSpace="0"/>
        </w:sectPr>
      </w:pPr>
    </w:p>
    <w:p w14:paraId="4BEC72B5">
      <w:pPr>
        <w:pStyle w:val="24"/>
        <w:spacing w:before="0" w:beforeAutospacing="0" w:after="0" w:afterAutospacing="0"/>
        <w:jc w:val="center"/>
        <w:outlineLvl w:val="0"/>
        <w:rPr>
          <w:rFonts w:ascii="Times New Roman" w:hAnsi="Times New Roman"/>
          <w:snapToGrid w:val="0"/>
          <w:color w:val="auto"/>
          <w:sz w:val="30"/>
          <w:szCs w:val="30"/>
        </w:rPr>
      </w:pPr>
      <w:r>
        <w:rPr>
          <w:rFonts w:hint="eastAsia" w:ascii="Times New Roman" w:hAnsi="Times New Roman"/>
          <w:snapToGrid w:val="0"/>
          <w:color w:val="auto"/>
          <w:sz w:val="30"/>
          <w:szCs w:val="30"/>
        </w:rPr>
        <w:t>二、建设项目工程分析</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4"/>
        <w:gridCol w:w="8636"/>
      </w:tblGrid>
      <w:tr w14:paraId="116750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1" w:type="dxa"/>
            <w:vAlign w:val="center"/>
          </w:tcPr>
          <w:p w14:paraId="79C3E17A">
            <w:pPr>
              <w:pStyle w:val="24"/>
              <w:adjustRightInd w:val="0"/>
              <w:snapToGrid w:val="0"/>
              <w:spacing w:before="0" w:beforeAutospacing="0" w:after="0" w:afterAutospacing="0"/>
              <w:jc w:val="center"/>
              <w:rPr>
                <w:rFonts w:cs="宋体"/>
                <w:color w:val="auto"/>
                <w:sz w:val="21"/>
                <w:szCs w:val="21"/>
              </w:rPr>
            </w:pPr>
            <w:r>
              <w:rPr>
                <w:rFonts w:hint="eastAsia" w:cs="宋体"/>
                <w:color w:val="auto"/>
                <w:sz w:val="21"/>
                <w:szCs w:val="21"/>
              </w:rPr>
              <w:t>建设内容</w:t>
            </w:r>
          </w:p>
        </w:tc>
        <w:tc>
          <w:tcPr>
            <w:tcW w:w="8503" w:type="dxa"/>
            <w:vAlign w:val="top"/>
          </w:tcPr>
          <w:p w14:paraId="6E442866">
            <w:pPr>
              <w:adjustRightInd w:val="0"/>
              <w:snapToGrid w:val="0"/>
              <w:spacing w:line="360" w:lineRule="auto"/>
              <w:ind w:firstLine="482" w:firstLineChars="200"/>
              <w:rPr>
                <w:rFonts w:hint="default" w:ascii="Times New Roman" w:hAnsi="Times New Roman" w:eastAsia="宋体" w:cs="Times New Roman"/>
                <w:color w:val="auto"/>
                <w:sz w:val="24"/>
                <w:szCs w:val="24"/>
                <w:highlight w:val="none"/>
                <w:lang w:val="en-US" w:eastAsia="zh-CN"/>
              </w:rPr>
            </w:pPr>
            <w:r>
              <w:rPr>
                <w:rFonts w:hint="eastAsia"/>
                <w:b/>
                <w:color w:val="auto"/>
                <w:sz w:val="24"/>
              </w:rPr>
              <w:t>一、项目由来</w:t>
            </w:r>
          </w:p>
          <w:p w14:paraId="168FE9C6">
            <w:pPr>
              <w:widowControl/>
              <w:spacing w:line="360" w:lineRule="auto"/>
              <w:ind w:firstLine="480" w:firstLineChars="200"/>
              <w:rPr>
                <w:rFonts w:hint="default" w:cs="Times New Roman"/>
                <w:color w:val="auto"/>
                <w:sz w:val="24"/>
                <w:szCs w:val="24"/>
                <w:lang w:val="en-US" w:eastAsia="zh-CN"/>
              </w:rPr>
            </w:pPr>
            <w:r>
              <w:rPr>
                <w:rFonts w:hint="eastAsia"/>
                <w:color w:val="auto"/>
                <w:sz w:val="24"/>
                <w:highlight w:val="none"/>
                <w:lang w:val="en-US" w:eastAsia="zh-CN"/>
              </w:rPr>
              <w:t>高安市金峰彩印有限公司</w:t>
            </w:r>
            <w:r>
              <w:rPr>
                <w:rFonts w:hint="default" w:ascii="Times New Roman" w:hAnsi="Times New Roman" w:eastAsia="宋体" w:cs="Times New Roman"/>
                <w:color w:val="auto"/>
                <w:sz w:val="24"/>
                <w:szCs w:val="24"/>
                <w:lang w:val="en-US" w:eastAsia="zh-CN"/>
              </w:rPr>
              <w:t>是一家</w:t>
            </w:r>
            <w:r>
              <w:rPr>
                <w:rFonts w:hint="eastAsia" w:cs="Times New Roman"/>
                <w:color w:val="auto"/>
                <w:sz w:val="24"/>
                <w:szCs w:val="24"/>
                <w:lang w:val="en-US" w:eastAsia="zh-CN"/>
              </w:rPr>
              <w:t>主要</w:t>
            </w:r>
            <w:r>
              <w:rPr>
                <w:rFonts w:hint="default" w:ascii="Times New Roman" w:hAnsi="Times New Roman" w:eastAsia="宋体" w:cs="Times New Roman"/>
                <w:i w:val="0"/>
                <w:iCs w:val="0"/>
                <w:caps w:val="0"/>
                <w:color w:val="auto"/>
                <w:spacing w:val="0"/>
                <w:sz w:val="24"/>
                <w:szCs w:val="24"/>
                <w:shd w:val="clear" w:fill="FFFFFF"/>
                <w:lang w:val="en-US" w:eastAsia="zh-CN"/>
              </w:rPr>
              <w:t>从事</w:t>
            </w:r>
            <w:r>
              <w:rPr>
                <w:rFonts w:hint="eastAsia" w:cs="Times New Roman"/>
                <w:i w:val="0"/>
                <w:iCs w:val="0"/>
                <w:caps w:val="0"/>
                <w:color w:val="auto"/>
                <w:spacing w:val="0"/>
                <w:sz w:val="24"/>
                <w:szCs w:val="24"/>
                <w:shd w:val="clear" w:fill="FFFFFF"/>
                <w:lang w:val="en-US" w:eastAsia="zh-CN"/>
              </w:rPr>
              <w:t>其它</w:t>
            </w:r>
            <w:r>
              <w:rPr>
                <w:rFonts w:hint="default" w:ascii="Times New Roman" w:hAnsi="Times New Roman" w:eastAsia="宋体" w:cs="Times New Roman"/>
                <w:i w:val="0"/>
                <w:iCs w:val="0"/>
                <w:caps w:val="0"/>
                <w:color w:val="auto"/>
                <w:spacing w:val="0"/>
                <w:sz w:val="24"/>
                <w:szCs w:val="24"/>
                <w:shd w:val="clear" w:fill="FFFFFF"/>
              </w:rPr>
              <w:t>印刷品印刷</w:t>
            </w:r>
            <w:r>
              <w:rPr>
                <w:rFonts w:hint="default" w:ascii="Times New Roman" w:hAnsi="Times New Roman" w:eastAsia="宋体" w:cs="Times New Roman"/>
                <w:i w:val="0"/>
                <w:iCs w:val="0"/>
                <w:caps w:val="0"/>
                <w:color w:val="auto"/>
                <w:spacing w:val="0"/>
                <w:sz w:val="24"/>
                <w:szCs w:val="24"/>
                <w:shd w:val="clear" w:fill="FFFFFF"/>
                <w:lang w:val="en-US" w:eastAsia="zh-CN"/>
              </w:rPr>
              <w:t>业务</w:t>
            </w:r>
            <w:r>
              <w:rPr>
                <w:rFonts w:hint="default" w:ascii="Times New Roman" w:hAnsi="Times New Roman" w:eastAsia="宋体" w:cs="Times New Roman"/>
                <w:color w:val="auto"/>
                <w:sz w:val="24"/>
                <w:szCs w:val="24"/>
                <w:lang w:val="en-US" w:eastAsia="zh-CN"/>
              </w:rPr>
              <w:t>的公司</w:t>
            </w:r>
            <w:r>
              <w:rPr>
                <w:rFonts w:hint="eastAsia" w:eastAsia="宋体" w:cs="Times New Roman"/>
                <w:color w:val="auto"/>
                <w:sz w:val="24"/>
                <w:szCs w:val="24"/>
                <w:lang w:val="en-US" w:eastAsia="zh-CN"/>
              </w:rPr>
              <w:t>，</w:t>
            </w:r>
            <w:r>
              <w:rPr>
                <w:rFonts w:hint="eastAsia" w:cs="Times New Roman"/>
                <w:color w:val="auto"/>
                <w:sz w:val="24"/>
                <w:szCs w:val="24"/>
                <w:lang w:val="en-US" w:eastAsia="zh-CN"/>
              </w:rPr>
              <w:t>公司</w:t>
            </w:r>
            <w:r>
              <w:rPr>
                <w:rFonts w:hint="default" w:ascii="Times New Roman" w:hAnsi="Times New Roman" w:eastAsia="宋体" w:cs="Times New Roman"/>
                <w:i w:val="0"/>
                <w:iCs w:val="0"/>
                <w:caps w:val="0"/>
                <w:color w:val="auto"/>
                <w:spacing w:val="0"/>
                <w:sz w:val="24"/>
                <w:szCs w:val="24"/>
                <w:shd w:val="clear" w:fill="FFFFFF"/>
              </w:rPr>
              <w:t>成立于2010年05月13日</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2025年</w:t>
            </w:r>
            <w:r>
              <w:rPr>
                <w:rFonts w:hint="eastAsia"/>
                <w:color w:val="auto"/>
                <w:sz w:val="24"/>
                <w:highlight w:val="none"/>
                <w:lang w:val="en-US" w:eastAsia="zh-CN"/>
              </w:rPr>
              <w:t>高安市金峰彩印有限公司</w:t>
            </w:r>
            <w:r>
              <w:rPr>
                <w:rFonts w:hint="eastAsia" w:cs="Times New Roman"/>
                <w:color w:val="auto"/>
                <w:sz w:val="24"/>
                <w:szCs w:val="24"/>
                <w:lang w:val="en-US" w:eastAsia="zh-CN"/>
              </w:rPr>
              <w:t>租用</w:t>
            </w:r>
            <w:r>
              <w:rPr>
                <w:rFonts w:hint="eastAsia"/>
                <w:color w:val="auto"/>
                <w:sz w:val="24"/>
                <w:lang w:val="en-US" w:eastAsia="zh-CN"/>
              </w:rPr>
              <w:t>高安市凯吉纸箱包装有限公司</w:t>
            </w:r>
            <w:r>
              <w:rPr>
                <w:rFonts w:hint="eastAsia" w:cs="Times New Roman"/>
                <w:color w:val="auto"/>
                <w:sz w:val="24"/>
                <w:szCs w:val="24"/>
                <w:lang w:val="en-US" w:eastAsia="zh-CN"/>
              </w:rPr>
              <w:t>闲置厂房，总计投资600万元在江西省宜春市</w:t>
            </w:r>
            <w:r>
              <w:rPr>
                <w:rFonts w:hint="eastAsia" w:ascii="宋体" w:hAnsi="宋体" w:eastAsia="宋体" w:cs="宋体"/>
                <w:color w:val="auto"/>
                <w:sz w:val="24"/>
                <w:lang w:val="en-US" w:eastAsia="zh-CN"/>
              </w:rPr>
              <w:t>高安市蓝坊镇燕窝村</w:t>
            </w:r>
            <w:r>
              <w:rPr>
                <w:rFonts w:hint="eastAsia"/>
                <w:color w:val="auto"/>
                <w:sz w:val="24"/>
                <w:lang w:val="en-US" w:eastAsia="zh-CN"/>
              </w:rPr>
              <w:t>建设</w:t>
            </w:r>
            <w:r>
              <w:rPr>
                <w:rFonts w:hint="eastAsia"/>
                <w:color w:val="auto"/>
                <w:sz w:val="24"/>
                <w:highlight w:val="none"/>
                <w:lang w:val="en-US" w:eastAsia="zh-CN"/>
              </w:rPr>
              <w:t>高安市金峰彩印有限公司年印刷5000万米热封膜建设项目</w:t>
            </w:r>
            <w:r>
              <w:rPr>
                <w:rFonts w:hint="eastAsia"/>
                <w:color w:val="auto"/>
                <w:sz w:val="24"/>
                <w:lang w:val="en-US" w:eastAsia="zh-CN"/>
              </w:rPr>
              <w:t>。</w:t>
            </w:r>
          </w:p>
          <w:p w14:paraId="13FA58BD">
            <w:pPr>
              <w:widowControl/>
              <w:spacing w:line="360" w:lineRule="auto"/>
              <w:ind w:firstLine="480" w:firstLineChars="200"/>
              <w:rPr>
                <w:color w:val="auto"/>
                <w:sz w:val="24"/>
              </w:rPr>
            </w:pPr>
            <w:r>
              <w:rPr>
                <w:color w:val="auto"/>
                <w:kern w:val="0"/>
                <w:sz w:val="24"/>
              </w:rPr>
              <w:t>根据《中华人民共和国环境影响评价法》《建设项目环境保护管理条例》（国务院令第682号）、《建设项目环境影响评价分类管理名录》（2021版）等相关文件</w:t>
            </w:r>
            <w:r>
              <w:rPr>
                <w:color w:val="auto"/>
                <w:kern w:val="0"/>
                <w:sz w:val="24"/>
                <w:lang w:bidi="ar"/>
              </w:rPr>
              <w:t>，</w:t>
            </w:r>
            <w:r>
              <w:rPr>
                <w:color w:val="auto"/>
                <w:kern w:val="0"/>
                <w:sz w:val="24"/>
                <w:lang w:val="en-GB" w:bidi="ar"/>
              </w:rPr>
              <w:t>本项目</w:t>
            </w:r>
            <w:r>
              <w:rPr>
                <w:rFonts w:hint="eastAsia"/>
                <w:color w:val="auto"/>
                <w:kern w:val="0"/>
                <w:sz w:val="24"/>
                <w:lang w:bidi="ar"/>
              </w:rPr>
              <w:t>属于</w:t>
            </w:r>
            <w:r>
              <w:rPr>
                <w:rFonts w:hint="default"/>
                <w:color w:val="auto"/>
                <w:sz w:val="24"/>
              </w:rPr>
              <w:t>二十、印刷和记录媒介复制业23</w:t>
            </w:r>
            <w:r>
              <w:rPr>
                <w:rFonts w:hint="eastAsia"/>
                <w:color w:val="auto"/>
                <w:sz w:val="24"/>
                <w:lang w:eastAsia="zh-CN"/>
              </w:rPr>
              <w:t>、</w:t>
            </w:r>
            <w:r>
              <w:rPr>
                <w:rFonts w:hint="default"/>
                <w:color w:val="auto"/>
                <w:sz w:val="24"/>
              </w:rPr>
              <w:t>39印刷231</w:t>
            </w:r>
            <w:r>
              <w:rPr>
                <w:rFonts w:hint="eastAsia"/>
                <w:color w:val="auto"/>
                <w:sz w:val="24"/>
                <w:lang w:eastAsia="zh-CN"/>
              </w:rPr>
              <w:t>、</w:t>
            </w:r>
            <w:r>
              <w:rPr>
                <w:rFonts w:hint="default"/>
                <w:color w:val="auto"/>
                <w:sz w:val="24"/>
              </w:rPr>
              <w:t>其他</w:t>
            </w:r>
            <w:r>
              <w:rPr>
                <w:rFonts w:hint="eastAsia"/>
                <w:color w:val="auto"/>
                <w:sz w:val="24"/>
                <w:lang w:eastAsia="zh-CN"/>
              </w:rPr>
              <w:t>（</w:t>
            </w:r>
            <w:r>
              <w:rPr>
                <w:rFonts w:hint="default"/>
                <w:color w:val="auto"/>
                <w:sz w:val="24"/>
              </w:rPr>
              <w:t>激光印刷除外</w:t>
            </w:r>
            <w:r>
              <w:rPr>
                <w:rFonts w:hint="eastAsia"/>
                <w:color w:val="auto"/>
                <w:sz w:val="24"/>
                <w:lang w:eastAsia="zh-CN"/>
              </w:rPr>
              <w:t>；</w:t>
            </w:r>
            <w:r>
              <w:rPr>
                <w:rFonts w:hint="default"/>
                <w:color w:val="auto"/>
                <w:sz w:val="24"/>
              </w:rPr>
              <w:t>年用低VOC</w:t>
            </w:r>
            <w:r>
              <w:rPr>
                <w:rFonts w:hint="eastAsia"/>
                <w:color w:val="auto"/>
                <w:sz w:val="24"/>
                <w:vertAlign w:val="subscript"/>
                <w:lang w:val="en-US" w:eastAsia="zh-CN"/>
              </w:rPr>
              <w:t>S</w:t>
            </w:r>
            <w:r>
              <w:rPr>
                <w:rFonts w:hint="default"/>
                <w:color w:val="auto"/>
                <w:sz w:val="24"/>
              </w:rPr>
              <w:t>含量油墨10吨以下的印刷除外</w:t>
            </w:r>
            <w:r>
              <w:rPr>
                <w:rFonts w:hint="eastAsia"/>
                <w:color w:val="auto"/>
                <w:sz w:val="24"/>
                <w:lang w:eastAsia="zh-CN"/>
              </w:rPr>
              <w:t>）</w:t>
            </w:r>
            <w:r>
              <w:rPr>
                <w:rFonts w:hint="eastAsia"/>
                <w:color w:val="auto"/>
                <w:sz w:val="24"/>
              </w:rPr>
              <w:t>，因此，本项目应编制环境影响报告表。为此，项目建设单位特委托南昌淦森环保有限公司对本项目进行环境影响评价，我单位接受委托后，经过现场勘查并查阅相关资料，编制了本项目环境影响报告表。</w:t>
            </w:r>
          </w:p>
          <w:p w14:paraId="5C261EFE">
            <w:pPr>
              <w:adjustRightInd w:val="0"/>
              <w:snapToGrid w:val="0"/>
              <w:spacing w:line="360" w:lineRule="auto"/>
              <w:ind w:firstLine="482" w:firstLineChars="200"/>
              <w:rPr>
                <w:rFonts w:hint="default" w:eastAsia="宋体"/>
                <w:b/>
                <w:bCs/>
                <w:color w:val="auto"/>
                <w:kern w:val="0"/>
                <w:sz w:val="24"/>
                <w:lang w:val="en-US" w:eastAsia="zh-CN"/>
              </w:rPr>
            </w:pPr>
            <w:r>
              <w:rPr>
                <w:rFonts w:hint="eastAsia"/>
                <w:b/>
                <w:bCs/>
                <w:color w:val="auto"/>
                <w:kern w:val="0"/>
                <w:sz w:val="24"/>
              </w:rPr>
              <w:t>二、项目基本建设情况</w:t>
            </w:r>
          </w:p>
          <w:p w14:paraId="18D06F4A">
            <w:pPr>
              <w:spacing w:line="360" w:lineRule="auto"/>
              <w:ind w:firstLine="480" w:firstLineChars="200"/>
              <w:rPr>
                <w:color w:val="auto"/>
                <w:sz w:val="24"/>
              </w:rPr>
            </w:pPr>
            <w:r>
              <w:rPr>
                <w:color w:val="auto"/>
                <w:sz w:val="24"/>
              </w:rPr>
              <w:t>本项目建设</w:t>
            </w:r>
            <w:r>
              <w:rPr>
                <w:rFonts w:hint="eastAsia"/>
                <w:color w:val="auto"/>
                <w:sz w:val="24"/>
              </w:rPr>
              <w:t>地址</w:t>
            </w:r>
            <w:r>
              <w:rPr>
                <w:rFonts w:hint="eastAsia"/>
                <w:color w:val="auto"/>
                <w:sz w:val="24"/>
                <w:lang w:val="en-US" w:eastAsia="zh-CN"/>
              </w:rPr>
              <w:t>为</w:t>
            </w:r>
            <w:r>
              <w:rPr>
                <w:rFonts w:hint="eastAsia" w:cs="Times New Roman"/>
                <w:color w:val="auto"/>
                <w:sz w:val="24"/>
                <w:szCs w:val="24"/>
                <w:lang w:val="en-US" w:eastAsia="zh-CN"/>
              </w:rPr>
              <w:t>江西省宜春市</w:t>
            </w:r>
            <w:r>
              <w:rPr>
                <w:rFonts w:hint="eastAsia" w:ascii="宋体" w:hAnsi="宋体" w:eastAsia="宋体" w:cs="宋体"/>
                <w:color w:val="auto"/>
                <w:sz w:val="24"/>
                <w:lang w:val="en-US" w:eastAsia="zh-CN"/>
              </w:rPr>
              <w:t>高安市蓝坊镇燕窝村</w:t>
            </w:r>
            <w:r>
              <w:rPr>
                <w:rFonts w:hint="eastAsia"/>
                <w:color w:val="auto"/>
                <w:sz w:val="24"/>
              </w:rPr>
              <w:t>，项目总建筑面积</w:t>
            </w:r>
            <w:r>
              <w:rPr>
                <w:rFonts w:hint="eastAsia"/>
                <w:color w:val="auto"/>
                <w:sz w:val="24"/>
                <w:lang w:val="en-US" w:eastAsia="zh-CN"/>
              </w:rPr>
              <w:t>20</w:t>
            </w:r>
            <w:r>
              <w:rPr>
                <w:rFonts w:hint="eastAsia"/>
                <w:color w:val="auto"/>
                <w:sz w:val="24"/>
              </w:rPr>
              <w:t>00m</w:t>
            </w:r>
            <w:r>
              <w:rPr>
                <w:rFonts w:hint="eastAsia"/>
                <w:color w:val="auto"/>
                <w:sz w:val="24"/>
                <w:vertAlign w:val="superscript"/>
              </w:rPr>
              <w:t>2</w:t>
            </w:r>
            <w:r>
              <w:rPr>
                <w:rFonts w:hint="eastAsia"/>
                <w:color w:val="auto"/>
                <w:sz w:val="24"/>
              </w:rPr>
              <w:t>，</w:t>
            </w:r>
            <w:r>
              <w:rPr>
                <w:rFonts w:hint="eastAsia" w:cs="Times New Roman"/>
                <w:color w:val="auto"/>
                <w:sz w:val="24"/>
                <w:szCs w:val="24"/>
                <w:lang w:val="en-US" w:eastAsia="zh-CN"/>
              </w:rPr>
              <w:t>租用</w:t>
            </w:r>
            <w:r>
              <w:rPr>
                <w:rFonts w:hint="eastAsia"/>
                <w:color w:val="auto"/>
                <w:sz w:val="24"/>
                <w:lang w:val="en-US" w:eastAsia="zh-CN"/>
              </w:rPr>
              <w:t>高安市凯吉纸箱包装有限公司</w:t>
            </w:r>
            <w:r>
              <w:rPr>
                <w:rFonts w:hint="eastAsia" w:cs="Times New Roman"/>
                <w:color w:val="auto"/>
                <w:sz w:val="24"/>
                <w:szCs w:val="24"/>
                <w:lang w:val="en-US" w:eastAsia="zh-CN"/>
              </w:rPr>
              <w:t>闲置厂房进行建设</w:t>
            </w:r>
            <w:r>
              <w:rPr>
                <w:rFonts w:hint="eastAsia"/>
                <w:color w:val="auto"/>
                <w:sz w:val="24"/>
              </w:rPr>
              <w:t>，</w:t>
            </w:r>
            <w:r>
              <w:rPr>
                <w:rFonts w:hint="eastAsia" w:cs="Times New Roman"/>
                <w:color w:val="auto"/>
                <w:sz w:val="24"/>
                <w:lang w:val="en-US" w:eastAsia="zh-CN"/>
              </w:rPr>
              <w:t>生产车间中心点坐标为（</w:t>
            </w:r>
            <w:r>
              <w:rPr>
                <w:color w:val="auto"/>
                <w:sz w:val="24"/>
              </w:rPr>
              <w:t>E</w:t>
            </w:r>
            <w:r>
              <w:rPr>
                <w:rFonts w:hint="eastAsia"/>
                <w:color w:val="auto"/>
                <w:sz w:val="24"/>
              </w:rPr>
              <w:t>115</w:t>
            </w:r>
            <w:r>
              <w:rPr>
                <w:color w:val="auto"/>
                <w:sz w:val="24"/>
              </w:rPr>
              <w:t>°</w:t>
            </w:r>
            <w:r>
              <w:rPr>
                <w:rFonts w:hint="eastAsia"/>
                <w:color w:val="auto"/>
                <w:sz w:val="24"/>
              </w:rPr>
              <w:t>25</w:t>
            </w:r>
            <w:r>
              <w:rPr>
                <w:color w:val="auto"/>
                <w:sz w:val="24"/>
              </w:rPr>
              <w:t>′</w:t>
            </w:r>
            <w:r>
              <w:rPr>
                <w:rFonts w:hint="eastAsia"/>
                <w:color w:val="auto"/>
                <w:sz w:val="24"/>
              </w:rPr>
              <w:t>32.382</w:t>
            </w:r>
            <w:r>
              <w:rPr>
                <w:color w:val="auto"/>
                <w:sz w:val="24"/>
              </w:rPr>
              <w:t>″</w:t>
            </w:r>
            <w:r>
              <w:rPr>
                <w:rFonts w:hint="eastAsia"/>
                <w:color w:val="auto"/>
                <w:sz w:val="24"/>
                <w:lang w:eastAsia="zh-CN"/>
              </w:rPr>
              <w:t>，</w:t>
            </w:r>
            <w:r>
              <w:rPr>
                <w:color w:val="auto"/>
                <w:sz w:val="24"/>
              </w:rPr>
              <w:t>N</w:t>
            </w:r>
            <w:r>
              <w:rPr>
                <w:rFonts w:hint="eastAsia"/>
                <w:color w:val="auto"/>
                <w:sz w:val="24"/>
              </w:rPr>
              <w:t>28</w:t>
            </w:r>
            <w:r>
              <w:rPr>
                <w:color w:val="auto"/>
                <w:sz w:val="24"/>
              </w:rPr>
              <w:t>°</w:t>
            </w:r>
            <w:r>
              <w:rPr>
                <w:rFonts w:hint="eastAsia"/>
                <w:color w:val="auto"/>
                <w:sz w:val="24"/>
              </w:rPr>
              <w:t>23</w:t>
            </w:r>
            <w:r>
              <w:rPr>
                <w:color w:val="auto"/>
                <w:sz w:val="24"/>
              </w:rPr>
              <w:t>′</w:t>
            </w:r>
            <w:r>
              <w:rPr>
                <w:rFonts w:hint="eastAsia"/>
                <w:color w:val="auto"/>
                <w:sz w:val="24"/>
              </w:rPr>
              <w:t>41.676</w:t>
            </w:r>
            <w:r>
              <w:rPr>
                <w:color w:val="auto"/>
                <w:sz w:val="24"/>
              </w:rPr>
              <w:t>″</w:t>
            </w:r>
            <w:r>
              <w:rPr>
                <w:rFonts w:hint="eastAsia" w:cs="Times New Roman"/>
                <w:color w:val="auto"/>
                <w:sz w:val="24"/>
                <w:lang w:val="en-US" w:eastAsia="zh-CN"/>
              </w:rPr>
              <w:t>），</w:t>
            </w:r>
            <w:r>
              <w:rPr>
                <w:rFonts w:hint="eastAsia"/>
                <w:color w:val="auto"/>
                <w:sz w:val="24"/>
              </w:rPr>
              <w:t>规划建设</w:t>
            </w:r>
            <w:r>
              <w:rPr>
                <w:rFonts w:hint="eastAsia"/>
                <w:color w:val="auto"/>
                <w:sz w:val="24"/>
                <w:lang w:val="en-US" w:eastAsia="zh-CN"/>
              </w:rPr>
              <w:t>一条年产量</w:t>
            </w:r>
            <w:r>
              <w:rPr>
                <w:rFonts w:hint="eastAsia"/>
                <w:color w:val="auto"/>
                <w:sz w:val="24"/>
                <w:highlight w:val="none"/>
                <w:lang w:val="en-US" w:eastAsia="zh-CN"/>
              </w:rPr>
              <w:t>5000万米热封膜建设项目</w:t>
            </w:r>
            <w:r>
              <w:rPr>
                <w:rFonts w:hint="eastAsia"/>
                <w:color w:val="auto"/>
                <w:sz w:val="24"/>
              </w:rPr>
              <w:t>。</w:t>
            </w:r>
            <w:r>
              <w:rPr>
                <w:color w:val="auto"/>
                <w:sz w:val="24"/>
              </w:rPr>
              <w:t>建设内容如下表所示：</w:t>
            </w:r>
          </w:p>
          <w:p w14:paraId="4621ED80">
            <w:pPr>
              <w:adjustRightInd w:val="0"/>
              <w:snapToGrid w:val="0"/>
              <w:jc w:val="center"/>
              <w:rPr>
                <w:b/>
                <w:bCs/>
                <w:color w:val="auto"/>
                <w:kern w:val="2"/>
                <w:szCs w:val="24"/>
              </w:rPr>
            </w:pPr>
            <w:r>
              <w:rPr>
                <w:rFonts w:hint="default" w:ascii="Times New Roman" w:hAnsi="Times New Roman" w:cs="Times New Roman"/>
                <w:b/>
                <w:color w:val="auto"/>
                <w:sz w:val="24"/>
              </w:rPr>
              <w:t>表2</w:t>
            </w:r>
            <w:r>
              <w:rPr>
                <w:rFonts w:hint="eastAsia" w:cs="Times New Roman"/>
                <w:b/>
                <w:color w:val="auto"/>
                <w:sz w:val="24"/>
                <w:lang w:val="en-US" w:eastAsia="zh-CN"/>
              </w:rPr>
              <w:t>-1</w:t>
            </w:r>
            <w:r>
              <w:rPr>
                <w:rFonts w:hint="default" w:ascii="Times New Roman" w:hAnsi="Times New Roman" w:cs="Times New Roman"/>
                <w:b/>
                <w:color w:val="auto"/>
                <w:sz w:val="24"/>
                <w:lang w:val="en-US" w:eastAsia="zh-CN"/>
              </w:rPr>
              <w:t xml:space="preserve"> </w:t>
            </w:r>
            <w:r>
              <w:rPr>
                <w:rFonts w:hint="default" w:ascii="Times New Roman" w:hAnsi="Times New Roman" w:cs="Times New Roman"/>
                <w:b/>
                <w:color w:val="auto"/>
                <w:sz w:val="24"/>
                <w:szCs w:val="24"/>
                <w:lang w:val="en-US" w:eastAsia="zh-CN"/>
              </w:rPr>
              <w:t xml:space="preserve"> </w:t>
            </w:r>
            <w:r>
              <w:rPr>
                <w:b/>
                <w:bCs/>
                <w:color w:val="auto"/>
                <w:kern w:val="2"/>
                <w:sz w:val="24"/>
                <w:szCs w:val="24"/>
              </w:rPr>
              <w:t>项目工程建设一览表</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579"/>
              <w:gridCol w:w="635"/>
              <w:gridCol w:w="1515"/>
              <w:gridCol w:w="1526"/>
              <w:gridCol w:w="3369"/>
              <w:gridCol w:w="793"/>
            </w:tblGrid>
            <w:tr w14:paraId="0620BF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3" w:hRule="atLeast"/>
                <w:tblHeader/>
              </w:trPr>
              <w:tc>
                <w:tcPr>
                  <w:tcW w:w="344" w:type="pct"/>
                  <w:tcBorders>
                    <w:tl2br w:val="nil"/>
                    <w:tr2bl w:val="nil"/>
                  </w:tcBorders>
                  <w:noWrap w:val="0"/>
                  <w:vAlign w:val="center"/>
                </w:tcPr>
                <w:p w14:paraId="0140663D">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工程名称</w:t>
                  </w:r>
                </w:p>
              </w:tc>
              <w:tc>
                <w:tcPr>
                  <w:tcW w:w="4184" w:type="pct"/>
                  <w:gridSpan w:val="4"/>
                  <w:tcBorders>
                    <w:tl2br w:val="nil"/>
                    <w:tr2bl w:val="nil"/>
                  </w:tcBorders>
                  <w:noWrap w:val="0"/>
                  <w:vAlign w:val="center"/>
                </w:tcPr>
                <w:p w14:paraId="321303F8">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主要建设内容</w:t>
                  </w:r>
                </w:p>
              </w:tc>
              <w:tc>
                <w:tcPr>
                  <w:tcW w:w="471" w:type="pct"/>
                  <w:tcBorders>
                    <w:tl2br w:val="nil"/>
                    <w:tr2bl w:val="nil"/>
                  </w:tcBorders>
                  <w:noWrap w:val="0"/>
                  <w:vAlign w:val="center"/>
                </w:tcPr>
                <w:p w14:paraId="197532D1">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备注</w:t>
                  </w:r>
                </w:p>
              </w:tc>
            </w:tr>
            <w:tr w14:paraId="530E1C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3" w:hRule="atLeast"/>
              </w:trPr>
              <w:tc>
                <w:tcPr>
                  <w:tcW w:w="344" w:type="pct"/>
                  <w:vMerge w:val="restart"/>
                  <w:tcBorders>
                    <w:tl2br w:val="nil"/>
                    <w:tr2bl w:val="nil"/>
                  </w:tcBorders>
                  <w:noWrap w:val="0"/>
                  <w:vAlign w:val="center"/>
                </w:tcPr>
                <w:p w14:paraId="458A8696">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主体工程</w:t>
                  </w:r>
                </w:p>
              </w:tc>
              <w:tc>
                <w:tcPr>
                  <w:tcW w:w="377" w:type="pct"/>
                  <w:vMerge w:val="restart"/>
                  <w:tcBorders>
                    <w:tl2br w:val="nil"/>
                    <w:tr2bl w:val="nil"/>
                  </w:tcBorders>
                  <w:noWrap w:val="0"/>
                  <w:vAlign w:val="center"/>
                </w:tcPr>
                <w:p w14:paraId="3D67FFC2">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生产</w:t>
                  </w:r>
                  <w:r>
                    <w:rPr>
                      <w:rFonts w:hint="eastAsia" w:cs="Times New Roman"/>
                      <w:color w:val="auto"/>
                      <w:sz w:val="21"/>
                      <w:szCs w:val="21"/>
                      <w:lang w:val="en-US" w:eastAsia="zh-CN"/>
                    </w:rPr>
                    <w:t>区</w:t>
                  </w:r>
                </w:p>
              </w:tc>
              <w:tc>
                <w:tcPr>
                  <w:tcW w:w="899" w:type="pct"/>
                  <w:tcBorders>
                    <w:tl2br w:val="nil"/>
                    <w:tr2bl w:val="nil"/>
                  </w:tcBorders>
                  <w:noWrap w:val="0"/>
                  <w:vAlign w:val="center"/>
                </w:tcPr>
                <w:p w14:paraId="560E90F2">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lang w:val="en-US" w:eastAsia="zh-CN"/>
                    </w:rPr>
                  </w:pPr>
                  <w:r>
                    <w:rPr>
                      <w:rFonts w:hint="eastAsia" w:cs="Times New Roman"/>
                      <w:color w:val="auto"/>
                      <w:sz w:val="21"/>
                      <w:szCs w:val="21"/>
                      <w:highlight w:val="none"/>
                      <w:vertAlign w:val="baseline"/>
                      <w:lang w:val="en-US" w:eastAsia="zh-CN"/>
                    </w:rPr>
                    <w:t>油墨车间</w:t>
                  </w:r>
                </w:p>
              </w:tc>
              <w:tc>
                <w:tcPr>
                  <w:tcW w:w="2907" w:type="pct"/>
                  <w:gridSpan w:val="2"/>
                  <w:tcBorders>
                    <w:tl2br w:val="nil"/>
                    <w:tr2bl w:val="nil"/>
                  </w:tcBorders>
                  <w:noWrap w:val="0"/>
                  <w:vAlign w:val="center"/>
                </w:tcPr>
                <w:p w14:paraId="138553F1">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1F，无尘车间，车间高度为6m，总</w:t>
                  </w:r>
                  <w:r>
                    <w:rPr>
                      <w:rFonts w:hint="default" w:ascii="Times New Roman" w:hAnsi="Times New Roman" w:cs="Times New Roman"/>
                      <w:color w:val="auto"/>
                      <w:sz w:val="21"/>
                      <w:szCs w:val="21"/>
                      <w:highlight w:val="none"/>
                      <w:lang w:val="en-US" w:eastAsia="zh-CN"/>
                    </w:rPr>
                    <w:t>建筑面积</w:t>
                  </w:r>
                  <w:r>
                    <w:rPr>
                      <w:rFonts w:hint="eastAsia" w:cs="Times New Roman"/>
                      <w:color w:val="auto"/>
                      <w:sz w:val="21"/>
                      <w:szCs w:val="21"/>
                      <w:highlight w:val="none"/>
                      <w:lang w:val="en-US" w:eastAsia="zh-CN"/>
                    </w:rPr>
                    <w:t>150</w:t>
                  </w:r>
                  <w:r>
                    <w:rPr>
                      <w:rFonts w:hint="default" w:ascii="Times New Roman" w:hAnsi="Times New Roman" w:cs="Times New Roman"/>
                      <w:color w:val="auto"/>
                      <w:sz w:val="21"/>
                      <w:szCs w:val="21"/>
                      <w:highlight w:val="none"/>
                      <w:lang w:val="en-US" w:eastAsia="zh-CN"/>
                    </w:rPr>
                    <w:t>m</w:t>
                  </w:r>
                  <w:r>
                    <w:rPr>
                      <w:rFonts w:hint="eastAsia" w:cs="Times New Roman"/>
                      <w:color w:val="auto"/>
                      <w:sz w:val="21"/>
                      <w:szCs w:val="21"/>
                      <w:highlight w:val="none"/>
                      <w:vertAlign w:val="superscript"/>
                      <w:lang w:val="en-US" w:eastAsia="zh-CN"/>
                    </w:rPr>
                    <w:t>2</w:t>
                  </w:r>
                  <w:r>
                    <w:rPr>
                      <w:rFonts w:hint="default" w:ascii="Times New Roman" w:hAnsi="Times New Roman" w:cs="Times New Roman"/>
                      <w:color w:val="auto"/>
                      <w:sz w:val="21"/>
                      <w:szCs w:val="21"/>
                      <w:highlight w:val="none"/>
                      <w:vertAlign w:val="baseline"/>
                      <w:lang w:val="en-US" w:eastAsia="zh-CN"/>
                    </w:rPr>
                    <w:t>，</w:t>
                  </w:r>
                  <w:r>
                    <w:rPr>
                      <w:rFonts w:hint="eastAsia" w:cs="Times New Roman"/>
                      <w:color w:val="auto"/>
                      <w:sz w:val="21"/>
                      <w:szCs w:val="21"/>
                      <w:highlight w:val="none"/>
                      <w:vertAlign w:val="baseline"/>
                      <w:lang w:val="en-US" w:eastAsia="zh-CN"/>
                    </w:rPr>
                    <w:t>用于水性油墨、油墨、稀释剂等物料储存。</w:t>
                  </w:r>
                </w:p>
              </w:tc>
              <w:tc>
                <w:tcPr>
                  <w:tcW w:w="471" w:type="pct"/>
                  <w:vMerge w:val="restart"/>
                  <w:tcBorders>
                    <w:tl2br w:val="nil"/>
                    <w:tr2bl w:val="nil"/>
                  </w:tcBorders>
                  <w:noWrap w:val="0"/>
                  <w:vAlign w:val="center"/>
                </w:tcPr>
                <w:p w14:paraId="78C54AE0">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新建</w:t>
                  </w:r>
                </w:p>
              </w:tc>
            </w:tr>
            <w:tr w14:paraId="73BCD5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8" w:hRule="atLeast"/>
              </w:trPr>
              <w:tc>
                <w:tcPr>
                  <w:tcW w:w="344" w:type="pct"/>
                  <w:vMerge w:val="continue"/>
                  <w:tcBorders>
                    <w:tl2br w:val="nil"/>
                    <w:tr2bl w:val="nil"/>
                  </w:tcBorders>
                  <w:noWrap w:val="0"/>
                  <w:vAlign w:val="center"/>
                </w:tcPr>
                <w:p w14:paraId="37092C9F">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olor w:val="auto"/>
                      <w:sz w:val="21"/>
                      <w:szCs w:val="21"/>
                    </w:rPr>
                  </w:pPr>
                </w:p>
              </w:tc>
              <w:tc>
                <w:tcPr>
                  <w:tcW w:w="377" w:type="pct"/>
                  <w:vMerge w:val="continue"/>
                  <w:tcBorders>
                    <w:tl2br w:val="nil"/>
                    <w:tr2bl w:val="nil"/>
                  </w:tcBorders>
                  <w:noWrap w:val="0"/>
                  <w:vAlign w:val="center"/>
                </w:tcPr>
                <w:p w14:paraId="38FF3699">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olor w:val="auto"/>
                      <w:sz w:val="21"/>
                      <w:szCs w:val="21"/>
                    </w:rPr>
                  </w:pPr>
                </w:p>
              </w:tc>
              <w:tc>
                <w:tcPr>
                  <w:tcW w:w="899" w:type="pct"/>
                  <w:tcBorders>
                    <w:tl2br w:val="nil"/>
                    <w:tr2bl w:val="nil"/>
                  </w:tcBorders>
                  <w:noWrap w:val="0"/>
                  <w:vAlign w:val="center"/>
                </w:tcPr>
                <w:p w14:paraId="6204DC95">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lang w:val="en-US" w:eastAsia="zh-CN"/>
                    </w:rPr>
                  </w:pPr>
                  <w:r>
                    <w:rPr>
                      <w:rFonts w:hint="eastAsia" w:cs="Times New Roman"/>
                      <w:color w:val="auto"/>
                      <w:sz w:val="21"/>
                      <w:szCs w:val="21"/>
                      <w:highlight w:val="none"/>
                      <w:vertAlign w:val="baseline"/>
                      <w:lang w:val="en-US" w:eastAsia="zh-CN"/>
                    </w:rPr>
                    <w:t>彩印车间</w:t>
                  </w:r>
                </w:p>
              </w:tc>
              <w:tc>
                <w:tcPr>
                  <w:tcW w:w="2907" w:type="pct"/>
                  <w:gridSpan w:val="2"/>
                  <w:tcBorders>
                    <w:tl2br w:val="nil"/>
                    <w:tr2bl w:val="nil"/>
                  </w:tcBorders>
                  <w:noWrap w:val="0"/>
                  <w:vAlign w:val="center"/>
                </w:tcPr>
                <w:p w14:paraId="7FAFE7B7">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highlight w:val="none"/>
                      <w:vertAlign w:val="baseline"/>
                      <w:lang w:val="en-US" w:eastAsia="zh-CN"/>
                    </w:rPr>
                    <w:t>1F，无尘车间，车间高度为6m，</w:t>
                  </w:r>
                  <w:r>
                    <w:rPr>
                      <w:rFonts w:hint="eastAsia" w:cs="Times New Roman"/>
                      <w:color w:val="auto"/>
                      <w:sz w:val="21"/>
                      <w:szCs w:val="21"/>
                      <w:lang w:val="en-US" w:eastAsia="zh-CN"/>
                    </w:rPr>
                    <w:t>总建筑</w:t>
                  </w:r>
                  <w:r>
                    <w:rPr>
                      <w:rFonts w:hint="default" w:ascii="Times New Roman" w:hAnsi="Times New Roman" w:cs="Times New Roman"/>
                      <w:color w:val="auto"/>
                      <w:sz w:val="21"/>
                      <w:szCs w:val="21"/>
                      <w:highlight w:val="none"/>
                      <w:lang w:val="en-US" w:eastAsia="zh-CN"/>
                    </w:rPr>
                    <w:t>面积</w:t>
                  </w:r>
                  <w:r>
                    <w:rPr>
                      <w:rFonts w:hint="eastAsia" w:cs="Times New Roman"/>
                      <w:color w:val="auto"/>
                      <w:sz w:val="21"/>
                      <w:szCs w:val="21"/>
                      <w:lang w:val="en-US" w:eastAsia="zh-CN"/>
                    </w:rPr>
                    <w:t>1100</w:t>
                  </w:r>
                  <w:r>
                    <w:rPr>
                      <w:rFonts w:hint="default" w:ascii="Times New Roman" w:hAnsi="Times New Roman" w:cs="Times New Roman"/>
                      <w:color w:val="auto"/>
                      <w:sz w:val="21"/>
                      <w:szCs w:val="21"/>
                      <w:highlight w:val="none"/>
                      <w:lang w:val="en-US" w:eastAsia="zh-CN"/>
                    </w:rPr>
                    <w:t>m</w:t>
                  </w:r>
                  <w:r>
                    <w:rPr>
                      <w:rFonts w:hint="eastAsia" w:cs="Times New Roman"/>
                      <w:color w:val="auto"/>
                      <w:sz w:val="21"/>
                      <w:szCs w:val="21"/>
                      <w:highlight w:val="none"/>
                      <w:vertAlign w:val="superscript"/>
                      <w:lang w:val="en-US" w:eastAsia="zh-CN"/>
                    </w:rPr>
                    <w:t>2</w:t>
                  </w:r>
                  <w:r>
                    <w:rPr>
                      <w:rFonts w:hint="eastAsia" w:cs="Times New Roman"/>
                      <w:color w:val="auto"/>
                      <w:sz w:val="21"/>
                      <w:szCs w:val="21"/>
                      <w:highlight w:val="none"/>
                      <w:vertAlign w:val="baseline"/>
                      <w:lang w:val="en-US" w:eastAsia="zh-CN"/>
                    </w:rPr>
                    <w:t>，用于印刷热封膜。</w:t>
                  </w:r>
                </w:p>
              </w:tc>
              <w:tc>
                <w:tcPr>
                  <w:tcW w:w="471" w:type="pct"/>
                  <w:vMerge w:val="continue"/>
                  <w:tcBorders>
                    <w:tl2br w:val="nil"/>
                    <w:tr2bl w:val="nil"/>
                  </w:tcBorders>
                  <w:noWrap w:val="0"/>
                  <w:vAlign w:val="center"/>
                </w:tcPr>
                <w:p w14:paraId="324B92FF">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lang w:val="en-US" w:eastAsia="zh-CN"/>
                    </w:rPr>
                  </w:pPr>
                </w:p>
              </w:tc>
            </w:tr>
            <w:tr w14:paraId="3CB9D0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44" w:type="pct"/>
                  <w:vMerge w:val="continue"/>
                  <w:tcBorders>
                    <w:tl2br w:val="nil"/>
                    <w:tr2bl w:val="nil"/>
                  </w:tcBorders>
                  <w:noWrap w:val="0"/>
                  <w:vAlign w:val="center"/>
                </w:tcPr>
                <w:p w14:paraId="730BDB4A">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olor w:val="auto"/>
                      <w:sz w:val="21"/>
                      <w:szCs w:val="21"/>
                    </w:rPr>
                  </w:pPr>
                </w:p>
              </w:tc>
              <w:tc>
                <w:tcPr>
                  <w:tcW w:w="377" w:type="pct"/>
                  <w:vMerge w:val="continue"/>
                  <w:tcBorders>
                    <w:tl2br w:val="nil"/>
                    <w:tr2bl w:val="nil"/>
                  </w:tcBorders>
                  <w:noWrap w:val="0"/>
                  <w:vAlign w:val="center"/>
                </w:tcPr>
                <w:p w14:paraId="57A8EE72">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olor w:val="auto"/>
                      <w:sz w:val="21"/>
                      <w:szCs w:val="21"/>
                    </w:rPr>
                  </w:pPr>
                </w:p>
              </w:tc>
              <w:tc>
                <w:tcPr>
                  <w:tcW w:w="899" w:type="pct"/>
                  <w:tcBorders>
                    <w:tl2br w:val="nil"/>
                    <w:tr2bl w:val="nil"/>
                  </w:tcBorders>
                  <w:noWrap w:val="0"/>
                  <w:vAlign w:val="center"/>
                </w:tcPr>
                <w:p w14:paraId="76269BD5">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分切车间</w:t>
                  </w:r>
                </w:p>
              </w:tc>
              <w:tc>
                <w:tcPr>
                  <w:tcW w:w="2907" w:type="pct"/>
                  <w:gridSpan w:val="2"/>
                  <w:tcBorders>
                    <w:tl2br w:val="nil"/>
                    <w:tr2bl w:val="nil"/>
                  </w:tcBorders>
                  <w:noWrap w:val="0"/>
                  <w:vAlign w:val="center"/>
                </w:tcPr>
                <w:p w14:paraId="6D108AEC">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eastAsia"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1F，无尘车间，车间高度为6m，</w:t>
                  </w:r>
                  <w:r>
                    <w:rPr>
                      <w:rFonts w:hint="eastAsia" w:cs="Times New Roman"/>
                      <w:color w:val="auto"/>
                      <w:sz w:val="21"/>
                      <w:szCs w:val="21"/>
                      <w:lang w:val="en-US" w:eastAsia="zh-CN"/>
                    </w:rPr>
                    <w:t>总建筑</w:t>
                  </w:r>
                  <w:r>
                    <w:rPr>
                      <w:rFonts w:hint="default" w:ascii="Times New Roman" w:hAnsi="Times New Roman" w:cs="Times New Roman"/>
                      <w:color w:val="auto"/>
                      <w:sz w:val="21"/>
                      <w:szCs w:val="21"/>
                      <w:highlight w:val="none"/>
                      <w:lang w:val="en-US" w:eastAsia="zh-CN"/>
                    </w:rPr>
                    <w:t>面积</w:t>
                  </w:r>
                  <w:r>
                    <w:rPr>
                      <w:rFonts w:hint="eastAsia" w:cs="Times New Roman"/>
                      <w:color w:val="auto"/>
                      <w:sz w:val="21"/>
                      <w:szCs w:val="21"/>
                      <w:lang w:val="en-US" w:eastAsia="zh-CN"/>
                    </w:rPr>
                    <w:t>350</w:t>
                  </w:r>
                  <w:r>
                    <w:rPr>
                      <w:rFonts w:hint="default" w:ascii="Times New Roman" w:hAnsi="Times New Roman" w:cs="Times New Roman"/>
                      <w:color w:val="auto"/>
                      <w:sz w:val="21"/>
                      <w:szCs w:val="21"/>
                      <w:highlight w:val="none"/>
                      <w:lang w:val="en-US" w:eastAsia="zh-CN"/>
                    </w:rPr>
                    <w:t>m</w:t>
                  </w:r>
                  <w:r>
                    <w:rPr>
                      <w:rFonts w:hint="eastAsia" w:cs="Times New Roman"/>
                      <w:color w:val="auto"/>
                      <w:sz w:val="21"/>
                      <w:szCs w:val="21"/>
                      <w:highlight w:val="none"/>
                      <w:vertAlign w:val="superscript"/>
                      <w:lang w:val="en-US" w:eastAsia="zh-CN"/>
                    </w:rPr>
                    <w:t>2</w:t>
                  </w:r>
                  <w:r>
                    <w:rPr>
                      <w:rFonts w:hint="eastAsia" w:cs="Times New Roman"/>
                      <w:color w:val="auto"/>
                      <w:sz w:val="21"/>
                      <w:szCs w:val="21"/>
                      <w:highlight w:val="none"/>
                      <w:vertAlign w:val="baseline"/>
                      <w:lang w:val="en-US" w:eastAsia="zh-CN"/>
                    </w:rPr>
                    <w:t>，用于印刷后的热封膜进行分切。</w:t>
                  </w:r>
                </w:p>
              </w:tc>
              <w:tc>
                <w:tcPr>
                  <w:tcW w:w="471" w:type="pct"/>
                  <w:vMerge w:val="continue"/>
                  <w:tcBorders>
                    <w:tl2br w:val="nil"/>
                    <w:tr2bl w:val="nil"/>
                  </w:tcBorders>
                  <w:noWrap w:val="0"/>
                  <w:vAlign w:val="center"/>
                </w:tcPr>
                <w:p w14:paraId="79B78659">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lang w:val="en-US" w:eastAsia="zh-CN"/>
                    </w:rPr>
                  </w:pPr>
                </w:p>
              </w:tc>
            </w:tr>
            <w:tr w14:paraId="7A581B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44" w:type="pct"/>
                  <w:vMerge w:val="continue"/>
                  <w:tcBorders>
                    <w:tl2br w:val="nil"/>
                    <w:tr2bl w:val="nil"/>
                  </w:tcBorders>
                  <w:noWrap w:val="0"/>
                  <w:vAlign w:val="center"/>
                </w:tcPr>
                <w:p w14:paraId="198A0E4A">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olor w:val="auto"/>
                      <w:sz w:val="21"/>
                      <w:szCs w:val="21"/>
                    </w:rPr>
                  </w:pPr>
                </w:p>
              </w:tc>
              <w:tc>
                <w:tcPr>
                  <w:tcW w:w="377" w:type="pct"/>
                  <w:vMerge w:val="continue"/>
                  <w:tcBorders>
                    <w:tl2br w:val="nil"/>
                    <w:tr2bl w:val="nil"/>
                  </w:tcBorders>
                  <w:noWrap w:val="0"/>
                  <w:vAlign w:val="center"/>
                </w:tcPr>
                <w:p w14:paraId="48D37A24">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olor w:val="auto"/>
                      <w:sz w:val="21"/>
                      <w:szCs w:val="21"/>
                    </w:rPr>
                  </w:pPr>
                </w:p>
              </w:tc>
              <w:tc>
                <w:tcPr>
                  <w:tcW w:w="899" w:type="pct"/>
                  <w:tcBorders>
                    <w:tl2br w:val="nil"/>
                    <w:tr2bl w:val="nil"/>
                  </w:tcBorders>
                  <w:noWrap w:val="0"/>
                  <w:vAlign w:val="center"/>
                </w:tcPr>
                <w:p w14:paraId="47F07FEA">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调墨房</w:t>
                  </w:r>
                </w:p>
              </w:tc>
              <w:tc>
                <w:tcPr>
                  <w:tcW w:w="2907" w:type="pct"/>
                  <w:gridSpan w:val="2"/>
                  <w:tcBorders>
                    <w:tl2br w:val="nil"/>
                    <w:tr2bl w:val="nil"/>
                  </w:tcBorders>
                  <w:noWrap w:val="0"/>
                  <w:vAlign w:val="center"/>
                </w:tcPr>
                <w:p w14:paraId="3F1B60DE">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1F，独立空间，位于彩印车间内，建筑面积50</w:t>
                  </w:r>
                  <w:r>
                    <w:rPr>
                      <w:rFonts w:hint="default" w:ascii="Times New Roman" w:hAnsi="Times New Roman" w:cs="Times New Roman"/>
                      <w:color w:val="auto"/>
                      <w:sz w:val="21"/>
                      <w:szCs w:val="21"/>
                      <w:highlight w:val="none"/>
                      <w:lang w:val="en-US" w:eastAsia="zh-CN"/>
                    </w:rPr>
                    <w:t>m</w:t>
                  </w:r>
                  <w:r>
                    <w:rPr>
                      <w:rFonts w:hint="eastAsia" w:cs="Times New Roman"/>
                      <w:color w:val="auto"/>
                      <w:sz w:val="21"/>
                      <w:szCs w:val="21"/>
                      <w:highlight w:val="none"/>
                      <w:vertAlign w:val="superscript"/>
                      <w:lang w:val="en-US" w:eastAsia="zh-CN"/>
                    </w:rPr>
                    <w:t>2</w:t>
                  </w:r>
                  <w:r>
                    <w:rPr>
                      <w:rFonts w:hint="eastAsia" w:cs="Times New Roman"/>
                      <w:color w:val="auto"/>
                      <w:sz w:val="21"/>
                      <w:szCs w:val="21"/>
                      <w:highlight w:val="none"/>
                      <w:vertAlign w:val="baseline"/>
                      <w:lang w:val="en-US" w:eastAsia="zh-CN"/>
                    </w:rPr>
                    <w:t>，用于油墨调制。</w:t>
                  </w:r>
                </w:p>
              </w:tc>
              <w:tc>
                <w:tcPr>
                  <w:tcW w:w="471" w:type="pct"/>
                  <w:vMerge w:val="continue"/>
                  <w:tcBorders>
                    <w:tl2br w:val="nil"/>
                    <w:tr2bl w:val="nil"/>
                  </w:tcBorders>
                  <w:noWrap w:val="0"/>
                  <w:vAlign w:val="center"/>
                </w:tcPr>
                <w:p w14:paraId="6A08DBB2">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lang w:val="en-US" w:eastAsia="zh-CN"/>
                    </w:rPr>
                  </w:pPr>
                </w:p>
              </w:tc>
            </w:tr>
            <w:tr w14:paraId="2E0073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1" w:hRule="atLeast"/>
              </w:trPr>
              <w:tc>
                <w:tcPr>
                  <w:tcW w:w="344" w:type="pct"/>
                  <w:vMerge w:val="restart"/>
                  <w:tcBorders>
                    <w:tl2br w:val="nil"/>
                    <w:tr2bl w:val="nil"/>
                  </w:tcBorders>
                  <w:noWrap w:val="0"/>
                  <w:vAlign w:val="center"/>
                </w:tcPr>
                <w:p w14:paraId="3D5C172A">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贮运工程</w:t>
                  </w:r>
                </w:p>
              </w:tc>
              <w:tc>
                <w:tcPr>
                  <w:tcW w:w="1277" w:type="pct"/>
                  <w:gridSpan w:val="2"/>
                  <w:tcBorders>
                    <w:tl2br w:val="nil"/>
                    <w:tr2bl w:val="nil"/>
                  </w:tcBorders>
                  <w:noWrap w:val="0"/>
                  <w:vAlign w:val="center"/>
                </w:tcPr>
                <w:p w14:paraId="12BC8560">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原料暂存间</w:t>
                  </w:r>
                </w:p>
              </w:tc>
              <w:tc>
                <w:tcPr>
                  <w:tcW w:w="2907" w:type="pct"/>
                  <w:gridSpan w:val="2"/>
                  <w:tcBorders>
                    <w:tl2br w:val="nil"/>
                    <w:tr2bl w:val="nil"/>
                  </w:tcBorders>
                  <w:noWrap w:val="0"/>
                  <w:vAlign w:val="center"/>
                </w:tcPr>
                <w:p w14:paraId="79577EC1">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位于彩印车间内，面积为100</w:t>
                  </w:r>
                  <w:r>
                    <w:rPr>
                      <w:rFonts w:hint="default" w:ascii="Times New Roman" w:hAnsi="Times New Roman" w:cs="Times New Roman"/>
                      <w:color w:val="auto"/>
                      <w:sz w:val="21"/>
                      <w:szCs w:val="21"/>
                      <w:highlight w:val="none"/>
                      <w:lang w:val="en-US" w:eastAsia="zh-CN"/>
                    </w:rPr>
                    <w:t>m</w:t>
                  </w:r>
                  <w:r>
                    <w:rPr>
                      <w:rFonts w:hint="eastAsia" w:cs="Times New Roman"/>
                      <w:color w:val="auto"/>
                      <w:sz w:val="21"/>
                      <w:szCs w:val="21"/>
                      <w:highlight w:val="none"/>
                      <w:vertAlign w:val="superscript"/>
                      <w:lang w:val="en-US" w:eastAsia="zh-CN"/>
                    </w:rPr>
                    <w:t>2</w:t>
                  </w:r>
                  <w:r>
                    <w:rPr>
                      <w:rFonts w:hint="eastAsia" w:cs="Times New Roman"/>
                      <w:color w:val="auto"/>
                      <w:sz w:val="21"/>
                      <w:szCs w:val="21"/>
                      <w:highlight w:val="none"/>
                      <w:vertAlign w:val="baseline"/>
                      <w:lang w:val="en-US" w:eastAsia="zh-CN"/>
                    </w:rPr>
                    <w:t>，用于储存原料热封膜。</w:t>
                  </w:r>
                </w:p>
              </w:tc>
              <w:tc>
                <w:tcPr>
                  <w:tcW w:w="471" w:type="pct"/>
                  <w:vMerge w:val="restart"/>
                  <w:tcBorders>
                    <w:tl2br w:val="nil"/>
                    <w:tr2bl w:val="nil"/>
                  </w:tcBorders>
                  <w:shd w:val="clear" w:color="auto" w:fill="auto"/>
                  <w:noWrap w:val="0"/>
                  <w:vAlign w:val="center"/>
                </w:tcPr>
                <w:p w14:paraId="39F40B04">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新建</w:t>
                  </w:r>
                </w:p>
              </w:tc>
            </w:tr>
            <w:tr w14:paraId="525127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1" w:hRule="atLeast"/>
              </w:trPr>
              <w:tc>
                <w:tcPr>
                  <w:tcW w:w="344" w:type="pct"/>
                  <w:vMerge w:val="continue"/>
                  <w:tcBorders>
                    <w:tl2br w:val="nil"/>
                    <w:tr2bl w:val="nil"/>
                  </w:tcBorders>
                  <w:noWrap w:val="0"/>
                  <w:vAlign w:val="center"/>
                </w:tcPr>
                <w:p w14:paraId="7F471B25">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cs="Times New Roman"/>
                      <w:color w:val="auto"/>
                      <w:sz w:val="21"/>
                      <w:szCs w:val="21"/>
                      <w:lang w:val="en-US" w:eastAsia="zh-CN"/>
                    </w:rPr>
                  </w:pPr>
                </w:p>
              </w:tc>
              <w:tc>
                <w:tcPr>
                  <w:tcW w:w="1277" w:type="pct"/>
                  <w:gridSpan w:val="2"/>
                  <w:tcBorders>
                    <w:tl2br w:val="nil"/>
                    <w:tr2bl w:val="nil"/>
                  </w:tcBorders>
                  <w:noWrap w:val="0"/>
                  <w:vAlign w:val="center"/>
                </w:tcPr>
                <w:p w14:paraId="44A09E97">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cs="Times New Roman"/>
                      <w:color w:val="auto"/>
                      <w:sz w:val="21"/>
                      <w:szCs w:val="21"/>
                      <w:lang w:val="en-US" w:eastAsia="zh-CN"/>
                    </w:rPr>
                  </w:pPr>
                  <w:r>
                    <w:rPr>
                      <w:rFonts w:hint="eastAsia"/>
                      <w:color w:val="auto"/>
                      <w:sz w:val="21"/>
                      <w:szCs w:val="21"/>
                      <w:lang w:val="en-US" w:eastAsia="zh-CN"/>
                    </w:rPr>
                    <w:t>成品暂存间</w:t>
                  </w:r>
                </w:p>
              </w:tc>
              <w:tc>
                <w:tcPr>
                  <w:tcW w:w="2907" w:type="pct"/>
                  <w:gridSpan w:val="2"/>
                  <w:tcBorders>
                    <w:tl2br w:val="nil"/>
                    <w:tr2bl w:val="nil"/>
                  </w:tcBorders>
                  <w:noWrap w:val="0"/>
                  <w:vAlign w:val="center"/>
                </w:tcPr>
                <w:p w14:paraId="53640D77">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eastAsia"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1F，无尘车间，车间高度为6m，</w:t>
                  </w:r>
                  <w:r>
                    <w:rPr>
                      <w:rFonts w:hint="eastAsia" w:cs="Times New Roman"/>
                      <w:color w:val="auto"/>
                      <w:sz w:val="21"/>
                      <w:szCs w:val="21"/>
                      <w:lang w:val="en-US" w:eastAsia="zh-CN"/>
                    </w:rPr>
                    <w:t>总建筑</w:t>
                  </w:r>
                  <w:r>
                    <w:rPr>
                      <w:rFonts w:hint="default" w:ascii="Times New Roman" w:hAnsi="Times New Roman" w:cs="Times New Roman"/>
                      <w:color w:val="auto"/>
                      <w:sz w:val="21"/>
                      <w:szCs w:val="21"/>
                      <w:highlight w:val="none"/>
                      <w:lang w:val="en-US" w:eastAsia="zh-CN"/>
                    </w:rPr>
                    <w:t>面积</w:t>
                  </w:r>
                  <w:r>
                    <w:rPr>
                      <w:rFonts w:hint="eastAsia" w:cs="Times New Roman"/>
                      <w:color w:val="auto"/>
                      <w:sz w:val="21"/>
                      <w:szCs w:val="21"/>
                      <w:lang w:val="en-US" w:eastAsia="zh-CN"/>
                    </w:rPr>
                    <w:t>150</w:t>
                  </w:r>
                  <w:r>
                    <w:rPr>
                      <w:rFonts w:hint="default" w:ascii="Times New Roman" w:hAnsi="Times New Roman" w:cs="Times New Roman"/>
                      <w:color w:val="auto"/>
                      <w:sz w:val="21"/>
                      <w:szCs w:val="21"/>
                      <w:highlight w:val="none"/>
                      <w:lang w:val="en-US" w:eastAsia="zh-CN"/>
                    </w:rPr>
                    <w:t>m</w:t>
                  </w:r>
                  <w:r>
                    <w:rPr>
                      <w:rFonts w:hint="eastAsia" w:cs="Times New Roman"/>
                      <w:color w:val="auto"/>
                      <w:sz w:val="21"/>
                      <w:szCs w:val="21"/>
                      <w:highlight w:val="none"/>
                      <w:vertAlign w:val="superscript"/>
                      <w:lang w:val="en-US" w:eastAsia="zh-CN"/>
                    </w:rPr>
                    <w:t>2</w:t>
                  </w:r>
                  <w:r>
                    <w:rPr>
                      <w:rFonts w:hint="eastAsia" w:cs="Times New Roman"/>
                      <w:color w:val="auto"/>
                      <w:sz w:val="21"/>
                      <w:szCs w:val="21"/>
                      <w:highlight w:val="none"/>
                      <w:vertAlign w:val="baseline"/>
                      <w:lang w:val="en-US" w:eastAsia="zh-CN"/>
                    </w:rPr>
                    <w:t>，用于储存印刷、分切后的成品热封膜。</w:t>
                  </w:r>
                </w:p>
              </w:tc>
              <w:tc>
                <w:tcPr>
                  <w:tcW w:w="471" w:type="pct"/>
                  <w:vMerge w:val="continue"/>
                  <w:tcBorders>
                    <w:tl2br w:val="nil"/>
                    <w:tr2bl w:val="nil"/>
                  </w:tcBorders>
                  <w:noWrap w:val="0"/>
                  <w:vAlign w:val="center"/>
                </w:tcPr>
                <w:p w14:paraId="08AD2E23">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cs="Times New Roman"/>
                      <w:color w:val="auto"/>
                      <w:sz w:val="21"/>
                      <w:szCs w:val="21"/>
                      <w:lang w:val="en-US" w:eastAsia="zh-CN"/>
                    </w:rPr>
                  </w:pPr>
                </w:p>
              </w:tc>
            </w:tr>
            <w:tr w14:paraId="2E7C55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1" w:hRule="atLeast"/>
              </w:trPr>
              <w:tc>
                <w:tcPr>
                  <w:tcW w:w="344" w:type="pct"/>
                  <w:vMerge w:val="restart"/>
                  <w:tcBorders>
                    <w:tl2br w:val="nil"/>
                    <w:tr2bl w:val="nil"/>
                  </w:tcBorders>
                  <w:noWrap w:val="0"/>
                  <w:vAlign w:val="center"/>
                </w:tcPr>
                <w:p w14:paraId="62AB5953">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辅助工程</w:t>
                  </w:r>
                </w:p>
              </w:tc>
              <w:tc>
                <w:tcPr>
                  <w:tcW w:w="1277" w:type="pct"/>
                  <w:gridSpan w:val="2"/>
                  <w:tcBorders>
                    <w:tl2br w:val="nil"/>
                    <w:tr2bl w:val="nil"/>
                  </w:tcBorders>
                  <w:noWrap w:val="0"/>
                  <w:vAlign w:val="center"/>
                </w:tcPr>
                <w:p w14:paraId="4C3F5478">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物料缓冲间</w:t>
                  </w:r>
                </w:p>
              </w:tc>
              <w:tc>
                <w:tcPr>
                  <w:tcW w:w="2907" w:type="pct"/>
                  <w:gridSpan w:val="2"/>
                  <w:tcBorders>
                    <w:tl2br w:val="nil"/>
                    <w:tr2bl w:val="nil"/>
                  </w:tcBorders>
                  <w:noWrap w:val="0"/>
                  <w:vAlign w:val="center"/>
                </w:tcPr>
                <w:p w14:paraId="07A7F1E1">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1F，无尘车间，车间高度为6m，</w:t>
                  </w:r>
                  <w:r>
                    <w:rPr>
                      <w:rFonts w:hint="eastAsia" w:cs="Times New Roman"/>
                      <w:color w:val="auto"/>
                      <w:sz w:val="21"/>
                      <w:szCs w:val="21"/>
                      <w:lang w:val="en-US" w:eastAsia="zh-CN"/>
                    </w:rPr>
                    <w:t>总建筑</w:t>
                  </w:r>
                  <w:r>
                    <w:rPr>
                      <w:rFonts w:hint="default" w:ascii="Times New Roman" w:hAnsi="Times New Roman" w:cs="Times New Roman"/>
                      <w:color w:val="auto"/>
                      <w:sz w:val="21"/>
                      <w:szCs w:val="21"/>
                      <w:highlight w:val="none"/>
                      <w:lang w:val="en-US" w:eastAsia="zh-CN"/>
                    </w:rPr>
                    <w:t>面积</w:t>
                  </w:r>
                  <w:r>
                    <w:rPr>
                      <w:rFonts w:hint="eastAsia" w:cs="Times New Roman"/>
                      <w:color w:val="auto"/>
                      <w:sz w:val="21"/>
                      <w:szCs w:val="21"/>
                      <w:lang w:val="en-US" w:eastAsia="zh-CN"/>
                    </w:rPr>
                    <w:t>80</w:t>
                  </w:r>
                  <w:r>
                    <w:rPr>
                      <w:rFonts w:hint="default" w:ascii="Times New Roman" w:hAnsi="Times New Roman" w:cs="Times New Roman"/>
                      <w:color w:val="auto"/>
                      <w:sz w:val="21"/>
                      <w:szCs w:val="21"/>
                      <w:highlight w:val="none"/>
                      <w:lang w:val="en-US" w:eastAsia="zh-CN"/>
                    </w:rPr>
                    <w:t>m</w:t>
                  </w:r>
                  <w:r>
                    <w:rPr>
                      <w:rFonts w:hint="eastAsia" w:cs="Times New Roman"/>
                      <w:color w:val="auto"/>
                      <w:sz w:val="21"/>
                      <w:szCs w:val="21"/>
                      <w:highlight w:val="none"/>
                      <w:vertAlign w:val="superscript"/>
                      <w:lang w:val="en-US" w:eastAsia="zh-CN"/>
                    </w:rPr>
                    <w:t>2</w:t>
                  </w:r>
                  <w:r>
                    <w:rPr>
                      <w:rFonts w:hint="eastAsia" w:cs="Times New Roman"/>
                      <w:color w:val="auto"/>
                      <w:sz w:val="21"/>
                      <w:szCs w:val="21"/>
                      <w:highlight w:val="none"/>
                      <w:vertAlign w:val="baseline"/>
                      <w:lang w:val="en-US" w:eastAsia="zh-CN"/>
                    </w:rPr>
                    <w:t>，用于完成印刷后的热封膜进行分切前的缓冲。</w:t>
                  </w:r>
                </w:p>
              </w:tc>
              <w:tc>
                <w:tcPr>
                  <w:tcW w:w="471" w:type="pct"/>
                  <w:vMerge w:val="restart"/>
                  <w:tcBorders>
                    <w:tl2br w:val="nil"/>
                    <w:tr2bl w:val="nil"/>
                  </w:tcBorders>
                  <w:noWrap w:val="0"/>
                  <w:vAlign w:val="center"/>
                </w:tcPr>
                <w:p w14:paraId="68BFA850">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cs="Times New Roman"/>
                      <w:color w:val="auto"/>
                      <w:sz w:val="21"/>
                      <w:szCs w:val="21"/>
                      <w:highlight w:val="none"/>
                      <w:lang w:val="en-US" w:eastAsia="zh-CN"/>
                    </w:rPr>
                  </w:pPr>
                  <w:r>
                    <w:rPr>
                      <w:rFonts w:hint="eastAsia" w:cs="Times New Roman"/>
                      <w:color w:val="auto"/>
                      <w:sz w:val="21"/>
                      <w:szCs w:val="21"/>
                      <w:lang w:val="en-US" w:eastAsia="zh-CN"/>
                    </w:rPr>
                    <w:t>新建</w:t>
                  </w:r>
                </w:p>
              </w:tc>
            </w:tr>
            <w:tr w14:paraId="169D1A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1" w:hRule="atLeast"/>
              </w:trPr>
              <w:tc>
                <w:tcPr>
                  <w:tcW w:w="344" w:type="pct"/>
                  <w:vMerge w:val="continue"/>
                  <w:tcBorders>
                    <w:tl2br w:val="nil"/>
                    <w:tr2bl w:val="nil"/>
                  </w:tcBorders>
                  <w:noWrap w:val="0"/>
                  <w:vAlign w:val="center"/>
                </w:tcPr>
                <w:p w14:paraId="7B6E9429">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color w:val="auto"/>
                    </w:rPr>
                  </w:pPr>
                </w:p>
              </w:tc>
              <w:tc>
                <w:tcPr>
                  <w:tcW w:w="1277" w:type="pct"/>
                  <w:gridSpan w:val="2"/>
                  <w:tcBorders>
                    <w:tl2br w:val="nil"/>
                    <w:tr2bl w:val="nil"/>
                  </w:tcBorders>
                  <w:noWrap w:val="0"/>
                  <w:vAlign w:val="center"/>
                </w:tcPr>
                <w:p w14:paraId="0BEF4373">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olor w:val="auto"/>
                      <w:sz w:val="21"/>
                      <w:szCs w:val="21"/>
                      <w:lang w:val="en-US" w:eastAsia="zh-CN"/>
                    </w:rPr>
                  </w:pPr>
                  <w:r>
                    <w:rPr>
                      <w:rFonts w:hint="eastAsia"/>
                      <w:color w:val="auto"/>
                      <w:sz w:val="21"/>
                      <w:szCs w:val="21"/>
                      <w:lang w:val="en-US" w:eastAsia="zh-CN"/>
                    </w:rPr>
                    <w:t>配电室</w:t>
                  </w:r>
                </w:p>
              </w:tc>
              <w:tc>
                <w:tcPr>
                  <w:tcW w:w="2907" w:type="pct"/>
                  <w:gridSpan w:val="2"/>
                  <w:tcBorders>
                    <w:tl2br w:val="nil"/>
                    <w:tr2bl w:val="nil"/>
                  </w:tcBorders>
                  <w:noWrap w:val="0"/>
                  <w:vAlign w:val="center"/>
                </w:tcPr>
                <w:p w14:paraId="2C1C4A67">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1F，</w:t>
                  </w:r>
                  <w:r>
                    <w:rPr>
                      <w:rFonts w:hint="default" w:ascii="Times New Roman" w:hAnsi="Times New Roman" w:cs="Times New Roman"/>
                      <w:color w:val="auto"/>
                      <w:sz w:val="21"/>
                      <w:szCs w:val="21"/>
                      <w:highlight w:val="none"/>
                      <w:lang w:val="en-US" w:eastAsia="zh-CN"/>
                    </w:rPr>
                    <w:t>建筑面积</w:t>
                  </w:r>
                  <w:r>
                    <w:rPr>
                      <w:rFonts w:hint="eastAsia" w:cs="Times New Roman"/>
                      <w:color w:val="auto"/>
                      <w:sz w:val="21"/>
                      <w:szCs w:val="21"/>
                      <w:highlight w:val="none"/>
                      <w:lang w:val="en-US" w:eastAsia="zh-CN"/>
                    </w:rPr>
                    <w:t>100</w:t>
                  </w:r>
                  <w:r>
                    <w:rPr>
                      <w:rFonts w:hint="default" w:ascii="Times New Roman" w:hAnsi="Times New Roman" w:cs="Times New Roman"/>
                      <w:color w:val="auto"/>
                      <w:sz w:val="21"/>
                      <w:szCs w:val="21"/>
                      <w:highlight w:val="none"/>
                      <w:lang w:val="en-US" w:eastAsia="zh-CN"/>
                    </w:rPr>
                    <w:t>m</w:t>
                  </w:r>
                  <w:r>
                    <w:rPr>
                      <w:rFonts w:hint="eastAsia" w:cs="Times New Roman"/>
                      <w:color w:val="auto"/>
                      <w:sz w:val="21"/>
                      <w:szCs w:val="21"/>
                      <w:highlight w:val="none"/>
                      <w:vertAlign w:val="superscript"/>
                      <w:lang w:val="en-US" w:eastAsia="zh-CN"/>
                    </w:rPr>
                    <w:t>2</w:t>
                  </w:r>
                  <w:r>
                    <w:rPr>
                      <w:rFonts w:hint="eastAsia" w:cs="Times New Roman"/>
                      <w:color w:val="auto"/>
                      <w:sz w:val="21"/>
                      <w:szCs w:val="21"/>
                      <w:highlight w:val="none"/>
                      <w:vertAlign w:val="baseline"/>
                      <w:lang w:val="en-US" w:eastAsia="zh-CN"/>
                    </w:rPr>
                    <w:t>。</w:t>
                  </w:r>
                </w:p>
              </w:tc>
              <w:tc>
                <w:tcPr>
                  <w:tcW w:w="471" w:type="pct"/>
                  <w:vMerge w:val="continue"/>
                  <w:tcBorders>
                    <w:tl2br w:val="nil"/>
                    <w:tr2bl w:val="nil"/>
                  </w:tcBorders>
                  <w:noWrap w:val="0"/>
                  <w:vAlign w:val="center"/>
                </w:tcPr>
                <w:p w14:paraId="7C7B57E1">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auto"/>
                      <w:sz w:val="21"/>
                      <w:szCs w:val="21"/>
                      <w:highlight w:val="none"/>
                      <w:lang w:val="en-US" w:eastAsia="zh-CN"/>
                    </w:rPr>
                  </w:pPr>
                </w:p>
              </w:tc>
            </w:tr>
            <w:tr w14:paraId="449821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1" w:hRule="atLeast"/>
              </w:trPr>
              <w:tc>
                <w:tcPr>
                  <w:tcW w:w="344" w:type="pct"/>
                  <w:vMerge w:val="continue"/>
                  <w:tcBorders>
                    <w:tl2br w:val="nil"/>
                    <w:tr2bl w:val="nil"/>
                  </w:tcBorders>
                  <w:noWrap w:val="0"/>
                  <w:vAlign w:val="center"/>
                </w:tcPr>
                <w:p w14:paraId="1182ED58">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color w:val="auto"/>
                    </w:rPr>
                  </w:pPr>
                </w:p>
              </w:tc>
              <w:tc>
                <w:tcPr>
                  <w:tcW w:w="1277" w:type="pct"/>
                  <w:gridSpan w:val="2"/>
                  <w:tcBorders>
                    <w:tl2br w:val="nil"/>
                    <w:tr2bl w:val="nil"/>
                  </w:tcBorders>
                  <w:noWrap w:val="0"/>
                  <w:vAlign w:val="center"/>
                </w:tcPr>
                <w:p w14:paraId="3C68E7E4">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olor w:val="auto"/>
                      <w:sz w:val="21"/>
                      <w:szCs w:val="21"/>
                      <w:lang w:val="en-US" w:eastAsia="zh-CN"/>
                    </w:rPr>
                  </w:pPr>
                  <w:r>
                    <w:rPr>
                      <w:rFonts w:hint="eastAsia"/>
                      <w:color w:val="auto"/>
                      <w:sz w:val="21"/>
                      <w:szCs w:val="21"/>
                      <w:lang w:val="en-US" w:eastAsia="zh-CN"/>
                    </w:rPr>
                    <w:t>过道</w:t>
                  </w:r>
                </w:p>
              </w:tc>
              <w:tc>
                <w:tcPr>
                  <w:tcW w:w="2907" w:type="pct"/>
                  <w:gridSpan w:val="2"/>
                  <w:tcBorders>
                    <w:tl2br w:val="nil"/>
                    <w:tr2bl w:val="nil"/>
                  </w:tcBorders>
                  <w:noWrap w:val="0"/>
                  <w:vAlign w:val="center"/>
                </w:tcPr>
                <w:p w14:paraId="19DBE0DD">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1F，</w:t>
                  </w:r>
                  <w:r>
                    <w:rPr>
                      <w:rFonts w:hint="default" w:ascii="Times New Roman" w:hAnsi="Times New Roman" w:cs="Times New Roman"/>
                      <w:color w:val="auto"/>
                      <w:sz w:val="21"/>
                      <w:szCs w:val="21"/>
                      <w:highlight w:val="none"/>
                      <w:lang w:val="en-US" w:eastAsia="zh-CN"/>
                    </w:rPr>
                    <w:t>建筑面积</w:t>
                  </w:r>
                  <w:r>
                    <w:rPr>
                      <w:rFonts w:hint="eastAsia" w:cs="Times New Roman"/>
                      <w:color w:val="auto"/>
                      <w:sz w:val="21"/>
                      <w:szCs w:val="21"/>
                      <w:highlight w:val="none"/>
                      <w:lang w:val="en-US" w:eastAsia="zh-CN"/>
                    </w:rPr>
                    <w:t>70</w:t>
                  </w:r>
                  <w:r>
                    <w:rPr>
                      <w:rFonts w:hint="default" w:ascii="Times New Roman" w:hAnsi="Times New Roman" w:cs="Times New Roman"/>
                      <w:color w:val="auto"/>
                      <w:sz w:val="21"/>
                      <w:szCs w:val="21"/>
                      <w:highlight w:val="none"/>
                      <w:lang w:val="en-US" w:eastAsia="zh-CN"/>
                    </w:rPr>
                    <w:t>m</w:t>
                  </w:r>
                  <w:r>
                    <w:rPr>
                      <w:rFonts w:hint="eastAsia" w:cs="Times New Roman"/>
                      <w:color w:val="auto"/>
                      <w:sz w:val="21"/>
                      <w:szCs w:val="21"/>
                      <w:highlight w:val="none"/>
                      <w:vertAlign w:val="superscript"/>
                      <w:lang w:val="en-US" w:eastAsia="zh-CN"/>
                    </w:rPr>
                    <w:t>2</w:t>
                  </w:r>
                  <w:r>
                    <w:rPr>
                      <w:rFonts w:hint="eastAsia" w:cs="Times New Roman"/>
                      <w:color w:val="auto"/>
                      <w:sz w:val="21"/>
                      <w:szCs w:val="21"/>
                      <w:highlight w:val="none"/>
                      <w:vertAlign w:val="baseline"/>
                      <w:lang w:val="en-US" w:eastAsia="zh-CN"/>
                    </w:rPr>
                    <w:t>。</w:t>
                  </w:r>
                </w:p>
              </w:tc>
              <w:tc>
                <w:tcPr>
                  <w:tcW w:w="471" w:type="pct"/>
                  <w:tcBorders>
                    <w:tl2br w:val="nil"/>
                    <w:tr2bl w:val="nil"/>
                  </w:tcBorders>
                  <w:noWrap w:val="0"/>
                  <w:vAlign w:val="center"/>
                </w:tcPr>
                <w:p w14:paraId="14DC20FE">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auto"/>
                      <w:sz w:val="21"/>
                      <w:szCs w:val="21"/>
                      <w:highlight w:val="none"/>
                      <w:lang w:val="en-US" w:eastAsia="zh-CN"/>
                    </w:rPr>
                  </w:pPr>
                </w:p>
              </w:tc>
            </w:tr>
            <w:tr w14:paraId="1B4861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344" w:type="pct"/>
                  <w:vMerge w:val="restart"/>
                  <w:tcBorders>
                    <w:tl2br w:val="nil"/>
                    <w:tr2bl w:val="nil"/>
                  </w:tcBorders>
                  <w:noWrap w:val="0"/>
                  <w:vAlign w:val="center"/>
                </w:tcPr>
                <w:p w14:paraId="139E5CD4">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公用工程</w:t>
                  </w:r>
                </w:p>
              </w:tc>
              <w:tc>
                <w:tcPr>
                  <w:tcW w:w="1277" w:type="pct"/>
                  <w:gridSpan w:val="2"/>
                  <w:tcBorders>
                    <w:tl2br w:val="nil"/>
                    <w:tr2bl w:val="nil"/>
                  </w:tcBorders>
                  <w:noWrap w:val="0"/>
                  <w:vAlign w:val="center"/>
                </w:tcPr>
                <w:p w14:paraId="1CDF74B3">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供电</w:t>
                  </w:r>
                </w:p>
              </w:tc>
              <w:tc>
                <w:tcPr>
                  <w:tcW w:w="2907" w:type="pct"/>
                  <w:gridSpan w:val="2"/>
                  <w:tcBorders>
                    <w:tl2br w:val="nil"/>
                    <w:tr2bl w:val="nil"/>
                  </w:tcBorders>
                  <w:noWrap w:val="0"/>
                  <w:vAlign w:val="center"/>
                </w:tcPr>
                <w:p w14:paraId="6C95E5A3">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lang w:val="en-US"/>
                    </w:rPr>
                  </w:pPr>
                  <w:r>
                    <w:rPr>
                      <w:rFonts w:hint="default" w:ascii="Times New Roman" w:hAnsi="Times New Roman" w:cs="Times New Roman"/>
                      <w:color w:val="auto"/>
                      <w:kern w:val="0"/>
                      <w:sz w:val="21"/>
                      <w:szCs w:val="21"/>
                      <w:highlight w:val="none"/>
                      <w:lang w:val="en-US" w:eastAsia="zh-CN"/>
                    </w:rPr>
                    <w:t>由</w:t>
                  </w:r>
                  <w:r>
                    <w:rPr>
                      <w:rFonts w:hint="eastAsia" w:cs="Times New Roman"/>
                      <w:color w:val="auto"/>
                      <w:kern w:val="0"/>
                      <w:sz w:val="21"/>
                      <w:szCs w:val="21"/>
                      <w:highlight w:val="none"/>
                      <w:lang w:val="en-US" w:eastAsia="zh-CN"/>
                    </w:rPr>
                    <w:t>市政电网</w:t>
                  </w:r>
                  <w:r>
                    <w:rPr>
                      <w:rFonts w:hint="default" w:ascii="Times New Roman" w:hAnsi="Times New Roman" w:cs="Times New Roman"/>
                      <w:color w:val="auto"/>
                      <w:kern w:val="0"/>
                      <w:sz w:val="21"/>
                      <w:szCs w:val="21"/>
                      <w:highlight w:val="none"/>
                      <w:lang w:val="en-US" w:eastAsia="zh-CN"/>
                    </w:rPr>
                    <w:t>供给</w:t>
                  </w:r>
                </w:p>
              </w:tc>
              <w:tc>
                <w:tcPr>
                  <w:tcW w:w="471" w:type="pct"/>
                  <w:tcBorders>
                    <w:tl2br w:val="nil"/>
                    <w:tr2bl w:val="nil"/>
                  </w:tcBorders>
                  <w:noWrap w:val="0"/>
                  <w:vAlign w:val="center"/>
                </w:tcPr>
                <w:p w14:paraId="64FA75F9">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val="en-US" w:eastAsia="zh-CN"/>
                    </w:rPr>
                    <w:t>依托市政管网</w:t>
                  </w:r>
                </w:p>
              </w:tc>
            </w:tr>
            <w:tr w14:paraId="0C5E02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3" w:hRule="atLeast"/>
              </w:trPr>
              <w:tc>
                <w:tcPr>
                  <w:tcW w:w="344" w:type="pct"/>
                  <w:vMerge w:val="continue"/>
                  <w:tcBorders>
                    <w:tl2br w:val="nil"/>
                    <w:tr2bl w:val="nil"/>
                  </w:tcBorders>
                  <w:noWrap w:val="0"/>
                  <w:vAlign w:val="center"/>
                </w:tcPr>
                <w:p w14:paraId="0CB08313">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p>
              </w:tc>
              <w:tc>
                <w:tcPr>
                  <w:tcW w:w="1277" w:type="pct"/>
                  <w:gridSpan w:val="2"/>
                  <w:tcBorders>
                    <w:tl2br w:val="nil"/>
                    <w:tr2bl w:val="nil"/>
                  </w:tcBorders>
                  <w:noWrap w:val="0"/>
                  <w:vAlign w:val="center"/>
                </w:tcPr>
                <w:p w14:paraId="66396661">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供水</w:t>
                  </w:r>
                </w:p>
              </w:tc>
              <w:tc>
                <w:tcPr>
                  <w:tcW w:w="2907" w:type="pct"/>
                  <w:gridSpan w:val="2"/>
                  <w:tcBorders>
                    <w:tl2br w:val="nil"/>
                    <w:tr2bl w:val="nil"/>
                  </w:tcBorders>
                  <w:noWrap w:val="0"/>
                  <w:vAlign w:val="center"/>
                </w:tcPr>
                <w:p w14:paraId="442F50F9">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highlight w:val="none"/>
                      <w:lang w:val="en-US" w:eastAsia="zh-CN"/>
                    </w:rPr>
                    <w:t>由</w:t>
                  </w:r>
                  <w:r>
                    <w:rPr>
                      <w:rFonts w:hint="eastAsia" w:cs="Times New Roman"/>
                      <w:color w:val="auto"/>
                      <w:kern w:val="0"/>
                      <w:sz w:val="21"/>
                      <w:szCs w:val="21"/>
                      <w:highlight w:val="none"/>
                      <w:lang w:val="en-US" w:eastAsia="zh-CN"/>
                    </w:rPr>
                    <w:t>市政供水</w:t>
                  </w:r>
                  <w:r>
                    <w:rPr>
                      <w:rFonts w:hint="default" w:ascii="Times New Roman" w:hAnsi="Times New Roman" w:eastAsia="宋体" w:cs="Times New Roman"/>
                      <w:color w:val="auto"/>
                      <w:kern w:val="0"/>
                      <w:sz w:val="21"/>
                      <w:szCs w:val="21"/>
                      <w:highlight w:val="none"/>
                      <w:lang w:val="en-US" w:eastAsia="zh-CN"/>
                    </w:rPr>
                    <w:t>管网供给</w:t>
                  </w:r>
                </w:p>
              </w:tc>
              <w:tc>
                <w:tcPr>
                  <w:tcW w:w="471" w:type="pct"/>
                  <w:tcBorders>
                    <w:tl2br w:val="nil"/>
                    <w:tr2bl w:val="nil"/>
                  </w:tcBorders>
                  <w:noWrap w:val="0"/>
                  <w:vAlign w:val="center"/>
                </w:tcPr>
                <w:p w14:paraId="1073883B">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依托市政管网</w:t>
                  </w:r>
                </w:p>
              </w:tc>
            </w:tr>
            <w:tr w14:paraId="347A09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344" w:type="pct"/>
                  <w:vMerge w:val="continue"/>
                  <w:tcBorders>
                    <w:tl2br w:val="nil"/>
                    <w:tr2bl w:val="nil"/>
                  </w:tcBorders>
                  <w:noWrap w:val="0"/>
                  <w:vAlign w:val="center"/>
                </w:tcPr>
                <w:p w14:paraId="6CFBFD85">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p>
              </w:tc>
              <w:tc>
                <w:tcPr>
                  <w:tcW w:w="1277" w:type="pct"/>
                  <w:gridSpan w:val="2"/>
                  <w:tcBorders>
                    <w:tl2br w:val="nil"/>
                    <w:tr2bl w:val="nil"/>
                  </w:tcBorders>
                  <w:noWrap w:val="0"/>
                  <w:vAlign w:val="center"/>
                </w:tcPr>
                <w:p w14:paraId="710B79D0">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排水系统</w:t>
                  </w:r>
                </w:p>
              </w:tc>
              <w:tc>
                <w:tcPr>
                  <w:tcW w:w="2907" w:type="pct"/>
                  <w:gridSpan w:val="2"/>
                  <w:tcBorders>
                    <w:tl2br w:val="nil"/>
                    <w:tr2bl w:val="nil"/>
                  </w:tcBorders>
                  <w:noWrap w:val="0"/>
                  <w:vAlign w:val="center"/>
                </w:tcPr>
                <w:p w14:paraId="151D5B83">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ascii="Times New Roman" w:hAnsi="Times New Roman" w:eastAsia="宋体" w:cs="Times New Roman"/>
                      <w:color w:val="auto"/>
                      <w:kern w:val="0"/>
                      <w:sz w:val="21"/>
                      <w:szCs w:val="21"/>
                      <w:highlight w:val="none"/>
                      <w:lang w:val="en-US" w:eastAsia="zh-CN"/>
                    </w:rPr>
                  </w:pPr>
                  <w:r>
                    <w:rPr>
                      <w:rFonts w:hint="default"/>
                      <w:color w:val="auto"/>
                      <w:sz w:val="21"/>
                      <w:szCs w:val="21"/>
                    </w:rPr>
                    <w:t>雨污分流</w:t>
                  </w:r>
                  <w:r>
                    <w:rPr>
                      <w:rFonts w:hint="eastAsia"/>
                      <w:color w:val="auto"/>
                      <w:sz w:val="21"/>
                      <w:szCs w:val="21"/>
                      <w:lang w:eastAsia="zh-CN"/>
                    </w:rPr>
                    <w:t>。</w:t>
                  </w:r>
                  <w:r>
                    <w:rPr>
                      <w:rFonts w:hint="eastAsia"/>
                      <w:color w:val="auto"/>
                      <w:sz w:val="21"/>
                      <w:szCs w:val="21"/>
                      <w:lang w:val="en-US" w:eastAsia="zh-CN"/>
                    </w:rPr>
                    <w:t>初期</w:t>
                  </w:r>
                  <w:r>
                    <w:rPr>
                      <w:rFonts w:hint="default"/>
                      <w:bCs/>
                      <w:color w:val="auto"/>
                      <w:sz w:val="21"/>
                      <w:szCs w:val="21"/>
                    </w:rPr>
                    <w:t>雨水</w:t>
                  </w:r>
                  <w:r>
                    <w:rPr>
                      <w:rFonts w:hint="eastAsia"/>
                      <w:bCs/>
                      <w:color w:val="auto"/>
                      <w:sz w:val="21"/>
                      <w:szCs w:val="21"/>
                    </w:rPr>
                    <w:t>经</w:t>
                  </w:r>
                  <w:r>
                    <w:rPr>
                      <w:rFonts w:hint="eastAsia"/>
                      <w:bCs/>
                      <w:color w:val="auto"/>
                      <w:sz w:val="21"/>
                      <w:szCs w:val="21"/>
                      <w:lang w:val="en-US" w:eastAsia="zh-CN"/>
                    </w:rPr>
                    <w:t>一座面积为20m</w:t>
                  </w:r>
                  <w:r>
                    <w:rPr>
                      <w:rFonts w:hint="eastAsia"/>
                      <w:bCs/>
                      <w:color w:val="auto"/>
                      <w:sz w:val="21"/>
                      <w:szCs w:val="21"/>
                      <w:vertAlign w:val="superscript"/>
                      <w:lang w:val="en-US" w:eastAsia="zh-CN"/>
                    </w:rPr>
                    <w:t>2</w:t>
                  </w:r>
                  <w:r>
                    <w:rPr>
                      <w:rFonts w:hint="eastAsia"/>
                      <w:bCs/>
                      <w:color w:val="auto"/>
                      <w:sz w:val="21"/>
                      <w:szCs w:val="21"/>
                      <w:vertAlign w:val="baseline"/>
                      <w:lang w:val="en-US" w:eastAsia="zh-CN"/>
                    </w:rPr>
                    <w:t>、容积为60m</w:t>
                  </w:r>
                  <w:r>
                    <w:rPr>
                      <w:rFonts w:hint="eastAsia"/>
                      <w:bCs/>
                      <w:color w:val="auto"/>
                      <w:sz w:val="21"/>
                      <w:szCs w:val="21"/>
                      <w:vertAlign w:val="superscript"/>
                      <w:lang w:val="en-US" w:eastAsia="zh-CN"/>
                    </w:rPr>
                    <w:t>3</w:t>
                  </w:r>
                  <w:r>
                    <w:rPr>
                      <w:rFonts w:hint="eastAsia"/>
                      <w:bCs/>
                      <w:color w:val="auto"/>
                      <w:sz w:val="21"/>
                      <w:szCs w:val="21"/>
                      <w:vertAlign w:val="baseline"/>
                      <w:lang w:val="en-US" w:eastAsia="zh-CN"/>
                    </w:rPr>
                    <w:t>初期雨水收集池沉淀后经</w:t>
                  </w:r>
                  <w:r>
                    <w:rPr>
                      <w:rFonts w:hint="eastAsia"/>
                      <w:bCs/>
                      <w:color w:val="auto"/>
                      <w:sz w:val="21"/>
                      <w:szCs w:val="21"/>
                      <w:lang w:val="en-US" w:eastAsia="zh-CN"/>
                    </w:rPr>
                    <w:t>雨水管道</w:t>
                  </w:r>
                  <w:r>
                    <w:rPr>
                      <w:rFonts w:hint="eastAsia"/>
                      <w:bCs/>
                      <w:color w:val="auto"/>
                      <w:sz w:val="21"/>
                      <w:szCs w:val="21"/>
                    </w:rPr>
                    <w:t>排</w:t>
                  </w:r>
                  <w:r>
                    <w:rPr>
                      <w:rFonts w:hint="default"/>
                      <w:bCs/>
                      <w:color w:val="auto"/>
                      <w:sz w:val="21"/>
                      <w:szCs w:val="21"/>
                    </w:rPr>
                    <w:t>入</w:t>
                  </w:r>
                  <w:r>
                    <w:rPr>
                      <w:rFonts w:hint="eastAsia"/>
                      <w:bCs/>
                      <w:color w:val="auto"/>
                      <w:sz w:val="21"/>
                      <w:szCs w:val="21"/>
                      <w:lang w:val="en-US" w:eastAsia="zh-CN"/>
                    </w:rPr>
                    <w:t>周边林地</w:t>
                  </w:r>
                  <w:r>
                    <w:rPr>
                      <w:rFonts w:hint="eastAsia"/>
                      <w:bCs/>
                      <w:color w:val="auto"/>
                      <w:sz w:val="21"/>
                      <w:szCs w:val="21"/>
                      <w:lang w:eastAsia="zh-CN"/>
                    </w:rPr>
                    <w:t>；</w:t>
                  </w:r>
                  <w:r>
                    <w:rPr>
                      <w:rFonts w:hint="eastAsia"/>
                      <w:bCs/>
                      <w:color w:val="auto"/>
                      <w:sz w:val="21"/>
                      <w:szCs w:val="21"/>
                      <w:lang w:val="en-US" w:eastAsia="zh-CN"/>
                    </w:rPr>
                    <w:t>污水经处理达标后</w:t>
                  </w:r>
                  <w:r>
                    <w:rPr>
                      <w:rFonts w:hint="eastAsia"/>
                      <w:color w:val="auto"/>
                      <w:sz w:val="21"/>
                      <w:szCs w:val="21"/>
                    </w:rPr>
                    <w:t>用于周边</w:t>
                  </w:r>
                  <w:r>
                    <w:rPr>
                      <w:rFonts w:hint="eastAsia"/>
                      <w:color w:val="auto"/>
                      <w:sz w:val="21"/>
                      <w:szCs w:val="21"/>
                      <w:lang w:val="en-US" w:eastAsia="zh-CN"/>
                    </w:rPr>
                    <w:t>林地施肥</w:t>
                  </w:r>
                  <w:r>
                    <w:rPr>
                      <w:rFonts w:hint="eastAsia"/>
                      <w:color w:val="auto"/>
                      <w:sz w:val="21"/>
                      <w:szCs w:val="21"/>
                    </w:rPr>
                    <w:t>，不外排</w:t>
                  </w:r>
                  <w:r>
                    <w:rPr>
                      <w:rFonts w:hint="eastAsia"/>
                      <w:bCs/>
                      <w:color w:val="auto"/>
                      <w:sz w:val="21"/>
                      <w:szCs w:val="21"/>
                      <w:lang w:val="en-US" w:eastAsia="zh-CN"/>
                    </w:rPr>
                    <w:t>。</w:t>
                  </w:r>
                </w:p>
              </w:tc>
              <w:tc>
                <w:tcPr>
                  <w:tcW w:w="471" w:type="pct"/>
                  <w:tcBorders>
                    <w:tl2br w:val="nil"/>
                    <w:tr2bl w:val="nil"/>
                  </w:tcBorders>
                  <w:noWrap w:val="0"/>
                  <w:vAlign w:val="center"/>
                </w:tcPr>
                <w:p w14:paraId="77033AE7">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新建</w:t>
                  </w:r>
                </w:p>
              </w:tc>
            </w:tr>
            <w:tr w14:paraId="009ED3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44" w:type="pct"/>
                  <w:vMerge w:val="restart"/>
                  <w:tcBorders>
                    <w:tl2br w:val="nil"/>
                    <w:tr2bl w:val="nil"/>
                  </w:tcBorders>
                  <w:noWrap w:val="0"/>
                  <w:vAlign w:val="center"/>
                </w:tcPr>
                <w:p w14:paraId="597440D6">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环保工程</w:t>
                  </w:r>
                </w:p>
              </w:tc>
              <w:tc>
                <w:tcPr>
                  <w:tcW w:w="377" w:type="pct"/>
                  <w:vMerge w:val="restart"/>
                  <w:tcBorders>
                    <w:tl2br w:val="nil"/>
                    <w:tr2bl w:val="nil"/>
                  </w:tcBorders>
                  <w:noWrap w:val="0"/>
                  <w:vAlign w:val="center"/>
                </w:tcPr>
                <w:p w14:paraId="15C00EB9">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废气</w:t>
                  </w:r>
                </w:p>
              </w:tc>
              <w:tc>
                <w:tcPr>
                  <w:tcW w:w="899" w:type="pct"/>
                  <w:tcBorders>
                    <w:tl2br w:val="nil"/>
                    <w:tr2bl w:val="nil"/>
                  </w:tcBorders>
                  <w:noWrap w:val="0"/>
                  <w:vAlign w:val="center"/>
                </w:tcPr>
                <w:p w14:paraId="33B95581">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有组织</w:t>
                  </w:r>
                </w:p>
              </w:tc>
              <w:tc>
                <w:tcPr>
                  <w:tcW w:w="2907" w:type="pct"/>
                  <w:gridSpan w:val="2"/>
                  <w:tcBorders>
                    <w:tl2br w:val="nil"/>
                    <w:tr2bl w:val="nil"/>
                  </w:tcBorders>
                  <w:noWrap w:val="0"/>
                  <w:vAlign w:val="center"/>
                </w:tcPr>
                <w:p w14:paraId="6B9BB636">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ascii="Times New Roman" w:hAnsi="Times New Roman" w:eastAsia="宋体" w:cs="Times New Roman"/>
                      <w:bCs/>
                      <w:color w:val="auto"/>
                      <w:sz w:val="21"/>
                      <w:szCs w:val="21"/>
                      <w:highlight w:val="none"/>
                      <w:vertAlign w:val="baseline"/>
                      <w:lang w:val="en-US" w:eastAsia="zh-CN"/>
                    </w:rPr>
                  </w:pPr>
                  <w:r>
                    <w:rPr>
                      <w:rFonts w:hint="eastAsia" w:cs="Times New Roman"/>
                      <w:bCs/>
                      <w:color w:val="auto"/>
                      <w:sz w:val="21"/>
                      <w:szCs w:val="21"/>
                      <w:highlight w:val="none"/>
                      <w:vertAlign w:val="baseline"/>
                      <w:lang w:val="en-US" w:eastAsia="zh-CN"/>
                    </w:rPr>
                    <w:t>调墨、印刷废气经密闭负压收集后再经一套“二级活性炭吸附”装置处理达标后通过15m高排气筒DA001排放。</w:t>
                  </w:r>
                </w:p>
              </w:tc>
              <w:tc>
                <w:tcPr>
                  <w:tcW w:w="471" w:type="pct"/>
                  <w:tcBorders>
                    <w:tl2br w:val="nil"/>
                    <w:tr2bl w:val="nil"/>
                  </w:tcBorders>
                  <w:noWrap w:val="0"/>
                  <w:vAlign w:val="center"/>
                </w:tcPr>
                <w:p w14:paraId="2463B085">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新建</w:t>
                  </w:r>
                </w:p>
              </w:tc>
            </w:tr>
            <w:tr w14:paraId="2EC256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2" w:hRule="atLeast"/>
              </w:trPr>
              <w:tc>
                <w:tcPr>
                  <w:tcW w:w="344" w:type="pct"/>
                  <w:vMerge w:val="continue"/>
                  <w:tcBorders>
                    <w:tl2br w:val="nil"/>
                    <w:tr2bl w:val="nil"/>
                  </w:tcBorders>
                  <w:noWrap w:val="0"/>
                  <w:vAlign w:val="center"/>
                </w:tcPr>
                <w:p w14:paraId="53103B83">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lang w:eastAsia="zh-CN"/>
                    </w:rPr>
                  </w:pPr>
                </w:p>
              </w:tc>
              <w:tc>
                <w:tcPr>
                  <w:tcW w:w="377" w:type="pct"/>
                  <w:vMerge w:val="continue"/>
                  <w:tcBorders>
                    <w:tl2br w:val="nil"/>
                    <w:tr2bl w:val="nil"/>
                  </w:tcBorders>
                  <w:noWrap w:val="0"/>
                  <w:vAlign w:val="center"/>
                </w:tcPr>
                <w:p w14:paraId="41D3090C">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highlight w:val="none"/>
                    </w:rPr>
                  </w:pPr>
                </w:p>
              </w:tc>
              <w:tc>
                <w:tcPr>
                  <w:tcW w:w="899" w:type="pct"/>
                  <w:tcBorders>
                    <w:tl2br w:val="nil"/>
                    <w:tr2bl w:val="nil"/>
                  </w:tcBorders>
                  <w:noWrap w:val="0"/>
                  <w:vAlign w:val="center"/>
                </w:tcPr>
                <w:p w14:paraId="45EF3618">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无组织</w:t>
                  </w:r>
                </w:p>
              </w:tc>
              <w:tc>
                <w:tcPr>
                  <w:tcW w:w="2907" w:type="pct"/>
                  <w:gridSpan w:val="2"/>
                  <w:tcBorders>
                    <w:tl2br w:val="nil"/>
                    <w:tr2bl w:val="nil"/>
                  </w:tcBorders>
                  <w:noWrap w:val="0"/>
                  <w:vAlign w:val="center"/>
                </w:tcPr>
                <w:p w14:paraId="4E358D7B">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车间通风</w:t>
                  </w:r>
                </w:p>
              </w:tc>
              <w:tc>
                <w:tcPr>
                  <w:tcW w:w="471" w:type="pct"/>
                  <w:tcBorders>
                    <w:tl2br w:val="nil"/>
                    <w:tr2bl w:val="nil"/>
                  </w:tcBorders>
                  <w:noWrap w:val="0"/>
                  <w:vAlign w:val="center"/>
                </w:tcPr>
                <w:p w14:paraId="4083535A">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新建</w:t>
                  </w:r>
                </w:p>
              </w:tc>
            </w:tr>
            <w:tr w14:paraId="13B154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6" w:hRule="atLeast"/>
              </w:trPr>
              <w:tc>
                <w:tcPr>
                  <w:tcW w:w="344" w:type="pct"/>
                  <w:vMerge w:val="continue"/>
                  <w:tcBorders>
                    <w:tl2br w:val="nil"/>
                    <w:tr2bl w:val="nil"/>
                  </w:tcBorders>
                  <w:noWrap w:val="0"/>
                  <w:vAlign w:val="center"/>
                </w:tcPr>
                <w:p w14:paraId="21DA288D">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lang w:eastAsia="zh-CN"/>
                    </w:rPr>
                  </w:pPr>
                </w:p>
              </w:tc>
              <w:tc>
                <w:tcPr>
                  <w:tcW w:w="1277" w:type="pct"/>
                  <w:gridSpan w:val="2"/>
                  <w:tcBorders>
                    <w:tl2br w:val="nil"/>
                    <w:tr2bl w:val="nil"/>
                  </w:tcBorders>
                  <w:noWrap w:val="0"/>
                  <w:vAlign w:val="center"/>
                </w:tcPr>
                <w:p w14:paraId="0E10944A">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废水</w:t>
                  </w:r>
                </w:p>
              </w:tc>
              <w:tc>
                <w:tcPr>
                  <w:tcW w:w="2907" w:type="pct"/>
                  <w:gridSpan w:val="2"/>
                  <w:tcBorders>
                    <w:tl2br w:val="nil"/>
                    <w:tr2bl w:val="nil"/>
                  </w:tcBorders>
                  <w:noWrap w:val="0"/>
                  <w:vAlign w:val="center"/>
                </w:tcPr>
                <w:p w14:paraId="56ECB9F8">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eastAsia" w:eastAsia="宋体" w:cs="Times New Roman"/>
                      <w:color w:val="auto"/>
                      <w:sz w:val="21"/>
                      <w:szCs w:val="21"/>
                      <w:vertAlign w:val="baseline"/>
                      <w:lang w:val="en-US" w:eastAsia="zh-CN" w:bidi="ar"/>
                    </w:rPr>
                  </w:pPr>
                  <w:r>
                    <w:rPr>
                      <w:rFonts w:hint="eastAsia"/>
                      <w:color w:val="auto"/>
                      <w:sz w:val="21"/>
                      <w:szCs w:val="21"/>
                      <w:lang w:bidi="ar"/>
                    </w:rPr>
                    <w:t>生活污水</w:t>
                  </w:r>
                  <w:r>
                    <w:rPr>
                      <w:rFonts w:hint="eastAsia"/>
                      <w:color w:val="auto"/>
                      <w:sz w:val="21"/>
                      <w:szCs w:val="21"/>
                      <w:lang w:val="en-US" w:eastAsia="zh-CN" w:bidi="ar"/>
                    </w:rPr>
                    <w:t>经一座10m</w:t>
                  </w:r>
                  <w:r>
                    <w:rPr>
                      <w:rFonts w:hint="eastAsia"/>
                      <w:color w:val="auto"/>
                      <w:sz w:val="21"/>
                      <w:szCs w:val="21"/>
                      <w:vertAlign w:val="superscript"/>
                      <w:lang w:val="en-US" w:eastAsia="zh-CN" w:bidi="ar"/>
                    </w:rPr>
                    <w:t>2</w:t>
                  </w:r>
                  <w:r>
                    <w:rPr>
                      <w:rFonts w:hint="eastAsia"/>
                      <w:color w:val="auto"/>
                      <w:sz w:val="21"/>
                      <w:szCs w:val="21"/>
                      <w:lang w:val="en-US" w:eastAsia="zh-CN" w:bidi="ar"/>
                    </w:rPr>
                    <w:t>、30m</w:t>
                  </w:r>
                  <w:r>
                    <w:rPr>
                      <w:rFonts w:hint="eastAsia"/>
                      <w:color w:val="auto"/>
                      <w:sz w:val="21"/>
                      <w:szCs w:val="21"/>
                      <w:vertAlign w:val="superscript"/>
                      <w:lang w:val="en-US" w:eastAsia="zh-CN" w:bidi="ar"/>
                    </w:rPr>
                    <w:t>3</w:t>
                  </w:r>
                  <w:r>
                    <w:rPr>
                      <w:rFonts w:hint="eastAsia"/>
                      <w:color w:val="auto"/>
                      <w:sz w:val="21"/>
                      <w:szCs w:val="21"/>
                      <w:lang w:val="en-US" w:eastAsia="zh-CN" w:bidi="ar"/>
                    </w:rPr>
                    <w:t>的化粪池预处理后</w:t>
                  </w:r>
                  <w:r>
                    <w:rPr>
                      <w:rFonts w:hint="eastAsia"/>
                      <w:color w:val="auto"/>
                      <w:sz w:val="21"/>
                      <w:szCs w:val="21"/>
                    </w:rPr>
                    <w:t>用于周边</w:t>
                  </w:r>
                  <w:r>
                    <w:rPr>
                      <w:rFonts w:hint="eastAsia"/>
                      <w:color w:val="auto"/>
                      <w:sz w:val="21"/>
                      <w:szCs w:val="21"/>
                      <w:lang w:val="en-US" w:eastAsia="zh-CN"/>
                    </w:rPr>
                    <w:t>林地施肥</w:t>
                  </w:r>
                  <w:r>
                    <w:rPr>
                      <w:rFonts w:hint="eastAsia"/>
                      <w:color w:val="auto"/>
                      <w:sz w:val="21"/>
                      <w:szCs w:val="21"/>
                    </w:rPr>
                    <w:t>，不外排</w:t>
                  </w:r>
                  <w:r>
                    <w:rPr>
                      <w:rFonts w:hint="eastAsia"/>
                      <w:color w:val="auto"/>
                      <w:sz w:val="21"/>
                      <w:szCs w:val="21"/>
                      <w:lang w:eastAsia="zh-CN"/>
                    </w:rPr>
                    <w:t>。</w:t>
                  </w:r>
                </w:p>
              </w:tc>
              <w:tc>
                <w:tcPr>
                  <w:tcW w:w="471" w:type="pct"/>
                  <w:tcBorders>
                    <w:tl2br w:val="nil"/>
                    <w:tr2bl w:val="nil"/>
                  </w:tcBorders>
                  <w:noWrap w:val="0"/>
                  <w:vAlign w:val="center"/>
                </w:tcPr>
                <w:p w14:paraId="0F127D2D">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新建</w:t>
                  </w:r>
                </w:p>
              </w:tc>
            </w:tr>
            <w:tr w14:paraId="49DB01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344" w:type="pct"/>
                  <w:vMerge w:val="continue"/>
                  <w:tcBorders>
                    <w:tl2br w:val="nil"/>
                    <w:tr2bl w:val="nil"/>
                  </w:tcBorders>
                  <w:noWrap w:val="0"/>
                  <w:vAlign w:val="center"/>
                </w:tcPr>
                <w:p w14:paraId="38AA8CF0">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p>
              </w:tc>
              <w:tc>
                <w:tcPr>
                  <w:tcW w:w="1277" w:type="pct"/>
                  <w:gridSpan w:val="2"/>
                  <w:tcBorders>
                    <w:tl2br w:val="nil"/>
                    <w:tr2bl w:val="nil"/>
                  </w:tcBorders>
                  <w:noWrap w:val="0"/>
                  <w:vAlign w:val="center"/>
                </w:tcPr>
                <w:p w14:paraId="48F7C9A9">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2907" w:type="pct"/>
                  <w:gridSpan w:val="2"/>
                  <w:tcBorders>
                    <w:tl2br w:val="nil"/>
                    <w:tr2bl w:val="nil"/>
                  </w:tcBorders>
                  <w:noWrap w:val="0"/>
                  <w:vAlign w:val="center"/>
                </w:tcPr>
                <w:p w14:paraId="2103DEEB">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left"/>
                    <w:textAlignment w:val="baseline"/>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厂房隔音、设备减震垫等</w:t>
                  </w:r>
                  <w:r>
                    <w:rPr>
                      <w:rFonts w:hint="eastAsia" w:cs="Times New Roman"/>
                      <w:color w:val="auto"/>
                      <w:sz w:val="21"/>
                      <w:szCs w:val="21"/>
                      <w:lang w:eastAsia="zh-CN"/>
                    </w:rPr>
                    <w:t>。</w:t>
                  </w:r>
                </w:p>
              </w:tc>
              <w:tc>
                <w:tcPr>
                  <w:tcW w:w="471" w:type="pct"/>
                  <w:tcBorders>
                    <w:tl2br w:val="nil"/>
                    <w:tr2bl w:val="nil"/>
                  </w:tcBorders>
                  <w:noWrap w:val="0"/>
                  <w:vAlign w:val="center"/>
                </w:tcPr>
                <w:p w14:paraId="4807D188">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新建</w:t>
                  </w:r>
                </w:p>
              </w:tc>
            </w:tr>
            <w:tr w14:paraId="4CC93A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3" w:hRule="atLeast"/>
              </w:trPr>
              <w:tc>
                <w:tcPr>
                  <w:tcW w:w="344" w:type="pct"/>
                  <w:vMerge w:val="continue"/>
                  <w:tcBorders>
                    <w:tl2br w:val="nil"/>
                    <w:tr2bl w:val="nil"/>
                  </w:tcBorders>
                  <w:noWrap w:val="0"/>
                  <w:vAlign w:val="center"/>
                </w:tcPr>
                <w:p w14:paraId="5C24575B">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p>
              </w:tc>
              <w:tc>
                <w:tcPr>
                  <w:tcW w:w="1277" w:type="pct"/>
                  <w:gridSpan w:val="2"/>
                  <w:vMerge w:val="restart"/>
                  <w:tcBorders>
                    <w:tl2br w:val="nil"/>
                    <w:tr2bl w:val="nil"/>
                  </w:tcBorders>
                  <w:noWrap w:val="0"/>
                  <w:vAlign w:val="center"/>
                </w:tcPr>
                <w:p w14:paraId="6B7AE05C">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固体</w:t>
                  </w:r>
                </w:p>
                <w:p w14:paraId="0868889A">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废物</w:t>
                  </w:r>
                </w:p>
              </w:tc>
              <w:tc>
                <w:tcPr>
                  <w:tcW w:w="906" w:type="pct"/>
                  <w:tcBorders>
                    <w:tl2br w:val="nil"/>
                    <w:tr2bl w:val="nil"/>
                  </w:tcBorders>
                  <w:noWrap w:val="0"/>
                  <w:vAlign w:val="center"/>
                </w:tcPr>
                <w:p w14:paraId="0FF86EA0">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一般固废</w:t>
                  </w:r>
                  <w:r>
                    <w:rPr>
                      <w:rFonts w:hint="default" w:ascii="Times New Roman" w:hAnsi="Times New Roman" w:cs="Times New Roman"/>
                      <w:color w:val="auto"/>
                      <w:sz w:val="21"/>
                      <w:szCs w:val="21"/>
                      <w:lang w:val="en-US" w:eastAsia="zh-CN"/>
                    </w:rPr>
                    <w:t>暂存</w:t>
                  </w:r>
                  <w:r>
                    <w:rPr>
                      <w:rFonts w:hint="eastAsia" w:cs="Times New Roman"/>
                      <w:color w:val="auto"/>
                      <w:sz w:val="21"/>
                      <w:szCs w:val="21"/>
                      <w:lang w:val="en-US" w:eastAsia="zh-CN"/>
                    </w:rPr>
                    <w:t>间</w:t>
                  </w:r>
                </w:p>
              </w:tc>
              <w:tc>
                <w:tcPr>
                  <w:tcW w:w="2000" w:type="pct"/>
                  <w:tcBorders>
                    <w:tl2br w:val="nil"/>
                    <w:tr2bl w:val="nil"/>
                  </w:tcBorders>
                  <w:noWrap w:val="0"/>
                  <w:vAlign w:val="center"/>
                </w:tcPr>
                <w:p w14:paraId="1CBA9782">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left"/>
                    <w:textAlignment w:val="baseline"/>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位于物料缓冲间内，面积为20m</w:t>
                  </w:r>
                  <w:r>
                    <w:rPr>
                      <w:rFonts w:hint="eastAsia" w:cs="Times New Roman"/>
                      <w:color w:val="auto"/>
                      <w:sz w:val="21"/>
                      <w:szCs w:val="21"/>
                      <w:vertAlign w:val="superscript"/>
                      <w:lang w:val="en-US" w:eastAsia="zh-CN"/>
                    </w:rPr>
                    <w:t>2</w:t>
                  </w:r>
                  <w:r>
                    <w:rPr>
                      <w:rFonts w:hint="eastAsia" w:cs="Times New Roman"/>
                      <w:color w:val="auto"/>
                      <w:sz w:val="21"/>
                      <w:szCs w:val="21"/>
                      <w:vertAlign w:val="baseline"/>
                      <w:lang w:val="en-US" w:eastAsia="zh-CN"/>
                    </w:rPr>
                    <w:t>。</w:t>
                  </w:r>
                </w:p>
              </w:tc>
              <w:tc>
                <w:tcPr>
                  <w:tcW w:w="471" w:type="pct"/>
                  <w:tcBorders>
                    <w:tl2br w:val="nil"/>
                    <w:tr2bl w:val="nil"/>
                  </w:tcBorders>
                  <w:noWrap w:val="0"/>
                  <w:vAlign w:val="center"/>
                </w:tcPr>
                <w:p w14:paraId="1289F7E5">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新建</w:t>
                  </w:r>
                </w:p>
              </w:tc>
            </w:tr>
            <w:tr w14:paraId="6C6970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3" w:hRule="atLeast"/>
              </w:trPr>
              <w:tc>
                <w:tcPr>
                  <w:tcW w:w="344" w:type="pct"/>
                  <w:vMerge w:val="continue"/>
                  <w:tcBorders>
                    <w:tl2br w:val="nil"/>
                    <w:tr2bl w:val="nil"/>
                  </w:tcBorders>
                  <w:noWrap w:val="0"/>
                  <w:vAlign w:val="center"/>
                </w:tcPr>
                <w:p w14:paraId="64A3C2FA">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p>
              </w:tc>
              <w:tc>
                <w:tcPr>
                  <w:tcW w:w="1277" w:type="pct"/>
                  <w:gridSpan w:val="2"/>
                  <w:vMerge w:val="continue"/>
                  <w:tcBorders>
                    <w:tl2br w:val="nil"/>
                    <w:tr2bl w:val="nil"/>
                  </w:tcBorders>
                  <w:noWrap w:val="0"/>
                  <w:vAlign w:val="center"/>
                </w:tcPr>
                <w:p w14:paraId="56721680">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p>
              </w:tc>
              <w:tc>
                <w:tcPr>
                  <w:tcW w:w="906" w:type="pct"/>
                  <w:tcBorders>
                    <w:tl2br w:val="nil"/>
                    <w:tr2bl w:val="nil"/>
                  </w:tcBorders>
                  <w:noWrap w:val="0"/>
                  <w:vAlign w:val="center"/>
                </w:tcPr>
                <w:p w14:paraId="00B671DC">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危险废物暂存间</w:t>
                  </w:r>
                </w:p>
              </w:tc>
              <w:tc>
                <w:tcPr>
                  <w:tcW w:w="2000" w:type="pct"/>
                  <w:tcBorders>
                    <w:tl2br w:val="nil"/>
                    <w:tr2bl w:val="nil"/>
                  </w:tcBorders>
                  <w:noWrap w:val="0"/>
                  <w:vAlign w:val="center"/>
                </w:tcPr>
                <w:p w14:paraId="37E9D300">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left"/>
                    <w:textAlignment w:val="baseline"/>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位于油墨车间内，独立密闭空间，面积为15m</w:t>
                  </w:r>
                  <w:r>
                    <w:rPr>
                      <w:rFonts w:hint="eastAsia" w:cs="Times New Roman"/>
                      <w:color w:val="auto"/>
                      <w:sz w:val="21"/>
                      <w:szCs w:val="21"/>
                      <w:vertAlign w:val="superscript"/>
                      <w:lang w:val="en-US" w:eastAsia="zh-CN"/>
                    </w:rPr>
                    <w:t>2</w:t>
                  </w:r>
                  <w:r>
                    <w:rPr>
                      <w:rFonts w:hint="eastAsia" w:cs="Times New Roman"/>
                      <w:color w:val="auto"/>
                      <w:sz w:val="21"/>
                      <w:szCs w:val="21"/>
                      <w:vertAlign w:val="baseline"/>
                      <w:lang w:val="en-US" w:eastAsia="zh-CN"/>
                    </w:rPr>
                    <w:t>。</w:t>
                  </w:r>
                </w:p>
              </w:tc>
              <w:tc>
                <w:tcPr>
                  <w:tcW w:w="471" w:type="pct"/>
                  <w:tcBorders>
                    <w:tl2br w:val="nil"/>
                    <w:tr2bl w:val="nil"/>
                  </w:tcBorders>
                  <w:noWrap w:val="0"/>
                  <w:vAlign w:val="center"/>
                </w:tcPr>
                <w:p w14:paraId="6A233A87">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新建</w:t>
                  </w:r>
                </w:p>
              </w:tc>
            </w:tr>
            <w:tr w14:paraId="7BC7D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344" w:type="pct"/>
                  <w:vMerge w:val="continue"/>
                  <w:tcBorders>
                    <w:tl2br w:val="nil"/>
                    <w:tr2bl w:val="nil"/>
                  </w:tcBorders>
                  <w:noWrap w:val="0"/>
                  <w:vAlign w:val="center"/>
                </w:tcPr>
                <w:p w14:paraId="34FA513F">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p>
              </w:tc>
              <w:tc>
                <w:tcPr>
                  <w:tcW w:w="1277" w:type="pct"/>
                  <w:gridSpan w:val="2"/>
                  <w:vMerge w:val="continue"/>
                  <w:tcBorders>
                    <w:tl2br w:val="nil"/>
                    <w:tr2bl w:val="nil"/>
                  </w:tcBorders>
                  <w:noWrap w:val="0"/>
                  <w:vAlign w:val="center"/>
                </w:tcPr>
                <w:p w14:paraId="666B945B">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p>
              </w:tc>
              <w:tc>
                <w:tcPr>
                  <w:tcW w:w="906" w:type="pct"/>
                  <w:tcBorders>
                    <w:tl2br w:val="nil"/>
                    <w:tr2bl w:val="nil"/>
                  </w:tcBorders>
                  <w:noWrap w:val="0"/>
                  <w:vAlign w:val="center"/>
                </w:tcPr>
                <w:p w14:paraId="4019BEEC">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生活垃圾</w:t>
                  </w:r>
                </w:p>
              </w:tc>
              <w:tc>
                <w:tcPr>
                  <w:tcW w:w="2000" w:type="pct"/>
                  <w:tcBorders>
                    <w:tl2br w:val="nil"/>
                    <w:tr2bl w:val="nil"/>
                  </w:tcBorders>
                  <w:noWrap w:val="0"/>
                  <w:vAlign w:val="center"/>
                </w:tcPr>
                <w:p w14:paraId="1BCB24BA">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垃圾桶</w:t>
                  </w:r>
                </w:p>
              </w:tc>
              <w:tc>
                <w:tcPr>
                  <w:tcW w:w="471" w:type="pct"/>
                  <w:tcBorders>
                    <w:tl2br w:val="nil"/>
                    <w:tr2bl w:val="nil"/>
                  </w:tcBorders>
                  <w:noWrap w:val="0"/>
                  <w:vAlign w:val="center"/>
                </w:tcPr>
                <w:p w14:paraId="7A804EF3">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新建</w:t>
                  </w:r>
                </w:p>
              </w:tc>
            </w:tr>
          </w:tbl>
          <w:p w14:paraId="17FEFBE1">
            <w:pPr>
              <w:adjustRightInd w:val="0"/>
              <w:snapToGrid w:val="0"/>
              <w:spacing w:line="360" w:lineRule="auto"/>
              <w:ind w:firstLine="482" w:firstLineChars="200"/>
              <w:rPr>
                <w:b/>
                <w:bCs/>
                <w:color w:val="auto"/>
                <w:kern w:val="0"/>
                <w:sz w:val="24"/>
              </w:rPr>
            </w:pPr>
            <w:r>
              <w:rPr>
                <w:rFonts w:hint="eastAsia"/>
                <w:b/>
                <w:bCs/>
                <w:color w:val="auto"/>
                <w:kern w:val="0"/>
                <w:sz w:val="24"/>
              </w:rPr>
              <w:t>三、项目主要产品及产能</w:t>
            </w:r>
          </w:p>
          <w:p w14:paraId="369803B9">
            <w:pPr>
              <w:pStyle w:val="7"/>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rPr>
                <w:rFonts w:hint="default"/>
                <w:b w:val="0"/>
                <w:bCs w:val="0"/>
                <w:color w:val="auto"/>
                <w:kern w:val="2"/>
                <w:szCs w:val="24"/>
                <w:lang w:val="en-US" w:eastAsia="zh-CN"/>
              </w:rPr>
            </w:pPr>
            <w:r>
              <w:rPr>
                <w:rFonts w:hint="eastAsia"/>
                <w:b w:val="0"/>
                <w:bCs w:val="0"/>
                <w:color w:val="auto"/>
                <w:kern w:val="2"/>
                <w:sz w:val="24"/>
                <w:szCs w:val="24"/>
                <w:lang w:val="en-US" w:eastAsia="zh-CN"/>
              </w:rPr>
              <w:t>项目产品为经过印刷、分切加工后的</w:t>
            </w:r>
            <w:r>
              <w:rPr>
                <w:rFonts w:hint="eastAsia"/>
                <w:color w:val="auto"/>
                <w:sz w:val="24"/>
                <w:highlight w:val="none"/>
                <w:lang w:val="en-US" w:eastAsia="zh-CN"/>
              </w:rPr>
              <w:t>热封膜</w:t>
            </w:r>
            <w:r>
              <w:rPr>
                <w:rFonts w:hint="eastAsia"/>
                <w:b w:val="0"/>
                <w:bCs w:val="0"/>
                <w:color w:val="auto"/>
                <w:kern w:val="2"/>
                <w:sz w:val="24"/>
                <w:szCs w:val="24"/>
                <w:lang w:val="en-US" w:eastAsia="zh-CN"/>
              </w:rPr>
              <w:t>，产品方案见表2-2。</w:t>
            </w:r>
          </w:p>
          <w:p w14:paraId="01C9EEDB">
            <w:pPr>
              <w:pStyle w:val="7"/>
              <w:autoSpaceDE/>
              <w:autoSpaceDN/>
              <w:adjustRightInd/>
              <w:spacing w:line="240" w:lineRule="auto"/>
              <w:ind w:left="0" w:firstLine="0"/>
              <w:jc w:val="center"/>
              <w:textAlignment w:val="auto"/>
              <w:rPr>
                <w:rFonts w:hint="eastAsia"/>
                <w:b/>
                <w:bCs/>
                <w:color w:val="auto"/>
                <w:kern w:val="2"/>
                <w:szCs w:val="24"/>
              </w:rPr>
            </w:pPr>
            <w:r>
              <w:rPr>
                <w:rFonts w:hint="eastAsia"/>
                <w:b/>
                <w:bCs/>
                <w:color w:val="auto"/>
                <w:kern w:val="2"/>
                <w:szCs w:val="24"/>
              </w:rPr>
              <w:t>表2-</w:t>
            </w:r>
            <w:r>
              <w:rPr>
                <w:rFonts w:hint="eastAsia"/>
                <w:b/>
                <w:bCs/>
                <w:color w:val="auto"/>
                <w:kern w:val="2"/>
                <w:szCs w:val="24"/>
                <w:lang w:val="en-US" w:eastAsia="zh-CN"/>
              </w:rPr>
              <w:t>2</w:t>
            </w:r>
            <w:r>
              <w:rPr>
                <w:rFonts w:hint="eastAsia"/>
                <w:b/>
                <w:bCs/>
                <w:color w:val="auto"/>
                <w:kern w:val="2"/>
                <w:szCs w:val="24"/>
              </w:rPr>
              <w:t xml:space="preserve">  项目产品方案一览表</w:t>
            </w:r>
          </w:p>
          <w:tbl>
            <w:tblPr>
              <w:tblStyle w:val="29"/>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1182"/>
              <w:gridCol w:w="1194"/>
              <w:gridCol w:w="1080"/>
              <w:gridCol w:w="2758"/>
              <w:gridCol w:w="1538"/>
            </w:tblGrid>
            <w:tr w14:paraId="2F5118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466" w:type="pct"/>
                  <w:vAlign w:val="center"/>
                </w:tcPr>
                <w:p w14:paraId="3504E6CB">
                  <w:pPr>
                    <w:pStyle w:val="42"/>
                    <w:keepNext/>
                    <w:keepLines w:val="0"/>
                    <w:pageBreakBefore w:val="0"/>
                    <w:widowControl w:val="0"/>
                    <w:kinsoku/>
                    <w:wordWrap/>
                    <w:overflowPunct w:val="0"/>
                    <w:topLinePunct w:val="0"/>
                    <w:autoSpaceDE/>
                    <w:autoSpaceDN/>
                    <w:bidi w:val="0"/>
                    <w:adjustRightInd/>
                    <w:snapToGrid w:val="0"/>
                    <w:spacing w:before="0" w:after="0" w:line="240" w:lineRule="auto"/>
                    <w:ind w:left="0" w:firstLine="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序号</w:t>
                  </w:r>
                </w:p>
              </w:tc>
              <w:tc>
                <w:tcPr>
                  <w:tcW w:w="774" w:type="pct"/>
                  <w:vAlign w:val="center"/>
                </w:tcPr>
                <w:p w14:paraId="2A7ADF4D">
                  <w:pPr>
                    <w:pStyle w:val="42"/>
                    <w:keepNext/>
                    <w:keepLines w:val="0"/>
                    <w:pageBreakBefore w:val="0"/>
                    <w:widowControl w:val="0"/>
                    <w:kinsoku/>
                    <w:wordWrap/>
                    <w:overflowPunct w:val="0"/>
                    <w:topLinePunct w:val="0"/>
                    <w:autoSpaceDE/>
                    <w:autoSpaceDN/>
                    <w:bidi w:val="0"/>
                    <w:adjustRightInd/>
                    <w:snapToGrid w:val="0"/>
                    <w:spacing w:before="0" w:after="0" w:line="240" w:lineRule="auto"/>
                    <w:ind w:left="0" w:firstLine="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产品名称</w:t>
                  </w:r>
                </w:p>
              </w:tc>
              <w:tc>
                <w:tcPr>
                  <w:tcW w:w="781" w:type="pct"/>
                  <w:vAlign w:val="center"/>
                </w:tcPr>
                <w:p w14:paraId="0747AD84">
                  <w:pPr>
                    <w:pStyle w:val="42"/>
                    <w:keepNext/>
                    <w:keepLines w:val="0"/>
                    <w:pageBreakBefore w:val="0"/>
                    <w:widowControl w:val="0"/>
                    <w:kinsoku/>
                    <w:wordWrap/>
                    <w:overflowPunct w:val="0"/>
                    <w:topLinePunct w:val="0"/>
                    <w:autoSpaceDE/>
                    <w:autoSpaceDN/>
                    <w:bidi w:val="0"/>
                    <w:adjustRightInd/>
                    <w:snapToGrid w:val="0"/>
                    <w:spacing w:before="0" w:after="0" w:line="240" w:lineRule="auto"/>
                    <w:ind w:left="0" w:firstLine="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年产量</w:t>
                  </w:r>
                </w:p>
              </w:tc>
              <w:tc>
                <w:tcPr>
                  <w:tcW w:w="713" w:type="pct"/>
                  <w:vAlign w:val="center"/>
                </w:tcPr>
                <w:p w14:paraId="55832BC2">
                  <w:pPr>
                    <w:pStyle w:val="42"/>
                    <w:keepNext/>
                    <w:keepLines w:val="0"/>
                    <w:pageBreakBefore w:val="0"/>
                    <w:widowControl w:val="0"/>
                    <w:kinsoku/>
                    <w:wordWrap/>
                    <w:overflowPunct w:val="0"/>
                    <w:topLinePunct w:val="0"/>
                    <w:autoSpaceDE/>
                    <w:autoSpaceDN/>
                    <w:bidi w:val="0"/>
                    <w:adjustRightInd/>
                    <w:snapToGrid w:val="0"/>
                    <w:spacing w:before="0" w:after="0" w:line="240" w:lineRule="auto"/>
                    <w:ind w:left="0" w:firstLine="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单位</w:t>
                  </w:r>
                </w:p>
              </w:tc>
              <w:tc>
                <w:tcPr>
                  <w:tcW w:w="1277" w:type="pct"/>
                  <w:vAlign w:val="center"/>
                </w:tcPr>
                <w:p w14:paraId="2CF5DFE9">
                  <w:pPr>
                    <w:pStyle w:val="42"/>
                    <w:keepNext/>
                    <w:keepLines w:val="0"/>
                    <w:pageBreakBefore w:val="0"/>
                    <w:widowControl w:val="0"/>
                    <w:kinsoku/>
                    <w:wordWrap/>
                    <w:overflowPunct w:val="0"/>
                    <w:topLinePunct w:val="0"/>
                    <w:autoSpaceDE/>
                    <w:autoSpaceDN/>
                    <w:bidi w:val="0"/>
                    <w:adjustRightInd/>
                    <w:snapToGrid w:val="0"/>
                    <w:spacing w:before="0" w:after="0" w:line="240" w:lineRule="auto"/>
                    <w:ind w:left="0" w:firstLine="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规格长度×宽度×厚度</w:t>
                  </w:r>
                </w:p>
              </w:tc>
              <w:tc>
                <w:tcPr>
                  <w:tcW w:w="985" w:type="pct"/>
                  <w:vAlign w:val="center"/>
                </w:tcPr>
                <w:p w14:paraId="51D1FCE7">
                  <w:pPr>
                    <w:pStyle w:val="42"/>
                    <w:keepNext/>
                    <w:keepLines w:val="0"/>
                    <w:pageBreakBefore w:val="0"/>
                    <w:widowControl w:val="0"/>
                    <w:kinsoku/>
                    <w:wordWrap/>
                    <w:overflowPunct w:val="0"/>
                    <w:topLinePunct w:val="0"/>
                    <w:autoSpaceDE/>
                    <w:autoSpaceDN/>
                    <w:bidi w:val="0"/>
                    <w:adjustRightInd/>
                    <w:snapToGrid w:val="0"/>
                    <w:spacing w:before="0" w:after="0" w:line="240" w:lineRule="auto"/>
                    <w:ind w:left="0" w:firstLine="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产品去向</w:t>
                  </w:r>
                </w:p>
              </w:tc>
            </w:tr>
            <w:tr w14:paraId="3D7CBB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466" w:type="pct"/>
                  <w:vAlign w:val="center"/>
                </w:tcPr>
                <w:p w14:paraId="50842B57">
                  <w:pPr>
                    <w:pStyle w:val="42"/>
                    <w:keepNext/>
                    <w:keepLines w:val="0"/>
                    <w:pageBreakBefore w:val="0"/>
                    <w:widowControl w:val="0"/>
                    <w:kinsoku/>
                    <w:wordWrap/>
                    <w:overflowPunct w:val="0"/>
                    <w:topLinePunct w:val="0"/>
                    <w:autoSpaceDE/>
                    <w:autoSpaceDN/>
                    <w:bidi w:val="0"/>
                    <w:adjustRightInd/>
                    <w:snapToGrid w:val="0"/>
                    <w:spacing w:before="0" w:after="0" w:line="240" w:lineRule="auto"/>
                    <w:ind w:left="0" w:firstLine="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w:t>
                  </w:r>
                </w:p>
              </w:tc>
              <w:tc>
                <w:tcPr>
                  <w:tcW w:w="774" w:type="pct"/>
                  <w:vAlign w:val="center"/>
                </w:tcPr>
                <w:p w14:paraId="3838C322">
                  <w:pPr>
                    <w:pStyle w:val="42"/>
                    <w:keepNext/>
                    <w:keepLines w:val="0"/>
                    <w:pageBreakBefore w:val="0"/>
                    <w:widowControl w:val="0"/>
                    <w:kinsoku/>
                    <w:wordWrap/>
                    <w:overflowPunct w:val="0"/>
                    <w:topLinePunct w:val="0"/>
                    <w:autoSpaceDE/>
                    <w:autoSpaceDN/>
                    <w:bidi w:val="0"/>
                    <w:adjustRightInd/>
                    <w:snapToGrid w:val="0"/>
                    <w:spacing w:before="0" w:after="0" w:line="240" w:lineRule="auto"/>
                    <w:ind w:left="0" w:firstLine="0"/>
                    <w:jc w:val="center"/>
                    <w:textAlignment w:val="auto"/>
                    <w:rPr>
                      <w:rFonts w:hint="eastAsia" w:ascii="Times New Roman" w:hAnsi="Times New Roman" w:eastAsia="宋体" w:cs="Times New Roman"/>
                      <w:b w:val="0"/>
                      <w:bCs w:val="0"/>
                      <w:color w:val="auto"/>
                      <w:sz w:val="21"/>
                      <w:szCs w:val="21"/>
                      <w:lang w:val="en-US" w:eastAsia="zh-CN"/>
                    </w:rPr>
                  </w:pPr>
                  <w:r>
                    <w:rPr>
                      <w:rFonts w:hint="eastAsia" w:ascii="宋体" w:hAnsi="宋体" w:eastAsia="宋体" w:cs="宋体"/>
                      <w:b w:val="0"/>
                      <w:bCs w:val="0"/>
                      <w:color w:val="auto"/>
                      <w:sz w:val="21"/>
                      <w:szCs w:val="21"/>
                      <w:highlight w:val="none"/>
                      <w:lang w:val="en-US" w:eastAsia="zh-CN"/>
                    </w:rPr>
                    <w:t>热封膜</w:t>
                  </w:r>
                </w:p>
              </w:tc>
              <w:tc>
                <w:tcPr>
                  <w:tcW w:w="781" w:type="pct"/>
                  <w:vAlign w:val="center"/>
                </w:tcPr>
                <w:p w14:paraId="31B577E2">
                  <w:pPr>
                    <w:pStyle w:val="42"/>
                    <w:keepNext/>
                    <w:keepLines w:val="0"/>
                    <w:pageBreakBefore w:val="0"/>
                    <w:widowControl w:val="0"/>
                    <w:kinsoku/>
                    <w:wordWrap/>
                    <w:overflowPunct w:val="0"/>
                    <w:topLinePunct w:val="0"/>
                    <w:autoSpaceDE/>
                    <w:autoSpaceDN/>
                    <w:bidi w:val="0"/>
                    <w:adjustRightInd/>
                    <w:snapToGrid w:val="0"/>
                    <w:spacing w:before="0" w:after="0"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lang w:val="en-US"/>
                    </w:rPr>
                  </w:pPr>
                  <w:r>
                    <w:rPr>
                      <w:rFonts w:hint="eastAsia" w:eastAsia="宋体" w:cs="Times New Roman"/>
                      <w:b w:val="0"/>
                      <w:bCs w:val="0"/>
                      <w:color w:val="auto"/>
                      <w:sz w:val="21"/>
                      <w:szCs w:val="21"/>
                      <w:lang w:val="en-US" w:eastAsia="zh-CN"/>
                    </w:rPr>
                    <w:t>5000</w:t>
                  </w:r>
                </w:p>
              </w:tc>
              <w:tc>
                <w:tcPr>
                  <w:tcW w:w="713" w:type="pct"/>
                  <w:vAlign w:val="center"/>
                </w:tcPr>
                <w:p w14:paraId="7BAFB76B">
                  <w:pPr>
                    <w:pStyle w:val="42"/>
                    <w:keepNext/>
                    <w:keepLines w:val="0"/>
                    <w:pageBreakBefore w:val="0"/>
                    <w:widowControl w:val="0"/>
                    <w:kinsoku/>
                    <w:wordWrap/>
                    <w:overflowPunct w:val="0"/>
                    <w:topLinePunct w:val="0"/>
                    <w:autoSpaceDE/>
                    <w:autoSpaceDN/>
                    <w:bidi w:val="0"/>
                    <w:adjustRightInd/>
                    <w:snapToGrid w:val="0"/>
                    <w:spacing w:before="0" w:after="0" w:line="240" w:lineRule="auto"/>
                    <w:ind w:left="0" w:firstLine="0"/>
                    <w:jc w:val="center"/>
                    <w:textAlignment w:val="auto"/>
                    <w:rPr>
                      <w:rFonts w:hint="default" w:ascii="Times New Roman" w:hAnsi="Times New Roman" w:eastAsia="宋体" w:cs="Times New Roman"/>
                      <w:b w:val="0"/>
                      <w:bCs w:val="0"/>
                      <w:color w:val="auto"/>
                      <w:sz w:val="21"/>
                      <w:szCs w:val="21"/>
                      <w:lang w:val="en-US" w:eastAsia="zh-CN"/>
                    </w:rPr>
                  </w:pPr>
                  <w:r>
                    <w:rPr>
                      <w:rFonts w:hint="eastAsia" w:eastAsia="宋体" w:cs="Times New Roman"/>
                      <w:b w:val="0"/>
                      <w:bCs w:val="0"/>
                      <w:color w:val="auto"/>
                      <w:sz w:val="21"/>
                      <w:szCs w:val="21"/>
                      <w:lang w:val="en-US" w:eastAsia="zh-CN"/>
                    </w:rPr>
                    <w:t>万米</w:t>
                  </w:r>
                </w:p>
              </w:tc>
              <w:tc>
                <w:tcPr>
                  <w:tcW w:w="1277" w:type="pct"/>
                  <w:vAlign w:val="center"/>
                </w:tcPr>
                <w:p w14:paraId="34FD11CB">
                  <w:pPr>
                    <w:pStyle w:val="42"/>
                    <w:keepNext/>
                    <w:keepLines w:val="0"/>
                    <w:pageBreakBefore w:val="0"/>
                    <w:widowControl w:val="0"/>
                    <w:kinsoku/>
                    <w:wordWrap/>
                    <w:overflowPunct w:val="0"/>
                    <w:topLinePunct w:val="0"/>
                    <w:autoSpaceDE/>
                    <w:autoSpaceDN/>
                    <w:bidi w:val="0"/>
                    <w:adjustRightInd/>
                    <w:snapToGrid w:val="0"/>
                    <w:spacing w:before="0" w:after="0" w:line="240" w:lineRule="auto"/>
                    <w:ind w:left="0" w:firstLine="0"/>
                    <w:jc w:val="center"/>
                    <w:textAlignment w:val="auto"/>
                    <w:rPr>
                      <w:rFonts w:hint="default"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50</w:t>
                  </w:r>
                  <w:r>
                    <w:rPr>
                      <w:rFonts w:hint="eastAsia" w:ascii="Times New Roman" w:hAnsi="Times New Roman" w:eastAsia="宋体" w:cs="Times New Roman"/>
                      <w:b w:val="0"/>
                      <w:bCs w:val="0"/>
                      <w:color w:val="auto"/>
                      <w:sz w:val="21"/>
                      <w:szCs w:val="21"/>
                      <w:highlight w:val="none"/>
                      <w:lang w:val="en-US" w:eastAsia="zh-CN"/>
                    </w:rPr>
                    <w:t>m</w:t>
                  </w:r>
                  <w:r>
                    <w:rPr>
                      <w:rFonts w:hint="default" w:ascii="Times New Roman" w:hAnsi="Times New Roman" w:eastAsia="宋体" w:cs="Times New Roman"/>
                      <w:b w:val="0"/>
                      <w:bCs w:val="0"/>
                      <w:color w:val="auto"/>
                      <w:sz w:val="21"/>
                      <w:szCs w:val="21"/>
                      <w:highlight w:val="none"/>
                      <w:lang w:val="en-US" w:eastAsia="zh-CN"/>
                    </w:rPr>
                    <w:t>×200</w:t>
                  </w:r>
                  <w:r>
                    <w:rPr>
                      <w:rFonts w:hint="eastAsia" w:ascii="Times New Roman" w:hAnsi="Times New Roman" w:eastAsia="宋体" w:cs="Times New Roman"/>
                      <w:b w:val="0"/>
                      <w:bCs w:val="0"/>
                      <w:color w:val="auto"/>
                      <w:sz w:val="21"/>
                      <w:szCs w:val="21"/>
                      <w:highlight w:val="none"/>
                      <w:lang w:val="en-US" w:eastAsia="zh-CN"/>
                    </w:rPr>
                    <w:t>mm</w:t>
                  </w:r>
                  <w:r>
                    <w:rPr>
                      <w:rFonts w:hint="default" w:ascii="Times New Roman" w:hAnsi="Times New Roman" w:eastAsia="宋体" w:cs="Times New Roman"/>
                      <w:b w:val="0"/>
                      <w:bCs w:val="0"/>
                      <w:color w:val="auto"/>
                      <w:sz w:val="21"/>
                      <w:szCs w:val="21"/>
                      <w:highlight w:val="none"/>
                      <w:lang w:val="en-US" w:eastAsia="zh-CN"/>
                    </w:rPr>
                    <w:t>×0.025</w:t>
                  </w:r>
                  <w:r>
                    <w:rPr>
                      <w:rFonts w:hint="eastAsia" w:ascii="Times New Roman" w:hAnsi="Times New Roman" w:eastAsia="宋体" w:cs="Times New Roman"/>
                      <w:b w:val="0"/>
                      <w:bCs w:val="0"/>
                      <w:color w:val="auto"/>
                      <w:sz w:val="21"/>
                      <w:szCs w:val="21"/>
                      <w:highlight w:val="none"/>
                      <w:lang w:val="en-US" w:eastAsia="zh-CN"/>
                    </w:rPr>
                    <w:t>mm</w:t>
                  </w:r>
                </w:p>
              </w:tc>
              <w:tc>
                <w:tcPr>
                  <w:tcW w:w="985" w:type="pct"/>
                  <w:vAlign w:val="center"/>
                </w:tcPr>
                <w:p w14:paraId="144CAA0B">
                  <w:pPr>
                    <w:pStyle w:val="42"/>
                    <w:keepNext/>
                    <w:keepLines w:val="0"/>
                    <w:pageBreakBefore w:val="0"/>
                    <w:widowControl w:val="0"/>
                    <w:kinsoku/>
                    <w:wordWrap/>
                    <w:overflowPunct w:val="0"/>
                    <w:topLinePunct w:val="0"/>
                    <w:autoSpaceDE/>
                    <w:autoSpaceDN/>
                    <w:bidi w:val="0"/>
                    <w:adjustRightInd/>
                    <w:snapToGrid w:val="0"/>
                    <w:spacing w:before="0" w:after="0" w:line="240" w:lineRule="auto"/>
                    <w:ind w:left="0" w:firstLine="0"/>
                    <w:jc w:val="center"/>
                    <w:textAlignment w:val="auto"/>
                    <w:rPr>
                      <w:rFonts w:hint="default" w:ascii="Times New Roman" w:hAnsi="Times New Roman" w:eastAsia="宋体" w:cs="Times New Roman"/>
                      <w:b w:val="0"/>
                      <w:bCs w:val="0"/>
                      <w:color w:val="auto"/>
                      <w:sz w:val="21"/>
                      <w:szCs w:val="21"/>
                      <w:lang w:val="en-US" w:eastAsia="zh-CN"/>
                    </w:rPr>
                  </w:pPr>
                  <w:r>
                    <w:rPr>
                      <w:rFonts w:hint="eastAsia" w:eastAsia="宋体" w:cs="Times New Roman"/>
                      <w:b w:val="0"/>
                      <w:bCs w:val="0"/>
                      <w:color w:val="auto"/>
                      <w:sz w:val="21"/>
                      <w:szCs w:val="21"/>
                      <w:lang w:val="en-US" w:eastAsia="zh-CN"/>
                    </w:rPr>
                    <w:t>外售，用于餐具包装</w:t>
                  </w:r>
                </w:p>
              </w:tc>
            </w:tr>
          </w:tbl>
          <w:p w14:paraId="6B69441A">
            <w:pPr>
              <w:pStyle w:val="16"/>
              <w:spacing w:line="360" w:lineRule="auto"/>
              <w:ind w:firstLine="480" w:firstLineChars="200"/>
              <w:rPr>
                <w:rFonts w:hint="eastAsia" w:ascii="Times New Roman" w:hAnsi="Times New Roman" w:eastAsia="宋体"/>
                <w:b/>
                <w:bCs/>
                <w:color w:val="auto"/>
                <w:sz w:val="24"/>
                <w:szCs w:val="24"/>
                <w:lang w:eastAsia="zh-CN"/>
              </w:rPr>
            </w:pPr>
            <w:r>
              <w:rPr>
                <w:rFonts w:hint="default" w:ascii="Times New Roman" w:hAnsi="Times New Roman" w:cs="Times New Roman"/>
                <w:b w:val="0"/>
                <w:bCs w:val="0"/>
                <w:color w:val="auto"/>
                <w:sz w:val="24"/>
                <w:szCs w:val="24"/>
                <w:lang w:val="en-US" w:eastAsia="zh-CN"/>
              </w:rPr>
              <w:t>产品原料为OPP热封膜</w:t>
            </w:r>
            <w:r>
              <w:rPr>
                <w:rFonts w:hint="default" w:ascii="Times New Roman" w:hAnsi="Times New Roman" w:cs="Times New Roman"/>
                <w:b w:val="0"/>
                <w:bCs w:val="0"/>
                <w:color w:val="auto"/>
                <w:sz w:val="24"/>
                <w:szCs w:val="24"/>
              </w:rPr>
              <w:t>，</w:t>
            </w:r>
            <w:r>
              <w:rPr>
                <w:rFonts w:hint="default" w:ascii="Times New Roman" w:hAnsi="Times New Roman" w:cs="Times New Roman"/>
                <w:b w:val="0"/>
                <w:bCs w:val="0"/>
                <w:color w:val="auto"/>
                <w:sz w:val="24"/>
                <w:szCs w:val="24"/>
                <w:lang w:val="en-US" w:eastAsia="zh-CN"/>
              </w:rPr>
              <w:t>原料经印刷、分切加工后，得到项目产品热封膜。每卷产品</w:t>
            </w:r>
            <w:r>
              <w:rPr>
                <w:rFonts w:hint="default" w:ascii="Times New Roman" w:hAnsi="Times New Roman" w:cs="Times New Roman"/>
                <w:b w:val="0"/>
                <w:bCs w:val="0"/>
                <w:color w:val="auto"/>
                <w:sz w:val="24"/>
                <w:szCs w:val="24"/>
                <w:highlight w:val="none"/>
                <w:lang w:val="en-US" w:eastAsia="zh-CN"/>
              </w:rPr>
              <w:t>长度为50m、宽度为200mm、厚度为0.025毫米</w:t>
            </w:r>
            <w:r>
              <w:rPr>
                <w:rFonts w:hint="default" w:ascii="Times New Roman" w:hAnsi="Times New Roman" w:cs="Times New Roman"/>
                <w:b w:val="0"/>
                <w:bCs w:val="0"/>
                <w:color w:val="auto"/>
                <w:sz w:val="24"/>
                <w:szCs w:val="24"/>
                <w:lang w:val="en-US" w:eastAsia="zh-CN"/>
              </w:rPr>
              <w:t>，产品具备优秀的</w:t>
            </w:r>
            <w:r>
              <w:rPr>
                <w:rFonts w:hint="default" w:ascii="Times New Roman" w:hAnsi="Times New Roman" w:cs="Times New Roman"/>
                <w:b w:val="0"/>
                <w:bCs w:val="0"/>
                <w:color w:val="auto"/>
                <w:sz w:val="24"/>
                <w:szCs w:val="24"/>
              </w:rPr>
              <w:t>高透明度和光泽度</w:t>
            </w:r>
            <w:r>
              <w:rPr>
                <w:rFonts w:hint="default" w:ascii="Times New Roman" w:hAnsi="Times New Roman" w:cs="Times New Roman"/>
                <w:b w:val="0"/>
                <w:bCs w:val="0"/>
                <w:color w:val="auto"/>
                <w:sz w:val="24"/>
                <w:szCs w:val="24"/>
                <w:lang w:eastAsia="zh-CN"/>
              </w:rPr>
              <w:t>，便于展示包装内容物；</w:t>
            </w:r>
            <w:r>
              <w:rPr>
                <w:rFonts w:hint="default" w:ascii="Times New Roman" w:hAnsi="Times New Roman" w:cs="Times New Roman"/>
                <w:b w:val="0"/>
                <w:bCs w:val="0"/>
                <w:color w:val="auto"/>
                <w:sz w:val="24"/>
                <w:szCs w:val="24"/>
                <w:highlight w:val="none"/>
                <w:lang w:val="en-US" w:eastAsia="zh-CN"/>
              </w:rPr>
              <w:t>产品长、宽度偏差约为±1mm</w:t>
            </w:r>
            <w:r>
              <w:rPr>
                <w:rFonts w:hint="default" w:ascii="Times New Roman" w:hAnsi="Times New Roman" w:cs="Times New Roman"/>
                <w:b w:val="0"/>
                <w:bCs w:val="0"/>
                <w:color w:val="auto"/>
                <w:sz w:val="24"/>
                <w:szCs w:val="24"/>
                <w:lang w:val="en-US" w:eastAsia="zh-CN"/>
              </w:rPr>
              <w:t>；产品虽厚度很薄，但其</w:t>
            </w:r>
            <w:r>
              <w:rPr>
                <w:rFonts w:hint="default" w:ascii="Times New Roman" w:hAnsi="Times New Roman" w:cs="Times New Roman"/>
                <w:b w:val="0"/>
                <w:bCs w:val="0"/>
                <w:color w:val="auto"/>
                <w:sz w:val="24"/>
                <w:szCs w:val="24"/>
              </w:rPr>
              <w:t>机械强度</w:t>
            </w:r>
            <w:r>
              <w:rPr>
                <w:rFonts w:hint="default" w:ascii="Times New Roman" w:hAnsi="Times New Roman" w:cs="Times New Roman"/>
                <w:b w:val="0"/>
                <w:bCs w:val="0"/>
                <w:color w:val="auto"/>
                <w:sz w:val="24"/>
                <w:szCs w:val="24"/>
                <w:lang w:val="en-US" w:eastAsia="zh-CN"/>
              </w:rPr>
              <w:t>依旧</w:t>
            </w:r>
            <w:r>
              <w:rPr>
                <w:rFonts w:hint="default" w:ascii="Times New Roman" w:hAnsi="Times New Roman" w:cs="Times New Roman"/>
                <w:b w:val="0"/>
                <w:bCs w:val="0"/>
                <w:color w:val="auto"/>
                <w:sz w:val="24"/>
                <w:szCs w:val="24"/>
              </w:rPr>
              <w:t>良好，抗拉强度和撕裂强度能满足多数包装需求</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拉伸强度≥16MPa</w:t>
            </w:r>
            <w:r>
              <w:rPr>
                <w:rFonts w:hint="eastAsia" w:ascii="Times New Roman" w:hAnsi="Times New Roman" w:cs="Times New Roman"/>
                <w:b w:val="0"/>
                <w:bCs w:val="0"/>
                <w:color w:val="auto"/>
                <w:sz w:val="24"/>
                <w:szCs w:val="24"/>
                <w:highlight w:val="none"/>
                <w:lang w:val="en-US" w:eastAsia="zh-CN"/>
              </w:rPr>
              <w:t>。产品质量可以满足GB/T 13519-2016中相关要求</w:t>
            </w:r>
            <w:r>
              <w:rPr>
                <w:rFonts w:hint="eastAsia" w:ascii="Times New Roman" w:hAnsi="Times New Roman" w:cs="Times New Roman"/>
                <w:b w:val="0"/>
                <w:bCs w:val="0"/>
                <w:color w:val="auto"/>
                <w:sz w:val="24"/>
                <w:szCs w:val="24"/>
                <w:lang w:val="en-US" w:eastAsia="zh-CN"/>
              </w:rPr>
              <w:t>；产品</w:t>
            </w:r>
            <w:r>
              <w:rPr>
                <w:rFonts w:hint="default" w:ascii="Times New Roman" w:hAnsi="Times New Roman" w:cs="Times New Roman"/>
                <w:b w:val="0"/>
                <w:bCs w:val="0"/>
                <w:color w:val="auto"/>
                <w:sz w:val="24"/>
                <w:szCs w:val="24"/>
              </w:rPr>
              <w:t>热封性能优异，熔点范围较宽，可通过常规设备快速封合</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rPr>
              <w:t>同时具备一定的阻隔性，能有效阻挡水蒸气和非极性气体，有助于保鲜</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rPr>
              <w:t>广泛应用于食品、医药、电子、工业等领域，例如食品保鲜、药品包装、电子产品防静电等</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rPr>
              <w:t>其安全卫生特性符合食品级标准，无毒无味，适用于直接接触物品的包装</w:t>
            </w:r>
            <w:r>
              <w:rPr>
                <w:rFonts w:hint="eastAsia" w:ascii="Times New Roman" w:hAnsi="Times New Roman"/>
                <w:b w:val="0"/>
                <w:bCs w:val="0"/>
                <w:color w:val="auto"/>
                <w:sz w:val="24"/>
                <w:szCs w:val="24"/>
                <w:lang w:eastAsia="zh-CN"/>
              </w:rPr>
              <w:t>。</w:t>
            </w:r>
          </w:p>
          <w:p w14:paraId="52E679E4">
            <w:pPr>
              <w:pStyle w:val="16"/>
              <w:spacing w:line="360" w:lineRule="auto"/>
              <w:ind w:firstLine="482" w:firstLineChars="200"/>
              <w:rPr>
                <w:rFonts w:hint="eastAsia" w:ascii="Times New Roman" w:hAnsi="Times New Roman" w:eastAsia="宋体"/>
                <w:b/>
                <w:bCs/>
                <w:color w:val="auto"/>
                <w:sz w:val="24"/>
                <w:szCs w:val="24"/>
                <w:lang w:val="en-US" w:eastAsia="zh-CN"/>
              </w:rPr>
            </w:pPr>
            <w:r>
              <w:rPr>
                <w:rFonts w:hint="eastAsia" w:ascii="Times New Roman" w:hAnsi="Times New Roman"/>
                <w:b/>
                <w:bCs/>
                <w:color w:val="auto"/>
                <w:sz w:val="24"/>
                <w:szCs w:val="24"/>
              </w:rPr>
              <w:t>四、项目主要生产设备</w:t>
            </w:r>
          </w:p>
          <w:p w14:paraId="384D0DDE">
            <w:pPr>
              <w:spacing w:line="360" w:lineRule="auto"/>
              <w:ind w:firstLine="480" w:firstLineChars="200"/>
              <w:jc w:val="left"/>
              <w:rPr>
                <w:color w:val="auto"/>
              </w:rPr>
            </w:pPr>
            <w:r>
              <w:rPr>
                <w:rFonts w:hint="eastAsia"/>
                <w:color w:val="auto"/>
                <w:sz w:val="24"/>
              </w:rPr>
              <w:t>本项目生产设备清单见表2-3，主要生产设备产能匹配分析见表2-4。</w:t>
            </w:r>
          </w:p>
          <w:p w14:paraId="36D5895E">
            <w:pPr>
              <w:pStyle w:val="7"/>
              <w:autoSpaceDE/>
              <w:autoSpaceDN/>
              <w:adjustRightInd/>
              <w:spacing w:line="240" w:lineRule="auto"/>
              <w:ind w:left="0" w:firstLine="0"/>
              <w:jc w:val="center"/>
              <w:textAlignment w:val="auto"/>
              <w:rPr>
                <w:rFonts w:hint="eastAsia"/>
                <w:b/>
                <w:bCs/>
                <w:color w:val="auto"/>
                <w:kern w:val="2"/>
                <w:szCs w:val="24"/>
              </w:rPr>
            </w:pPr>
            <w:r>
              <w:rPr>
                <w:rFonts w:hint="eastAsia"/>
                <w:b/>
                <w:bCs/>
                <w:color w:val="auto"/>
                <w:kern w:val="2"/>
                <w:szCs w:val="24"/>
              </w:rPr>
              <w:t>表2-</w:t>
            </w:r>
            <w:r>
              <w:rPr>
                <w:rFonts w:hint="eastAsia"/>
                <w:b/>
                <w:bCs/>
                <w:color w:val="auto"/>
                <w:kern w:val="2"/>
                <w:szCs w:val="24"/>
                <w:lang w:val="en-US" w:eastAsia="zh-CN"/>
              </w:rPr>
              <w:t>3</w:t>
            </w:r>
            <w:r>
              <w:rPr>
                <w:rFonts w:hint="eastAsia"/>
                <w:b/>
                <w:bCs/>
                <w:color w:val="auto"/>
                <w:kern w:val="2"/>
                <w:szCs w:val="24"/>
              </w:rPr>
              <w:t xml:space="preserve">  项目主要生产设备一览表</w:t>
            </w:r>
          </w:p>
          <w:tbl>
            <w:tblPr>
              <w:tblStyle w:val="29"/>
              <w:tblW w:w="4995"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342"/>
              <w:gridCol w:w="2571"/>
              <w:gridCol w:w="1419"/>
              <w:gridCol w:w="2653"/>
            </w:tblGrid>
            <w:tr w14:paraId="4D2F56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53" w:type="pct"/>
                  <w:vAlign w:val="center"/>
                </w:tcPr>
                <w:p w14:paraId="5D3E860C">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rPr>
                  </w:pPr>
                  <w:r>
                    <w:rPr>
                      <w:rFonts w:ascii="Times New Roman" w:hAnsi="Times New Roman"/>
                      <w:b/>
                      <w:bCs/>
                      <w:color w:val="auto"/>
                      <w:kern w:val="0"/>
                      <w:szCs w:val="21"/>
                      <w:lang w:bidi="ar"/>
                    </w:rPr>
                    <w:t>产品</w:t>
                  </w:r>
                </w:p>
              </w:tc>
              <w:tc>
                <w:tcPr>
                  <w:tcW w:w="798" w:type="pct"/>
                  <w:vAlign w:val="center"/>
                </w:tcPr>
                <w:p w14:paraId="2A659CD2">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rPr>
                  </w:pPr>
                  <w:r>
                    <w:rPr>
                      <w:rFonts w:ascii="Times New Roman" w:hAnsi="Times New Roman"/>
                      <w:b/>
                      <w:bCs/>
                      <w:color w:val="auto"/>
                      <w:kern w:val="0"/>
                      <w:szCs w:val="21"/>
                      <w:lang w:bidi="ar"/>
                    </w:rPr>
                    <w:t>名称</w:t>
                  </w:r>
                </w:p>
              </w:tc>
              <w:tc>
                <w:tcPr>
                  <w:tcW w:w="1527" w:type="pct"/>
                  <w:vAlign w:val="center"/>
                </w:tcPr>
                <w:p w14:paraId="128E094A">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rPr>
                  </w:pPr>
                  <w:r>
                    <w:rPr>
                      <w:rFonts w:ascii="Times New Roman" w:hAnsi="Times New Roman"/>
                      <w:b/>
                      <w:bCs/>
                      <w:color w:val="auto"/>
                      <w:kern w:val="0"/>
                      <w:szCs w:val="21"/>
                      <w:lang w:bidi="ar"/>
                    </w:rPr>
                    <w:t>型号</w:t>
                  </w:r>
                </w:p>
              </w:tc>
              <w:tc>
                <w:tcPr>
                  <w:tcW w:w="843" w:type="pct"/>
                  <w:vAlign w:val="center"/>
                </w:tcPr>
                <w:p w14:paraId="7491E9B2">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rPr>
                  </w:pPr>
                  <w:r>
                    <w:rPr>
                      <w:rFonts w:ascii="Times New Roman" w:hAnsi="Times New Roman"/>
                      <w:b/>
                      <w:bCs/>
                      <w:color w:val="auto"/>
                      <w:kern w:val="0"/>
                      <w:szCs w:val="21"/>
                      <w:lang w:bidi="ar"/>
                    </w:rPr>
                    <w:t>本项目设备数量</w:t>
                  </w:r>
                </w:p>
              </w:tc>
              <w:tc>
                <w:tcPr>
                  <w:tcW w:w="1576" w:type="pct"/>
                  <w:vAlign w:val="center"/>
                </w:tcPr>
                <w:p w14:paraId="7BF5D13D">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auto"/>
                      <w:lang w:eastAsia="zh-CN"/>
                    </w:rPr>
                  </w:pPr>
                  <w:r>
                    <w:rPr>
                      <w:rFonts w:hint="eastAsia" w:ascii="Times New Roman" w:hAnsi="Times New Roman"/>
                      <w:b/>
                      <w:bCs/>
                      <w:color w:val="auto"/>
                      <w:kern w:val="0"/>
                      <w:szCs w:val="21"/>
                      <w:lang w:val="en-US" w:eastAsia="zh-CN" w:bidi="ar"/>
                    </w:rPr>
                    <w:t>备注</w:t>
                  </w:r>
                </w:p>
              </w:tc>
            </w:tr>
            <w:tr w14:paraId="457A543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53" w:type="pct"/>
                  <w:vAlign w:val="center"/>
                </w:tcPr>
                <w:p w14:paraId="23313847">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olor w:val="auto"/>
                    </w:rPr>
                  </w:pPr>
                  <w:r>
                    <w:rPr>
                      <w:rFonts w:ascii="Times New Roman" w:hAnsi="Times New Roman"/>
                      <w:color w:val="auto"/>
                      <w:kern w:val="0"/>
                      <w:szCs w:val="21"/>
                      <w:lang w:bidi="ar"/>
                    </w:rPr>
                    <w:t>1</w:t>
                  </w:r>
                </w:p>
              </w:tc>
              <w:tc>
                <w:tcPr>
                  <w:tcW w:w="798" w:type="pct"/>
                  <w:vAlign w:val="center"/>
                </w:tcPr>
                <w:p w14:paraId="6E8594E6">
                  <w:pPr>
                    <w:keepNext w:val="0"/>
                    <w:keepLines w:val="0"/>
                    <w:pageBreakBefore w:val="0"/>
                    <w:widowControl w:val="0"/>
                    <w:kinsoku/>
                    <w:wordWrap/>
                    <w:overflowPunct/>
                    <w:topLinePunct w:val="0"/>
                    <w:autoSpaceDE/>
                    <w:autoSpaceDN/>
                    <w:bidi w:val="0"/>
                    <w:spacing w:line="240" w:lineRule="auto"/>
                    <w:jc w:val="center"/>
                    <w:textAlignment w:val="auto"/>
                    <w:rPr>
                      <w:rFonts w:hint="default" w:eastAsia="宋体"/>
                      <w:color w:val="auto"/>
                      <w:lang w:val="en-US" w:eastAsia="zh-CN"/>
                    </w:rPr>
                  </w:pPr>
                  <w:r>
                    <w:rPr>
                      <w:rFonts w:hint="default" w:ascii="Times New Roman" w:hAnsi="Times New Roman" w:eastAsia="宋体" w:cs="Times New Roman"/>
                      <w:snapToGrid w:val="0"/>
                      <w:color w:val="auto"/>
                      <w:szCs w:val="21"/>
                      <w:lang w:eastAsia="zh-CN"/>
                    </w:rPr>
                    <w:t>印刷机</w:t>
                  </w:r>
                </w:p>
              </w:tc>
              <w:tc>
                <w:tcPr>
                  <w:tcW w:w="1527" w:type="pct"/>
                  <w:vAlign w:val="center"/>
                </w:tcPr>
                <w:p w14:paraId="5D3E6C86">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snapToGrid w:val="0"/>
                      <w:color w:val="auto"/>
                      <w:szCs w:val="21"/>
                      <w:lang w:val="en-US" w:eastAsia="zh-CN"/>
                    </w:rPr>
                    <w:t>JYA-FX41000B</w:t>
                  </w:r>
                </w:p>
              </w:tc>
              <w:tc>
                <w:tcPr>
                  <w:tcW w:w="843" w:type="pct"/>
                  <w:vAlign w:val="center"/>
                </w:tcPr>
                <w:p w14:paraId="54C5EF12">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auto"/>
                      <w:lang w:eastAsia="zh-CN"/>
                    </w:rPr>
                  </w:pPr>
                  <w:r>
                    <w:rPr>
                      <w:rFonts w:hint="eastAsia" w:ascii="Times New Roman" w:hAnsi="Times New Roman"/>
                      <w:color w:val="auto"/>
                      <w:lang w:val="en-US" w:eastAsia="zh-CN"/>
                    </w:rPr>
                    <w:t>2</w:t>
                  </w:r>
                </w:p>
              </w:tc>
              <w:tc>
                <w:tcPr>
                  <w:tcW w:w="1576" w:type="pct"/>
                  <w:vAlign w:val="center"/>
                </w:tcPr>
                <w:p w14:paraId="3E0FF5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lang w:val="en-US" w:eastAsia="zh-CN"/>
                    </w:rPr>
                  </w:pPr>
                  <w:r>
                    <w:rPr>
                      <w:rFonts w:hint="eastAsia"/>
                      <w:color w:val="auto"/>
                      <w:lang w:val="en-US" w:eastAsia="zh-CN"/>
                    </w:rPr>
                    <w:t>用于产品印刷</w:t>
                  </w:r>
                </w:p>
              </w:tc>
            </w:tr>
            <w:tr w14:paraId="1EBA2C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3" w:type="pct"/>
                  <w:vAlign w:val="center"/>
                </w:tcPr>
                <w:p w14:paraId="3B53867A">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olor w:val="auto"/>
                      <w:lang w:val="en-US" w:eastAsia="zh-CN"/>
                    </w:rPr>
                  </w:pPr>
                  <w:r>
                    <w:rPr>
                      <w:rFonts w:hint="eastAsia" w:ascii="Times New Roman" w:hAnsi="Times New Roman"/>
                      <w:color w:val="auto"/>
                      <w:lang w:val="en-US" w:eastAsia="zh-CN"/>
                    </w:rPr>
                    <w:t>2</w:t>
                  </w:r>
                </w:p>
              </w:tc>
              <w:tc>
                <w:tcPr>
                  <w:tcW w:w="798" w:type="pct"/>
                  <w:vAlign w:val="center"/>
                </w:tcPr>
                <w:p w14:paraId="0CB857C0">
                  <w:pPr>
                    <w:keepNext w:val="0"/>
                    <w:keepLines w:val="0"/>
                    <w:pageBreakBefore w:val="0"/>
                    <w:widowControl w:val="0"/>
                    <w:kinsoku/>
                    <w:wordWrap/>
                    <w:overflowPunct/>
                    <w:topLinePunct w:val="0"/>
                    <w:autoSpaceDE/>
                    <w:autoSpaceDN/>
                    <w:bidi w:val="0"/>
                    <w:spacing w:line="240" w:lineRule="auto"/>
                    <w:jc w:val="center"/>
                    <w:textAlignment w:val="auto"/>
                    <w:rPr>
                      <w:rFonts w:hint="default"/>
                      <w:color w:val="auto"/>
                      <w:lang w:val="en-US" w:eastAsia="zh-CN"/>
                    </w:rPr>
                  </w:pPr>
                  <w:r>
                    <w:rPr>
                      <w:rFonts w:hint="eastAsia" w:ascii="Times New Roman" w:hAnsi="Times New Roman" w:eastAsia="宋体" w:cs="Times New Roman"/>
                      <w:snapToGrid w:val="0"/>
                      <w:color w:val="auto"/>
                      <w:szCs w:val="21"/>
                      <w:lang w:val="en-US" w:eastAsia="zh-CN"/>
                    </w:rPr>
                    <w:t>分切</w:t>
                  </w:r>
                  <w:r>
                    <w:rPr>
                      <w:rFonts w:hint="default" w:ascii="Times New Roman" w:hAnsi="Times New Roman" w:eastAsia="宋体" w:cs="Times New Roman"/>
                      <w:snapToGrid w:val="0"/>
                      <w:color w:val="auto"/>
                      <w:szCs w:val="21"/>
                      <w:lang w:val="en-US" w:eastAsia="zh-CN"/>
                    </w:rPr>
                    <w:t>机</w:t>
                  </w:r>
                </w:p>
              </w:tc>
              <w:tc>
                <w:tcPr>
                  <w:tcW w:w="1527" w:type="pct"/>
                  <w:vAlign w:val="center"/>
                </w:tcPr>
                <w:p w14:paraId="4D1DFD17">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lang w:val="en-US" w:eastAsia="zh-CN"/>
                    </w:rPr>
                  </w:pPr>
                  <w:r>
                    <w:rPr>
                      <w:rFonts w:hint="eastAsia" w:ascii="Times New Roman" w:hAnsi="Times New Roman" w:eastAsia="宋体" w:cs="Times New Roman"/>
                      <w:snapToGrid w:val="0"/>
                      <w:color w:val="auto"/>
                      <w:szCs w:val="21"/>
                      <w:lang w:val="en-US" w:eastAsia="zh-CN"/>
                    </w:rPr>
                    <w:t>BRT-PC1300</w:t>
                  </w:r>
                </w:p>
              </w:tc>
              <w:tc>
                <w:tcPr>
                  <w:tcW w:w="843" w:type="pct"/>
                  <w:vAlign w:val="center"/>
                </w:tcPr>
                <w:p w14:paraId="6A7E29E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olor w:val="auto"/>
                      <w:lang w:val="en-US" w:eastAsia="zh-CN"/>
                    </w:rPr>
                  </w:pPr>
                  <w:r>
                    <w:rPr>
                      <w:rFonts w:hint="eastAsia"/>
                      <w:color w:val="auto"/>
                      <w:lang w:val="en-US" w:eastAsia="zh-CN"/>
                    </w:rPr>
                    <w:t>2</w:t>
                  </w:r>
                </w:p>
              </w:tc>
              <w:tc>
                <w:tcPr>
                  <w:tcW w:w="1576" w:type="pct"/>
                  <w:vAlign w:val="center"/>
                </w:tcPr>
                <w:p w14:paraId="60EA8D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lang w:val="en-US" w:eastAsia="zh-CN"/>
                    </w:rPr>
                  </w:pPr>
                  <w:r>
                    <w:rPr>
                      <w:rFonts w:hint="eastAsia"/>
                      <w:color w:val="auto"/>
                      <w:lang w:val="en-US" w:eastAsia="zh-CN"/>
                    </w:rPr>
                    <w:t>用于印刷后的产品分切</w:t>
                  </w:r>
                </w:p>
              </w:tc>
            </w:tr>
            <w:tr w14:paraId="0E47BE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53" w:type="pct"/>
                  <w:vAlign w:val="center"/>
                </w:tcPr>
                <w:p w14:paraId="2D2DD438">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olor w:val="auto"/>
                      <w:lang w:eastAsia="zh-CN"/>
                    </w:rPr>
                  </w:pPr>
                  <w:r>
                    <w:rPr>
                      <w:rFonts w:hint="eastAsia" w:ascii="Times New Roman" w:hAnsi="Times New Roman"/>
                      <w:color w:val="auto"/>
                      <w:lang w:val="en-US" w:eastAsia="zh-CN"/>
                    </w:rPr>
                    <w:t>3</w:t>
                  </w:r>
                </w:p>
              </w:tc>
              <w:tc>
                <w:tcPr>
                  <w:tcW w:w="798" w:type="pct"/>
                  <w:vAlign w:val="center"/>
                </w:tcPr>
                <w:p w14:paraId="3CAE3F15">
                  <w:pPr>
                    <w:keepNext w:val="0"/>
                    <w:keepLines w:val="0"/>
                    <w:pageBreakBefore w:val="0"/>
                    <w:widowControl w:val="0"/>
                    <w:kinsoku/>
                    <w:wordWrap/>
                    <w:overflowPunct/>
                    <w:topLinePunct w:val="0"/>
                    <w:autoSpaceDE/>
                    <w:autoSpaceDN/>
                    <w:bidi w:val="0"/>
                    <w:spacing w:line="240" w:lineRule="auto"/>
                    <w:jc w:val="center"/>
                    <w:textAlignment w:val="auto"/>
                    <w:rPr>
                      <w:rFonts w:hint="default" w:eastAsia="宋体"/>
                      <w:color w:val="auto"/>
                      <w:lang w:val="en-US" w:eastAsia="zh-CN"/>
                    </w:rPr>
                  </w:pPr>
                  <w:r>
                    <w:rPr>
                      <w:rFonts w:hint="eastAsia" w:cs="Times New Roman"/>
                      <w:snapToGrid w:val="0"/>
                      <w:color w:val="auto"/>
                      <w:szCs w:val="21"/>
                      <w:highlight w:val="none"/>
                      <w:lang w:val="en-US" w:eastAsia="zh-CN"/>
                    </w:rPr>
                    <w:t>引风</w:t>
                  </w:r>
                  <w:r>
                    <w:rPr>
                      <w:rFonts w:hint="eastAsia" w:ascii="Times New Roman" w:hAnsi="Times New Roman" w:eastAsia="宋体" w:cs="Times New Roman"/>
                      <w:snapToGrid w:val="0"/>
                      <w:color w:val="auto"/>
                      <w:szCs w:val="21"/>
                      <w:highlight w:val="none"/>
                      <w:lang w:val="en-US" w:eastAsia="zh-CN"/>
                    </w:rPr>
                    <w:t>机</w:t>
                  </w:r>
                </w:p>
              </w:tc>
              <w:tc>
                <w:tcPr>
                  <w:tcW w:w="1527" w:type="pct"/>
                  <w:vAlign w:val="center"/>
                </w:tcPr>
                <w:p w14:paraId="70C53832">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20000m</w:t>
                  </w:r>
                  <w:r>
                    <w:rPr>
                      <w:rFonts w:hint="eastAsia" w:cs="Times New Roman"/>
                      <w:color w:val="auto"/>
                      <w:vertAlign w:val="superscript"/>
                      <w:lang w:val="en-US" w:eastAsia="zh-CN"/>
                    </w:rPr>
                    <w:t>3</w:t>
                  </w:r>
                  <w:r>
                    <w:rPr>
                      <w:rFonts w:hint="eastAsia" w:cs="Times New Roman"/>
                      <w:color w:val="auto"/>
                      <w:lang w:val="en-US" w:eastAsia="zh-CN"/>
                    </w:rPr>
                    <w:t>/h</w:t>
                  </w:r>
                </w:p>
              </w:tc>
              <w:tc>
                <w:tcPr>
                  <w:tcW w:w="843" w:type="pct"/>
                  <w:vAlign w:val="center"/>
                </w:tcPr>
                <w:p w14:paraId="687E403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olor w:val="auto"/>
                      <w:kern w:val="0"/>
                      <w:szCs w:val="21"/>
                      <w:lang w:eastAsia="zh-CN" w:bidi="ar"/>
                    </w:rPr>
                  </w:pPr>
                  <w:r>
                    <w:rPr>
                      <w:rFonts w:hint="eastAsia" w:ascii="Times New Roman" w:hAnsi="Times New Roman"/>
                      <w:color w:val="auto"/>
                      <w:lang w:val="en-US" w:eastAsia="zh-CN"/>
                    </w:rPr>
                    <w:t>1</w:t>
                  </w:r>
                </w:p>
              </w:tc>
              <w:tc>
                <w:tcPr>
                  <w:tcW w:w="1576" w:type="pct"/>
                  <w:vAlign w:val="center"/>
                </w:tcPr>
                <w:p w14:paraId="2972B2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zCs w:val="21"/>
                      <w:lang w:val="en-US" w:eastAsia="zh-CN"/>
                    </w:rPr>
                  </w:pPr>
                  <w:r>
                    <w:rPr>
                      <w:rFonts w:hint="eastAsia"/>
                      <w:color w:val="auto"/>
                      <w:szCs w:val="21"/>
                      <w:lang w:val="en-US" w:eastAsia="zh-CN"/>
                    </w:rPr>
                    <w:t>为车间提供负压环境</w:t>
                  </w:r>
                </w:p>
              </w:tc>
            </w:tr>
            <w:tr w14:paraId="0876C4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53" w:type="pct"/>
                  <w:vAlign w:val="center"/>
                </w:tcPr>
                <w:p w14:paraId="2A66CD61">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olor w:val="auto"/>
                      <w:lang w:val="en-US" w:eastAsia="zh-CN"/>
                    </w:rPr>
                  </w:pPr>
                  <w:r>
                    <w:rPr>
                      <w:rFonts w:hint="eastAsia" w:ascii="Times New Roman" w:hAnsi="Times New Roman"/>
                      <w:color w:val="auto"/>
                      <w:lang w:val="en-US" w:eastAsia="zh-CN"/>
                    </w:rPr>
                    <w:t>4</w:t>
                  </w:r>
                </w:p>
              </w:tc>
              <w:tc>
                <w:tcPr>
                  <w:tcW w:w="798" w:type="pct"/>
                  <w:vAlign w:val="center"/>
                </w:tcPr>
                <w:p w14:paraId="41A74F1D">
                  <w:pPr>
                    <w:keepNext w:val="0"/>
                    <w:keepLines w:val="0"/>
                    <w:pageBreakBefore w:val="0"/>
                    <w:widowControl w:val="0"/>
                    <w:kinsoku/>
                    <w:wordWrap/>
                    <w:overflowPunct/>
                    <w:topLinePunct w:val="0"/>
                    <w:autoSpaceDE/>
                    <w:autoSpaceDN/>
                    <w:bidi w:val="0"/>
                    <w:spacing w:line="240" w:lineRule="auto"/>
                    <w:jc w:val="center"/>
                    <w:textAlignment w:val="auto"/>
                    <w:rPr>
                      <w:rFonts w:hint="default"/>
                      <w:color w:val="auto"/>
                      <w:lang w:val="en-US" w:eastAsia="zh-CN"/>
                    </w:rPr>
                  </w:pPr>
                  <w:r>
                    <w:rPr>
                      <w:rFonts w:hint="eastAsia" w:ascii="Times New Roman" w:hAnsi="Times New Roman" w:eastAsia="宋体" w:cs="Times New Roman"/>
                      <w:color w:val="auto"/>
                      <w:lang w:val="en-US" w:eastAsia="zh-CN"/>
                    </w:rPr>
                    <w:t>切管机</w:t>
                  </w:r>
                </w:p>
              </w:tc>
              <w:tc>
                <w:tcPr>
                  <w:tcW w:w="1527" w:type="pct"/>
                  <w:vAlign w:val="center"/>
                </w:tcPr>
                <w:p w14:paraId="45DFFA1A">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w:t>
                  </w:r>
                </w:p>
              </w:tc>
              <w:tc>
                <w:tcPr>
                  <w:tcW w:w="843" w:type="pct"/>
                  <w:vAlign w:val="center"/>
                </w:tcPr>
                <w:p w14:paraId="66DBFD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olor w:val="auto"/>
                      <w:kern w:val="0"/>
                      <w:szCs w:val="21"/>
                      <w:lang w:val="en-US" w:eastAsia="zh-CN" w:bidi="ar"/>
                    </w:rPr>
                  </w:pPr>
                  <w:r>
                    <w:rPr>
                      <w:rFonts w:hint="eastAsia" w:ascii="Times New Roman" w:hAnsi="Times New Roman"/>
                      <w:color w:val="auto"/>
                      <w:lang w:val="en-US" w:eastAsia="zh-CN"/>
                    </w:rPr>
                    <w:t>1</w:t>
                  </w:r>
                </w:p>
              </w:tc>
              <w:tc>
                <w:tcPr>
                  <w:tcW w:w="1576" w:type="pct"/>
                  <w:vAlign w:val="center"/>
                </w:tcPr>
                <w:p w14:paraId="46E563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Cs w:val="21"/>
                      <w:lang w:val="en-US" w:eastAsia="zh-CN"/>
                    </w:rPr>
                  </w:pPr>
                  <w:r>
                    <w:rPr>
                      <w:rFonts w:hint="eastAsia"/>
                      <w:color w:val="auto"/>
                      <w:szCs w:val="21"/>
                      <w:lang w:val="en-US" w:eastAsia="zh-CN"/>
                    </w:rPr>
                    <w:t>用于拆卸原料包装的纸管</w:t>
                  </w:r>
                </w:p>
              </w:tc>
            </w:tr>
            <w:tr w14:paraId="6DD60B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253" w:type="pct"/>
                  <w:vAlign w:val="center"/>
                </w:tcPr>
                <w:p w14:paraId="26D85FD9">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olor w:val="auto"/>
                      <w:lang w:val="en-US" w:eastAsia="zh-CN"/>
                    </w:rPr>
                  </w:pPr>
                  <w:r>
                    <w:rPr>
                      <w:rFonts w:hint="eastAsia" w:ascii="Times New Roman" w:hAnsi="Times New Roman"/>
                      <w:color w:val="auto"/>
                      <w:lang w:val="en-US" w:eastAsia="zh-CN"/>
                    </w:rPr>
                    <w:t>5</w:t>
                  </w:r>
                </w:p>
              </w:tc>
              <w:tc>
                <w:tcPr>
                  <w:tcW w:w="798" w:type="pct"/>
                  <w:vAlign w:val="center"/>
                </w:tcPr>
                <w:p w14:paraId="3B9CA8A7">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车间空气净化器</w:t>
                  </w:r>
                </w:p>
              </w:tc>
              <w:tc>
                <w:tcPr>
                  <w:tcW w:w="1527" w:type="pct"/>
                  <w:vAlign w:val="center"/>
                </w:tcPr>
                <w:p w14:paraId="75F3317D">
                  <w:pPr>
                    <w:keepNext w:val="0"/>
                    <w:keepLines w:val="0"/>
                    <w:pageBreakBefore w:val="0"/>
                    <w:widowControl w:val="0"/>
                    <w:kinsoku/>
                    <w:wordWrap/>
                    <w:overflowPunct/>
                    <w:topLinePunct w:val="0"/>
                    <w:autoSpaceDE/>
                    <w:autoSpaceDN/>
                    <w:bidi w:val="0"/>
                    <w:spacing w:line="240" w:lineRule="auto"/>
                    <w:jc w:val="center"/>
                    <w:textAlignment w:val="auto"/>
                    <w:rPr>
                      <w:rFonts w:hint="default" w:cs="Times New Roman"/>
                      <w:color w:val="auto"/>
                      <w:lang w:val="en-US" w:eastAsia="zh-CN"/>
                    </w:rPr>
                  </w:pPr>
                  <w:r>
                    <w:rPr>
                      <w:rFonts w:hint="eastAsia" w:cs="Times New Roman"/>
                      <w:color w:val="auto"/>
                      <w:lang w:val="en-US" w:eastAsia="zh-CN"/>
                    </w:rPr>
                    <w:t>/</w:t>
                  </w:r>
                </w:p>
              </w:tc>
              <w:tc>
                <w:tcPr>
                  <w:tcW w:w="843" w:type="pct"/>
                  <w:vAlign w:val="center"/>
                </w:tcPr>
                <w:p w14:paraId="528410D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olor w:val="auto"/>
                      <w:lang w:val="en-US" w:eastAsia="zh-CN"/>
                    </w:rPr>
                  </w:pPr>
                  <w:r>
                    <w:rPr>
                      <w:rFonts w:hint="eastAsia"/>
                      <w:color w:val="auto"/>
                      <w:lang w:val="en-US" w:eastAsia="zh-CN"/>
                    </w:rPr>
                    <w:t>1</w:t>
                  </w:r>
                </w:p>
              </w:tc>
              <w:tc>
                <w:tcPr>
                  <w:tcW w:w="1576" w:type="pct"/>
                  <w:vAlign w:val="center"/>
                </w:tcPr>
                <w:p w14:paraId="3F55067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Cs w:val="21"/>
                      <w:lang w:val="en-US" w:eastAsia="zh-CN"/>
                    </w:rPr>
                  </w:pPr>
                  <w:r>
                    <w:rPr>
                      <w:rFonts w:hint="eastAsia"/>
                      <w:color w:val="auto"/>
                      <w:szCs w:val="21"/>
                      <w:lang w:val="en-US" w:eastAsia="zh-CN"/>
                    </w:rPr>
                    <w:t>用于净化从生产车间外进入到生产车间内的空气</w:t>
                  </w:r>
                </w:p>
              </w:tc>
            </w:tr>
          </w:tbl>
          <w:p w14:paraId="7D9184C1">
            <w:pPr>
              <w:spacing w:line="360" w:lineRule="auto"/>
              <w:ind w:firstLine="480" w:firstLineChars="200"/>
              <w:jc w:val="both"/>
              <w:rPr>
                <w:rFonts w:hint="eastAsia"/>
                <w:color w:val="auto"/>
                <w:sz w:val="24"/>
              </w:rPr>
            </w:pPr>
            <w:r>
              <w:rPr>
                <w:color w:val="auto"/>
                <w:sz w:val="24"/>
              </w:rPr>
              <w:t>产能匹配性分析：</w:t>
            </w:r>
            <w:r>
              <w:rPr>
                <w:rFonts w:hint="eastAsia"/>
                <w:color w:val="auto"/>
                <w:sz w:val="24"/>
                <w:lang w:val="en-US" w:eastAsia="zh-CN"/>
              </w:rPr>
              <w:t>以</w:t>
            </w:r>
            <w:r>
              <w:rPr>
                <w:color w:val="auto"/>
                <w:sz w:val="24"/>
              </w:rPr>
              <w:t>满负荷状态下</w:t>
            </w:r>
            <w:r>
              <w:rPr>
                <w:rFonts w:hint="eastAsia"/>
                <w:color w:val="auto"/>
                <w:sz w:val="24"/>
                <w:lang w:val="en-US" w:eastAsia="zh-CN"/>
              </w:rPr>
              <w:t>考虑</w:t>
            </w:r>
          </w:p>
          <w:p w14:paraId="059CE6B8">
            <w:pPr>
              <w:spacing w:line="360" w:lineRule="auto"/>
              <w:ind w:firstLine="480" w:firstLineChars="200"/>
              <w:jc w:val="both"/>
              <w:rPr>
                <w:rFonts w:hint="eastAsia"/>
                <w:color w:val="auto"/>
                <w:sz w:val="24"/>
                <w:lang w:val="en-US" w:eastAsia="zh-CN"/>
              </w:rPr>
            </w:pPr>
            <w:r>
              <w:rPr>
                <w:color w:val="auto"/>
                <w:sz w:val="24"/>
              </w:rPr>
              <w:t>每</w:t>
            </w:r>
            <w:r>
              <w:rPr>
                <w:rFonts w:hint="eastAsia"/>
                <w:color w:val="auto"/>
                <w:sz w:val="24"/>
                <w:lang w:val="en-US" w:eastAsia="zh-CN"/>
              </w:rPr>
              <w:t>台印刷机平均</w:t>
            </w:r>
            <w:r>
              <w:rPr>
                <w:color w:val="auto"/>
                <w:sz w:val="24"/>
              </w:rPr>
              <w:t>每小时可</w:t>
            </w:r>
            <w:r>
              <w:rPr>
                <w:rFonts w:hint="eastAsia"/>
                <w:color w:val="auto"/>
                <w:sz w:val="24"/>
                <w:lang w:val="en-US" w:eastAsia="zh-CN"/>
              </w:rPr>
              <w:t>印刷1万米热封膜，年运行时间为3100h，年最大印刷产能为6200万米热封膜；</w:t>
            </w:r>
          </w:p>
          <w:p w14:paraId="46B9DBC8">
            <w:pPr>
              <w:spacing w:line="360" w:lineRule="auto"/>
              <w:ind w:firstLine="480" w:firstLineChars="200"/>
              <w:jc w:val="both"/>
              <w:rPr>
                <w:rFonts w:hint="eastAsia"/>
                <w:color w:val="auto"/>
                <w:sz w:val="24"/>
                <w:lang w:val="en-US" w:eastAsia="zh-CN"/>
              </w:rPr>
            </w:pPr>
            <w:r>
              <w:rPr>
                <w:color w:val="auto"/>
                <w:sz w:val="24"/>
              </w:rPr>
              <w:t>每</w:t>
            </w:r>
            <w:r>
              <w:rPr>
                <w:rFonts w:hint="eastAsia"/>
                <w:color w:val="auto"/>
                <w:sz w:val="24"/>
                <w:lang w:val="en-US" w:eastAsia="zh-CN"/>
              </w:rPr>
              <w:t>台分切机平均</w:t>
            </w:r>
            <w:r>
              <w:rPr>
                <w:color w:val="auto"/>
                <w:sz w:val="24"/>
              </w:rPr>
              <w:t>每小时可</w:t>
            </w:r>
            <w:r>
              <w:rPr>
                <w:rFonts w:hint="eastAsia"/>
                <w:color w:val="auto"/>
                <w:sz w:val="24"/>
                <w:lang w:val="en-US" w:eastAsia="zh-CN"/>
              </w:rPr>
              <w:t>分切1.2万米热封膜，年运行时间为3100h，年最大分切产能为7440万米热封膜；</w:t>
            </w:r>
          </w:p>
          <w:p w14:paraId="4AF966DB">
            <w:pPr>
              <w:pStyle w:val="13"/>
              <w:spacing w:before="0" w:after="0" w:line="240" w:lineRule="auto"/>
              <w:ind w:right="0"/>
              <w:jc w:val="center"/>
              <w:rPr>
                <w:color w:val="auto"/>
              </w:rPr>
            </w:pPr>
            <w:r>
              <w:rPr>
                <w:rFonts w:hint="eastAsia"/>
                <w:b/>
                <w:bCs/>
                <w:color w:val="auto"/>
                <w:sz w:val="24"/>
                <w:szCs w:val="24"/>
              </w:rPr>
              <w:t>表2-</w:t>
            </w:r>
            <w:r>
              <w:rPr>
                <w:rFonts w:hint="eastAsia"/>
                <w:b/>
                <w:bCs/>
                <w:color w:val="auto"/>
                <w:sz w:val="24"/>
                <w:szCs w:val="24"/>
                <w:lang w:val="en-US" w:eastAsia="zh-CN"/>
              </w:rPr>
              <w:t>4</w:t>
            </w:r>
            <w:r>
              <w:rPr>
                <w:rFonts w:hint="eastAsia"/>
                <w:b/>
                <w:bCs/>
                <w:color w:val="auto"/>
                <w:sz w:val="24"/>
                <w:szCs w:val="24"/>
              </w:rPr>
              <w:t xml:space="preserve">  </w:t>
            </w:r>
            <w:r>
              <w:rPr>
                <w:rFonts w:hint="eastAsia"/>
                <w:b/>
                <w:bCs/>
                <w:color w:val="auto"/>
                <w:sz w:val="24"/>
              </w:rPr>
              <w:t>主要生产设备产能匹配分析表</w:t>
            </w:r>
          </w:p>
          <w:tbl>
            <w:tblPr>
              <w:tblStyle w:val="29"/>
              <w:tblW w:w="4995"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26"/>
              <w:gridCol w:w="1313"/>
              <w:gridCol w:w="1327"/>
              <w:gridCol w:w="741"/>
              <w:gridCol w:w="1279"/>
              <w:gridCol w:w="1613"/>
              <w:gridCol w:w="1613"/>
            </w:tblGrid>
            <w:tr w14:paraId="70B567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3" w:type="pct"/>
                  <w:vAlign w:val="center"/>
                </w:tcPr>
                <w:p w14:paraId="7A0E6399">
                  <w:pPr>
                    <w:widowControl/>
                    <w:jc w:val="center"/>
                    <w:rPr>
                      <w:b/>
                      <w:bCs/>
                      <w:color w:val="auto"/>
                      <w:szCs w:val="21"/>
                    </w:rPr>
                  </w:pPr>
                  <w:r>
                    <w:rPr>
                      <w:b/>
                      <w:bCs/>
                      <w:color w:val="auto"/>
                      <w:kern w:val="0"/>
                      <w:szCs w:val="21"/>
                    </w:rPr>
                    <w:t>序号</w:t>
                  </w:r>
                </w:p>
              </w:tc>
              <w:tc>
                <w:tcPr>
                  <w:tcW w:w="780" w:type="pct"/>
                  <w:vAlign w:val="center"/>
                </w:tcPr>
                <w:p w14:paraId="4CB94C26">
                  <w:pPr>
                    <w:widowControl/>
                    <w:jc w:val="center"/>
                    <w:rPr>
                      <w:b/>
                      <w:bCs/>
                      <w:color w:val="auto"/>
                      <w:szCs w:val="21"/>
                    </w:rPr>
                  </w:pPr>
                  <w:r>
                    <w:rPr>
                      <w:b/>
                      <w:bCs/>
                      <w:color w:val="auto"/>
                      <w:kern w:val="0"/>
                      <w:szCs w:val="21"/>
                    </w:rPr>
                    <w:t>设备名称</w:t>
                  </w:r>
                </w:p>
              </w:tc>
              <w:tc>
                <w:tcPr>
                  <w:tcW w:w="788" w:type="pct"/>
                  <w:vAlign w:val="center"/>
                </w:tcPr>
                <w:p w14:paraId="60B1EF75">
                  <w:pPr>
                    <w:widowControl/>
                    <w:jc w:val="center"/>
                    <w:rPr>
                      <w:b/>
                      <w:bCs/>
                      <w:color w:val="auto"/>
                      <w:szCs w:val="21"/>
                    </w:rPr>
                  </w:pPr>
                  <w:r>
                    <w:rPr>
                      <w:rFonts w:hint="eastAsia"/>
                      <w:b/>
                      <w:bCs/>
                      <w:color w:val="auto"/>
                      <w:kern w:val="0"/>
                      <w:szCs w:val="21"/>
                    </w:rPr>
                    <w:t>单台设备生产能力（</w:t>
                  </w:r>
                  <w:r>
                    <w:rPr>
                      <w:rFonts w:hint="eastAsia"/>
                      <w:b/>
                      <w:bCs/>
                      <w:color w:val="auto"/>
                      <w:kern w:val="0"/>
                      <w:szCs w:val="21"/>
                      <w:lang w:val="en-US" w:eastAsia="zh-CN"/>
                    </w:rPr>
                    <w:t>万米</w:t>
                  </w:r>
                  <w:r>
                    <w:rPr>
                      <w:rFonts w:hint="eastAsia"/>
                      <w:b/>
                      <w:bCs/>
                      <w:color w:val="auto"/>
                      <w:kern w:val="0"/>
                      <w:szCs w:val="21"/>
                    </w:rPr>
                    <w:t>/</w:t>
                  </w:r>
                  <w:r>
                    <w:rPr>
                      <w:rFonts w:hint="eastAsia"/>
                      <w:b/>
                      <w:bCs/>
                      <w:color w:val="auto"/>
                      <w:kern w:val="0"/>
                      <w:szCs w:val="21"/>
                      <w:lang w:val="en-US" w:eastAsia="zh-CN"/>
                    </w:rPr>
                    <w:t>h</w:t>
                  </w:r>
                  <w:r>
                    <w:rPr>
                      <w:rFonts w:hint="eastAsia"/>
                      <w:b/>
                      <w:bCs/>
                      <w:color w:val="auto"/>
                      <w:kern w:val="0"/>
                      <w:szCs w:val="21"/>
                    </w:rPr>
                    <w:t>）</w:t>
                  </w:r>
                </w:p>
              </w:tc>
              <w:tc>
                <w:tcPr>
                  <w:tcW w:w="440" w:type="pct"/>
                  <w:vAlign w:val="center"/>
                </w:tcPr>
                <w:p w14:paraId="45255C2E">
                  <w:pPr>
                    <w:widowControl/>
                    <w:jc w:val="center"/>
                    <w:rPr>
                      <w:rFonts w:hint="eastAsia" w:eastAsia="宋体"/>
                      <w:b/>
                      <w:bCs/>
                      <w:color w:val="auto"/>
                      <w:szCs w:val="21"/>
                      <w:lang w:val="en-US" w:eastAsia="zh-CN"/>
                    </w:rPr>
                  </w:pPr>
                  <w:r>
                    <w:rPr>
                      <w:rFonts w:hint="eastAsia"/>
                      <w:b/>
                      <w:bCs/>
                      <w:color w:val="auto"/>
                      <w:kern w:val="0"/>
                      <w:szCs w:val="21"/>
                    </w:rPr>
                    <w:t>设备</w:t>
                  </w:r>
                  <w:r>
                    <w:rPr>
                      <w:rFonts w:hint="eastAsia"/>
                      <w:b/>
                      <w:bCs/>
                      <w:color w:val="auto"/>
                      <w:kern w:val="0"/>
                      <w:szCs w:val="21"/>
                      <w:lang w:val="en-US" w:eastAsia="zh-CN"/>
                    </w:rPr>
                    <w:t>数量</w:t>
                  </w:r>
                </w:p>
              </w:tc>
              <w:tc>
                <w:tcPr>
                  <w:tcW w:w="760" w:type="pct"/>
                  <w:vAlign w:val="center"/>
                </w:tcPr>
                <w:p w14:paraId="387DFF28">
                  <w:pPr>
                    <w:widowControl/>
                    <w:jc w:val="center"/>
                    <w:rPr>
                      <w:b/>
                      <w:bCs/>
                      <w:color w:val="auto"/>
                      <w:szCs w:val="21"/>
                    </w:rPr>
                  </w:pPr>
                  <w:r>
                    <w:rPr>
                      <w:rFonts w:hint="eastAsia"/>
                      <w:b/>
                      <w:bCs/>
                      <w:color w:val="auto"/>
                      <w:kern w:val="0"/>
                      <w:szCs w:val="21"/>
                    </w:rPr>
                    <w:t>年运行时间（h）</w:t>
                  </w:r>
                </w:p>
              </w:tc>
              <w:tc>
                <w:tcPr>
                  <w:tcW w:w="958" w:type="pct"/>
                  <w:vAlign w:val="center"/>
                </w:tcPr>
                <w:p w14:paraId="17414011">
                  <w:pPr>
                    <w:widowControl/>
                    <w:jc w:val="center"/>
                    <w:rPr>
                      <w:b/>
                      <w:bCs/>
                      <w:color w:val="auto"/>
                      <w:szCs w:val="21"/>
                    </w:rPr>
                  </w:pPr>
                  <w:r>
                    <w:rPr>
                      <w:rFonts w:hint="eastAsia"/>
                      <w:b/>
                      <w:bCs/>
                      <w:color w:val="auto"/>
                      <w:kern w:val="0"/>
                      <w:szCs w:val="21"/>
                    </w:rPr>
                    <w:t>最大生产能力（</w:t>
                  </w:r>
                  <w:r>
                    <w:rPr>
                      <w:rFonts w:hint="eastAsia"/>
                      <w:b/>
                      <w:bCs/>
                      <w:color w:val="auto"/>
                      <w:kern w:val="0"/>
                      <w:szCs w:val="21"/>
                      <w:lang w:val="en-US" w:eastAsia="zh-CN"/>
                    </w:rPr>
                    <w:t>万米</w:t>
                  </w:r>
                  <w:r>
                    <w:rPr>
                      <w:rFonts w:hint="eastAsia"/>
                      <w:b/>
                      <w:bCs/>
                      <w:color w:val="auto"/>
                      <w:kern w:val="0"/>
                      <w:szCs w:val="21"/>
                    </w:rPr>
                    <w:t>/年）</w:t>
                  </w:r>
                </w:p>
              </w:tc>
              <w:tc>
                <w:tcPr>
                  <w:tcW w:w="958" w:type="pct"/>
                  <w:vAlign w:val="center"/>
                </w:tcPr>
                <w:p w14:paraId="28FDA57A">
                  <w:pPr>
                    <w:widowControl/>
                    <w:jc w:val="center"/>
                    <w:rPr>
                      <w:b/>
                      <w:bCs/>
                      <w:color w:val="auto"/>
                      <w:szCs w:val="21"/>
                    </w:rPr>
                  </w:pPr>
                  <w:r>
                    <w:rPr>
                      <w:rFonts w:hint="eastAsia"/>
                      <w:b/>
                      <w:bCs/>
                      <w:color w:val="auto"/>
                      <w:kern w:val="0"/>
                      <w:szCs w:val="21"/>
                    </w:rPr>
                    <w:t>项目设计产能（</w:t>
                  </w:r>
                  <w:r>
                    <w:rPr>
                      <w:rFonts w:hint="eastAsia"/>
                      <w:b/>
                      <w:bCs/>
                      <w:color w:val="auto"/>
                      <w:kern w:val="0"/>
                      <w:szCs w:val="21"/>
                      <w:lang w:val="en-US" w:eastAsia="zh-CN"/>
                    </w:rPr>
                    <w:t>万米</w:t>
                  </w:r>
                  <w:r>
                    <w:rPr>
                      <w:rFonts w:hint="eastAsia"/>
                      <w:b/>
                      <w:bCs/>
                      <w:color w:val="auto"/>
                      <w:kern w:val="0"/>
                      <w:szCs w:val="21"/>
                    </w:rPr>
                    <w:t>/年）</w:t>
                  </w:r>
                </w:p>
              </w:tc>
            </w:tr>
            <w:tr w14:paraId="492C9C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3" w:type="pct"/>
                  <w:vAlign w:val="center"/>
                </w:tcPr>
                <w:p w14:paraId="710B2341">
                  <w:pPr>
                    <w:widowControl/>
                    <w:jc w:val="center"/>
                    <w:rPr>
                      <w:b/>
                      <w:bCs/>
                      <w:color w:val="auto"/>
                    </w:rPr>
                  </w:pPr>
                  <w:r>
                    <w:rPr>
                      <w:rFonts w:hint="eastAsia"/>
                      <w:color w:val="auto"/>
                      <w:szCs w:val="21"/>
                    </w:rPr>
                    <w:t>1</w:t>
                  </w:r>
                </w:p>
              </w:tc>
              <w:tc>
                <w:tcPr>
                  <w:tcW w:w="1313" w:type="dxa"/>
                  <w:vAlign w:val="center"/>
                </w:tcPr>
                <w:p w14:paraId="377B7698">
                  <w:pPr>
                    <w:keepNext w:val="0"/>
                    <w:keepLines w:val="0"/>
                    <w:pageBreakBefore w:val="0"/>
                    <w:widowControl w:val="0"/>
                    <w:kinsoku/>
                    <w:wordWrap/>
                    <w:overflowPunct/>
                    <w:topLinePunct w:val="0"/>
                    <w:autoSpaceDE/>
                    <w:autoSpaceDN/>
                    <w:bidi w:val="0"/>
                    <w:spacing w:line="240" w:lineRule="auto"/>
                    <w:jc w:val="center"/>
                    <w:textAlignment w:val="auto"/>
                    <w:rPr>
                      <w:rFonts w:hint="eastAsia" w:eastAsia="宋体"/>
                      <w:b/>
                      <w:bCs/>
                      <w:color w:val="auto"/>
                      <w:lang w:eastAsia="zh-CN"/>
                    </w:rPr>
                  </w:pPr>
                  <w:r>
                    <w:rPr>
                      <w:rFonts w:hint="eastAsia" w:ascii="Times New Roman" w:hAnsi="Times New Roman" w:eastAsia="宋体" w:cs="Times New Roman"/>
                      <w:snapToGrid w:val="0"/>
                      <w:color w:val="auto"/>
                      <w:szCs w:val="21"/>
                      <w:lang w:val="en-US" w:eastAsia="zh-CN"/>
                    </w:rPr>
                    <w:t>印刷</w:t>
                  </w:r>
                  <w:r>
                    <w:rPr>
                      <w:rFonts w:hint="default" w:ascii="Times New Roman" w:hAnsi="Times New Roman" w:eastAsia="宋体" w:cs="Times New Roman"/>
                      <w:snapToGrid w:val="0"/>
                      <w:color w:val="auto"/>
                      <w:szCs w:val="21"/>
                      <w:lang w:val="en-US" w:eastAsia="zh-CN"/>
                    </w:rPr>
                    <w:t>机</w:t>
                  </w:r>
                </w:p>
              </w:tc>
              <w:tc>
                <w:tcPr>
                  <w:tcW w:w="788" w:type="pct"/>
                  <w:vAlign w:val="center"/>
                </w:tcPr>
                <w:p w14:paraId="4C51C3A8">
                  <w:pPr>
                    <w:widowControl/>
                    <w:jc w:val="center"/>
                    <w:rPr>
                      <w:rFonts w:hint="default" w:eastAsia="宋体"/>
                      <w:b/>
                      <w:bCs/>
                      <w:color w:val="auto"/>
                      <w:lang w:val="en-US" w:eastAsia="zh-CN"/>
                    </w:rPr>
                  </w:pPr>
                  <w:r>
                    <w:rPr>
                      <w:rFonts w:hint="eastAsia"/>
                      <w:b w:val="0"/>
                      <w:bCs w:val="0"/>
                      <w:color w:val="auto"/>
                      <w:lang w:val="en-US" w:eastAsia="zh-CN"/>
                    </w:rPr>
                    <w:t>1</w:t>
                  </w:r>
                </w:p>
              </w:tc>
              <w:tc>
                <w:tcPr>
                  <w:tcW w:w="440" w:type="pct"/>
                  <w:vAlign w:val="center"/>
                </w:tcPr>
                <w:p w14:paraId="5BD2AC77">
                  <w:pPr>
                    <w:widowControl/>
                    <w:jc w:val="center"/>
                    <w:rPr>
                      <w:rFonts w:hint="default" w:eastAsia="宋体"/>
                      <w:b w:val="0"/>
                      <w:bCs w:val="0"/>
                      <w:color w:val="auto"/>
                      <w:lang w:val="en-US" w:eastAsia="zh-CN"/>
                    </w:rPr>
                  </w:pPr>
                  <w:r>
                    <w:rPr>
                      <w:rFonts w:hint="eastAsia"/>
                      <w:b w:val="0"/>
                      <w:bCs w:val="0"/>
                      <w:color w:val="auto"/>
                      <w:lang w:val="en-US" w:eastAsia="zh-CN"/>
                    </w:rPr>
                    <w:t>2台</w:t>
                  </w:r>
                </w:p>
              </w:tc>
              <w:tc>
                <w:tcPr>
                  <w:tcW w:w="760" w:type="pct"/>
                  <w:vAlign w:val="center"/>
                </w:tcPr>
                <w:p w14:paraId="641B6472">
                  <w:pPr>
                    <w:widowControl/>
                    <w:jc w:val="center"/>
                    <w:rPr>
                      <w:rFonts w:hint="default" w:eastAsia="宋体"/>
                      <w:color w:val="auto"/>
                      <w:szCs w:val="21"/>
                      <w:lang w:val="en-US" w:eastAsia="zh-CN"/>
                    </w:rPr>
                  </w:pPr>
                  <w:r>
                    <w:rPr>
                      <w:rFonts w:hint="eastAsia"/>
                      <w:color w:val="auto"/>
                      <w:szCs w:val="21"/>
                      <w:lang w:val="en-US" w:eastAsia="zh-CN"/>
                    </w:rPr>
                    <w:t>3100</w:t>
                  </w:r>
                </w:p>
              </w:tc>
              <w:tc>
                <w:tcPr>
                  <w:tcW w:w="958" w:type="pct"/>
                  <w:vAlign w:val="center"/>
                </w:tcPr>
                <w:p w14:paraId="28F00E18">
                  <w:pPr>
                    <w:widowControl/>
                    <w:jc w:val="center"/>
                    <w:rPr>
                      <w:rFonts w:hint="default" w:eastAsia="宋体"/>
                      <w:b/>
                      <w:bCs/>
                      <w:color w:val="auto"/>
                      <w:lang w:val="en-US" w:eastAsia="zh-CN"/>
                    </w:rPr>
                  </w:pPr>
                  <w:r>
                    <w:rPr>
                      <w:rFonts w:hint="eastAsia"/>
                      <w:color w:val="auto"/>
                      <w:szCs w:val="21"/>
                      <w:lang w:val="en-US" w:eastAsia="zh-CN"/>
                    </w:rPr>
                    <w:t>6200</w:t>
                  </w:r>
                </w:p>
              </w:tc>
              <w:tc>
                <w:tcPr>
                  <w:tcW w:w="958" w:type="pct"/>
                  <w:vAlign w:val="center"/>
                </w:tcPr>
                <w:p w14:paraId="5D61BE3E">
                  <w:pPr>
                    <w:widowControl/>
                    <w:jc w:val="center"/>
                    <w:rPr>
                      <w:rFonts w:hint="default" w:eastAsia="宋体"/>
                      <w:b/>
                      <w:bCs/>
                      <w:color w:val="auto"/>
                      <w:lang w:val="en-US" w:eastAsia="zh-CN"/>
                    </w:rPr>
                  </w:pPr>
                  <w:r>
                    <w:rPr>
                      <w:rFonts w:hint="eastAsia"/>
                      <w:color w:val="auto"/>
                      <w:szCs w:val="21"/>
                      <w:lang w:val="en-US" w:eastAsia="zh-CN"/>
                    </w:rPr>
                    <w:t>5000</w:t>
                  </w:r>
                </w:p>
              </w:tc>
            </w:tr>
            <w:tr w14:paraId="4824C7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3" w:type="pct"/>
                  <w:vAlign w:val="center"/>
                </w:tcPr>
                <w:p w14:paraId="5964FB12">
                  <w:pPr>
                    <w:widowControl/>
                    <w:jc w:val="center"/>
                    <w:rPr>
                      <w:rFonts w:hint="eastAsia" w:eastAsia="宋体"/>
                      <w:color w:val="auto"/>
                      <w:szCs w:val="21"/>
                      <w:lang w:val="en-US" w:eastAsia="zh-CN"/>
                    </w:rPr>
                  </w:pPr>
                  <w:r>
                    <w:rPr>
                      <w:rFonts w:hint="eastAsia"/>
                      <w:color w:val="auto"/>
                      <w:szCs w:val="21"/>
                      <w:lang w:val="en-US" w:eastAsia="zh-CN"/>
                    </w:rPr>
                    <w:t>2</w:t>
                  </w:r>
                </w:p>
              </w:tc>
              <w:tc>
                <w:tcPr>
                  <w:tcW w:w="1313" w:type="dxa"/>
                  <w:vAlign w:val="center"/>
                </w:tcPr>
                <w:p w14:paraId="50F87543">
                  <w:pPr>
                    <w:keepNext w:val="0"/>
                    <w:keepLines w:val="0"/>
                    <w:pageBreakBefore w:val="0"/>
                    <w:widowControl w:val="0"/>
                    <w:kinsoku/>
                    <w:wordWrap/>
                    <w:overflowPunct/>
                    <w:topLinePunct w:val="0"/>
                    <w:autoSpaceDE/>
                    <w:autoSpaceDN/>
                    <w:bidi w:val="0"/>
                    <w:spacing w:line="240" w:lineRule="auto"/>
                    <w:jc w:val="center"/>
                    <w:textAlignment w:val="auto"/>
                    <w:rPr>
                      <w:rFonts w:hint="default" w:eastAsia="宋体"/>
                      <w:color w:val="auto"/>
                      <w:kern w:val="0"/>
                      <w:szCs w:val="21"/>
                      <w:lang w:val="en-US" w:eastAsia="zh-CN" w:bidi="ar"/>
                    </w:rPr>
                  </w:pPr>
                  <w:r>
                    <w:rPr>
                      <w:rFonts w:hint="eastAsia" w:ascii="Times New Roman" w:hAnsi="Times New Roman" w:eastAsia="宋体" w:cs="Times New Roman"/>
                      <w:snapToGrid w:val="0"/>
                      <w:color w:val="auto"/>
                      <w:szCs w:val="21"/>
                      <w:lang w:val="en-US" w:eastAsia="zh-CN"/>
                    </w:rPr>
                    <w:t>分切</w:t>
                  </w:r>
                  <w:r>
                    <w:rPr>
                      <w:rFonts w:hint="default" w:ascii="Times New Roman" w:hAnsi="Times New Roman" w:eastAsia="宋体" w:cs="Times New Roman"/>
                      <w:snapToGrid w:val="0"/>
                      <w:color w:val="auto"/>
                      <w:szCs w:val="21"/>
                      <w:lang w:val="en-US" w:eastAsia="zh-CN"/>
                    </w:rPr>
                    <w:t>机</w:t>
                  </w:r>
                </w:p>
              </w:tc>
              <w:tc>
                <w:tcPr>
                  <w:tcW w:w="788" w:type="pct"/>
                  <w:vAlign w:val="center"/>
                </w:tcPr>
                <w:p w14:paraId="01CCB495">
                  <w:pPr>
                    <w:widowControl/>
                    <w:jc w:val="center"/>
                    <w:rPr>
                      <w:rFonts w:hint="default" w:eastAsia="宋体"/>
                      <w:color w:val="auto"/>
                      <w:szCs w:val="21"/>
                      <w:lang w:val="en-US" w:eastAsia="zh-CN"/>
                    </w:rPr>
                  </w:pPr>
                  <w:r>
                    <w:rPr>
                      <w:rFonts w:hint="eastAsia"/>
                      <w:b w:val="0"/>
                      <w:bCs w:val="0"/>
                      <w:color w:val="auto"/>
                      <w:lang w:val="en-US" w:eastAsia="zh-CN"/>
                    </w:rPr>
                    <w:t>1.2</w:t>
                  </w:r>
                </w:p>
              </w:tc>
              <w:tc>
                <w:tcPr>
                  <w:tcW w:w="440" w:type="pct"/>
                  <w:vAlign w:val="center"/>
                </w:tcPr>
                <w:p w14:paraId="66C75095">
                  <w:pPr>
                    <w:widowControl/>
                    <w:jc w:val="center"/>
                    <w:rPr>
                      <w:rFonts w:hint="default" w:eastAsia="宋体"/>
                      <w:color w:val="auto"/>
                      <w:szCs w:val="21"/>
                      <w:lang w:val="en-US" w:eastAsia="zh-CN"/>
                    </w:rPr>
                  </w:pPr>
                  <w:r>
                    <w:rPr>
                      <w:rFonts w:hint="eastAsia"/>
                      <w:b w:val="0"/>
                      <w:bCs w:val="0"/>
                      <w:color w:val="auto"/>
                      <w:lang w:val="en-US" w:eastAsia="zh-CN"/>
                    </w:rPr>
                    <w:t>2台</w:t>
                  </w:r>
                </w:p>
              </w:tc>
              <w:tc>
                <w:tcPr>
                  <w:tcW w:w="760" w:type="pct"/>
                  <w:vAlign w:val="center"/>
                </w:tcPr>
                <w:p w14:paraId="0F04CC0B">
                  <w:pPr>
                    <w:widowControl/>
                    <w:jc w:val="center"/>
                    <w:rPr>
                      <w:rFonts w:hint="default" w:eastAsia="宋体"/>
                      <w:color w:val="auto"/>
                      <w:szCs w:val="21"/>
                      <w:lang w:val="en-US" w:eastAsia="zh-CN"/>
                    </w:rPr>
                  </w:pPr>
                  <w:r>
                    <w:rPr>
                      <w:rFonts w:hint="eastAsia"/>
                      <w:color w:val="auto"/>
                      <w:szCs w:val="21"/>
                      <w:lang w:val="en-US" w:eastAsia="zh-CN"/>
                    </w:rPr>
                    <w:t>3100</w:t>
                  </w:r>
                </w:p>
              </w:tc>
              <w:tc>
                <w:tcPr>
                  <w:tcW w:w="958" w:type="pct"/>
                  <w:vAlign w:val="center"/>
                </w:tcPr>
                <w:p w14:paraId="6AA95D46">
                  <w:pPr>
                    <w:widowControl/>
                    <w:jc w:val="center"/>
                    <w:rPr>
                      <w:rFonts w:hint="default"/>
                      <w:color w:val="auto"/>
                      <w:lang w:val="en-US" w:eastAsia="zh-CN"/>
                    </w:rPr>
                  </w:pPr>
                  <w:r>
                    <w:rPr>
                      <w:rFonts w:hint="eastAsia"/>
                      <w:color w:val="auto"/>
                      <w:szCs w:val="21"/>
                      <w:lang w:val="en-US" w:eastAsia="zh-CN"/>
                    </w:rPr>
                    <w:t>7440</w:t>
                  </w:r>
                </w:p>
              </w:tc>
              <w:tc>
                <w:tcPr>
                  <w:tcW w:w="958" w:type="pct"/>
                  <w:vAlign w:val="center"/>
                </w:tcPr>
                <w:p w14:paraId="6B4F9C3B">
                  <w:pPr>
                    <w:widowControl/>
                    <w:jc w:val="center"/>
                    <w:rPr>
                      <w:rFonts w:hint="default" w:eastAsia="宋体"/>
                      <w:color w:val="auto"/>
                      <w:szCs w:val="21"/>
                      <w:lang w:val="en-US" w:eastAsia="zh-CN"/>
                    </w:rPr>
                  </w:pPr>
                  <w:r>
                    <w:rPr>
                      <w:rFonts w:hint="eastAsia"/>
                      <w:color w:val="auto"/>
                      <w:szCs w:val="21"/>
                      <w:lang w:val="en-US" w:eastAsia="zh-CN"/>
                    </w:rPr>
                    <w:t>5000</w:t>
                  </w:r>
                </w:p>
              </w:tc>
            </w:tr>
          </w:tbl>
          <w:p w14:paraId="157F0842">
            <w:pPr>
              <w:pStyle w:val="16"/>
              <w:spacing w:line="360" w:lineRule="auto"/>
              <w:ind w:firstLine="480" w:firstLineChars="200"/>
              <w:rPr>
                <w:rFonts w:hint="default" w:ascii="Times New Roman" w:hAnsi="Times New Roman" w:eastAsia="宋体"/>
                <w:b w:val="0"/>
                <w:bCs w:val="0"/>
                <w:color w:val="auto"/>
                <w:kern w:val="0"/>
                <w:sz w:val="24"/>
                <w:szCs w:val="24"/>
                <w:lang w:val="en-US" w:eastAsia="zh-CN" w:bidi="ar"/>
              </w:rPr>
            </w:pPr>
            <w:r>
              <w:rPr>
                <w:rFonts w:hint="eastAsia" w:ascii="Times New Roman" w:hAnsi="Times New Roman"/>
                <w:b w:val="0"/>
                <w:bCs w:val="0"/>
                <w:color w:val="auto"/>
                <w:kern w:val="0"/>
                <w:sz w:val="24"/>
                <w:szCs w:val="24"/>
                <w:lang w:val="en-US" w:eastAsia="zh-CN" w:bidi="ar"/>
              </w:rPr>
              <w:t>根据以上分析，项目生产设备可以满足生产需求。</w:t>
            </w:r>
          </w:p>
          <w:p w14:paraId="3DEE2989">
            <w:pPr>
              <w:pStyle w:val="16"/>
              <w:spacing w:line="360" w:lineRule="auto"/>
              <w:ind w:firstLine="482" w:firstLineChars="200"/>
              <w:rPr>
                <w:rFonts w:ascii="Times New Roman" w:hAnsi="Times New Roman"/>
                <w:b/>
                <w:bCs/>
                <w:color w:val="auto"/>
                <w:kern w:val="0"/>
                <w:sz w:val="24"/>
                <w:szCs w:val="24"/>
                <w:lang w:bidi="ar"/>
              </w:rPr>
            </w:pPr>
            <w:r>
              <w:rPr>
                <w:rFonts w:hint="eastAsia" w:ascii="Times New Roman" w:hAnsi="Times New Roman"/>
                <w:b/>
                <w:bCs/>
                <w:color w:val="auto"/>
                <w:kern w:val="0"/>
                <w:sz w:val="24"/>
                <w:szCs w:val="24"/>
                <w:lang w:bidi="ar"/>
              </w:rPr>
              <w:t>五、项目主要原辅料源用量</w:t>
            </w:r>
          </w:p>
          <w:p w14:paraId="30ACC447">
            <w:pPr>
              <w:tabs>
                <w:tab w:val="left" w:pos="300"/>
              </w:tabs>
              <w:spacing w:line="360" w:lineRule="auto"/>
              <w:ind w:firstLine="480"/>
              <w:rPr>
                <w:color w:val="auto"/>
                <w:spacing w:val="-1"/>
                <w:sz w:val="24"/>
              </w:rPr>
            </w:pPr>
            <w:r>
              <w:rPr>
                <w:rFonts w:hint="eastAsia"/>
                <w:color w:val="auto"/>
                <w:sz w:val="24"/>
              </w:rPr>
              <w:t>根据企业提供的资料，项目主要原辅料及能源用量</w:t>
            </w:r>
            <w:r>
              <w:rPr>
                <w:color w:val="auto"/>
                <w:sz w:val="24"/>
              </w:rPr>
              <w:t>见表</w:t>
            </w:r>
            <w:r>
              <w:rPr>
                <w:color w:val="auto"/>
                <w:spacing w:val="-1"/>
                <w:sz w:val="24"/>
              </w:rPr>
              <w:t>2-</w:t>
            </w:r>
            <w:r>
              <w:rPr>
                <w:rFonts w:hint="eastAsia"/>
                <w:color w:val="auto"/>
                <w:spacing w:val="-1"/>
                <w:sz w:val="24"/>
                <w:lang w:val="en-US" w:eastAsia="zh-CN"/>
              </w:rPr>
              <w:t>5</w:t>
            </w:r>
            <w:r>
              <w:rPr>
                <w:color w:val="auto"/>
                <w:spacing w:val="-1"/>
                <w:sz w:val="24"/>
              </w:rPr>
              <w:t>。</w:t>
            </w:r>
          </w:p>
          <w:p w14:paraId="106A0735">
            <w:pPr>
              <w:pStyle w:val="7"/>
              <w:autoSpaceDE/>
              <w:autoSpaceDN/>
              <w:adjustRightInd/>
              <w:spacing w:line="240" w:lineRule="auto"/>
              <w:ind w:left="0" w:firstLine="0"/>
              <w:jc w:val="center"/>
              <w:textAlignment w:val="auto"/>
              <w:rPr>
                <w:b/>
                <w:bCs/>
                <w:color w:val="auto"/>
                <w:kern w:val="2"/>
                <w:szCs w:val="24"/>
              </w:rPr>
            </w:pPr>
            <w:r>
              <w:rPr>
                <w:rFonts w:hint="eastAsia"/>
                <w:b/>
                <w:bCs/>
                <w:color w:val="auto"/>
                <w:kern w:val="2"/>
                <w:szCs w:val="24"/>
              </w:rPr>
              <w:t>表2-</w:t>
            </w:r>
            <w:r>
              <w:rPr>
                <w:rFonts w:hint="eastAsia"/>
                <w:b/>
                <w:bCs/>
                <w:color w:val="auto"/>
                <w:kern w:val="2"/>
                <w:szCs w:val="24"/>
                <w:lang w:val="en-US" w:eastAsia="zh-CN"/>
              </w:rPr>
              <w:t>5</w:t>
            </w:r>
            <w:r>
              <w:rPr>
                <w:rFonts w:hint="eastAsia"/>
                <w:b/>
                <w:bCs/>
                <w:color w:val="auto"/>
                <w:kern w:val="2"/>
                <w:szCs w:val="24"/>
              </w:rPr>
              <w:t xml:space="preserve">  项目主要原辅料及能源用量对比</w:t>
            </w:r>
            <w:r>
              <w:rPr>
                <w:rFonts w:hint="eastAsia"/>
                <w:b/>
                <w:bCs/>
                <w:color w:val="auto"/>
                <w:kern w:val="2"/>
                <w:szCs w:val="24"/>
                <w:lang w:val="en-US" w:eastAsia="zh-CN"/>
              </w:rPr>
              <w:t>一览</w:t>
            </w:r>
            <w:r>
              <w:rPr>
                <w:rFonts w:hint="eastAsia"/>
                <w:b/>
                <w:bCs/>
                <w:color w:val="auto"/>
                <w:kern w:val="2"/>
                <w:szCs w:val="24"/>
              </w:rPr>
              <w:t>表</w:t>
            </w:r>
          </w:p>
          <w:tbl>
            <w:tblPr>
              <w:tblStyle w:val="28"/>
              <w:tblW w:w="4995"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344"/>
              <w:gridCol w:w="2374"/>
              <w:gridCol w:w="749"/>
              <w:gridCol w:w="1387"/>
              <w:gridCol w:w="1369"/>
              <w:gridCol w:w="1096"/>
              <w:gridCol w:w="1093"/>
            </w:tblGrid>
            <w:tr w14:paraId="7938A2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205" w:type="pct"/>
                  <w:noWrap w:val="0"/>
                  <w:vAlign w:val="center"/>
                </w:tcPr>
                <w:p w14:paraId="1C494A0A">
                  <w:pPr>
                    <w:pStyle w:val="97"/>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1410" w:type="pct"/>
                  <w:noWrap w:val="0"/>
                  <w:vAlign w:val="center"/>
                </w:tcPr>
                <w:p w14:paraId="2418816F">
                  <w:pPr>
                    <w:pStyle w:val="97"/>
                    <w:tabs>
                      <w:tab w:val="left" w:pos="554"/>
                    </w:tabs>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名称</w:t>
                  </w:r>
                </w:p>
              </w:tc>
              <w:tc>
                <w:tcPr>
                  <w:tcW w:w="445" w:type="pct"/>
                  <w:noWrap w:val="0"/>
                  <w:vAlign w:val="center"/>
                </w:tcPr>
                <w:p w14:paraId="1CFA4295">
                  <w:pPr>
                    <w:pStyle w:val="97"/>
                    <w:adjustRightInd w:val="0"/>
                    <w:snapToGrid w:val="0"/>
                    <w:jc w:val="center"/>
                    <w:rPr>
                      <w:rFonts w:hint="default" w:ascii="Times New Roman" w:hAnsi="Times New Roman" w:eastAsia="Times New Roman" w:cs="Times New Roman"/>
                      <w:b/>
                      <w:color w:val="auto"/>
                      <w:szCs w:val="21"/>
                    </w:rPr>
                  </w:pPr>
                  <w:r>
                    <w:rPr>
                      <w:rFonts w:hint="default" w:ascii="Times New Roman" w:hAnsi="Times New Roman" w:cs="Times New Roman"/>
                      <w:b/>
                      <w:color w:val="auto"/>
                      <w:szCs w:val="21"/>
                    </w:rPr>
                    <w:t>单位</w:t>
                  </w:r>
                  <w:r>
                    <w:rPr>
                      <w:rFonts w:hint="default" w:ascii="Times New Roman" w:hAnsi="Times New Roman" w:eastAsia="Times New Roman" w:cs="Times New Roman"/>
                      <w:b/>
                      <w:color w:val="auto"/>
                      <w:szCs w:val="21"/>
                    </w:rPr>
                    <w:t>/a</w:t>
                  </w:r>
                </w:p>
              </w:tc>
              <w:tc>
                <w:tcPr>
                  <w:tcW w:w="824" w:type="pct"/>
                  <w:noWrap w:val="0"/>
                  <w:vAlign w:val="center"/>
                </w:tcPr>
                <w:p w14:paraId="5BB9DC12">
                  <w:pPr>
                    <w:pStyle w:val="97"/>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年消耗量</w:t>
                  </w:r>
                </w:p>
              </w:tc>
              <w:tc>
                <w:tcPr>
                  <w:tcW w:w="813" w:type="pct"/>
                  <w:noWrap w:val="0"/>
                  <w:vAlign w:val="center"/>
                </w:tcPr>
                <w:p w14:paraId="3FAD8CA4">
                  <w:pPr>
                    <w:pStyle w:val="97"/>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储存方式</w:t>
                  </w:r>
                </w:p>
              </w:tc>
              <w:tc>
                <w:tcPr>
                  <w:tcW w:w="651" w:type="pct"/>
                  <w:noWrap w:val="0"/>
                  <w:vAlign w:val="center"/>
                </w:tcPr>
                <w:p w14:paraId="4F4B4B84">
                  <w:pPr>
                    <w:pStyle w:val="97"/>
                    <w:adjustRightInd w:val="0"/>
                    <w:snapToGrid w:val="0"/>
                    <w:jc w:val="center"/>
                    <w:rPr>
                      <w:rFonts w:hint="default" w:ascii="Times New Roman" w:hAnsi="Times New Roman" w:eastAsia="宋体" w:cs="Times New Roman"/>
                      <w:b/>
                      <w:color w:val="auto"/>
                      <w:szCs w:val="21"/>
                      <w:lang w:val="en-US" w:eastAsia="zh-CN"/>
                    </w:rPr>
                  </w:pPr>
                  <w:r>
                    <w:rPr>
                      <w:rFonts w:hint="default" w:ascii="Times New Roman" w:hAnsi="Times New Roman" w:cs="Times New Roman"/>
                      <w:b/>
                      <w:color w:val="auto"/>
                      <w:szCs w:val="21"/>
                    </w:rPr>
                    <w:t>最大储存量</w:t>
                  </w:r>
                </w:p>
              </w:tc>
              <w:tc>
                <w:tcPr>
                  <w:tcW w:w="649" w:type="pct"/>
                  <w:noWrap w:val="0"/>
                  <w:vAlign w:val="center"/>
                </w:tcPr>
                <w:p w14:paraId="2FBC880C">
                  <w:pPr>
                    <w:pStyle w:val="97"/>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储存位置</w:t>
                  </w:r>
                </w:p>
              </w:tc>
            </w:tr>
            <w:tr w14:paraId="37C0F2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205" w:type="pct"/>
                  <w:noWrap w:val="0"/>
                  <w:vAlign w:val="center"/>
                </w:tcPr>
                <w:p w14:paraId="150D0B07">
                  <w:pPr>
                    <w:pStyle w:val="97"/>
                    <w:adjustRightInd w:val="0"/>
                    <w:snapToGrid w:val="0"/>
                    <w:jc w:val="center"/>
                    <w:rPr>
                      <w:rFonts w:hint="default" w:ascii="Times New Roman" w:hAnsi="Times New Roman" w:eastAsia="宋体" w:cs="Times New Roman"/>
                      <w:color w:val="auto"/>
                      <w:w w:val="99"/>
                      <w:szCs w:val="21"/>
                      <w:lang w:val="en-US" w:eastAsia="zh-CN"/>
                    </w:rPr>
                  </w:pPr>
                  <w:r>
                    <w:rPr>
                      <w:rFonts w:hint="eastAsia" w:cs="Times New Roman"/>
                      <w:color w:val="auto"/>
                      <w:w w:val="99"/>
                      <w:szCs w:val="21"/>
                      <w:lang w:val="en-US" w:eastAsia="zh-CN"/>
                    </w:rPr>
                    <w:t>1</w:t>
                  </w:r>
                </w:p>
              </w:tc>
              <w:tc>
                <w:tcPr>
                  <w:tcW w:w="1410" w:type="pct"/>
                  <w:noWrap w:val="0"/>
                  <w:vAlign w:val="center"/>
                </w:tcPr>
                <w:p w14:paraId="705E93FA">
                  <w:pPr>
                    <w:pStyle w:val="16"/>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水性</w:t>
                  </w:r>
                  <w:r>
                    <w:rPr>
                      <w:rFonts w:hint="eastAsia" w:ascii="Times New Roman" w:hAnsi="Times New Roman" w:cs="Times New Roman"/>
                      <w:color w:val="auto"/>
                      <w:szCs w:val="21"/>
                      <w:lang w:val="en-US" w:eastAsia="zh-CN"/>
                    </w:rPr>
                    <w:t>油墨</w:t>
                  </w:r>
                </w:p>
              </w:tc>
              <w:tc>
                <w:tcPr>
                  <w:tcW w:w="445" w:type="pct"/>
                  <w:vMerge w:val="restart"/>
                  <w:noWrap w:val="0"/>
                  <w:vAlign w:val="center"/>
                </w:tcPr>
                <w:p w14:paraId="5D4C0AE7">
                  <w:pPr>
                    <w:pStyle w:val="97"/>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t</w:t>
                  </w:r>
                </w:p>
              </w:tc>
              <w:tc>
                <w:tcPr>
                  <w:tcW w:w="824" w:type="pct"/>
                  <w:noWrap w:val="0"/>
                  <w:vAlign w:val="center"/>
                </w:tcPr>
                <w:p w14:paraId="72CE0242">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3.4</w:t>
                  </w:r>
                </w:p>
              </w:tc>
              <w:tc>
                <w:tcPr>
                  <w:tcW w:w="813" w:type="pct"/>
                  <w:noWrap w:val="0"/>
                  <w:vAlign w:val="center"/>
                </w:tcPr>
                <w:p w14:paraId="43876B3D">
                  <w:pPr>
                    <w:pStyle w:val="97"/>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桶装</w:t>
                  </w:r>
                </w:p>
              </w:tc>
              <w:tc>
                <w:tcPr>
                  <w:tcW w:w="651" w:type="pct"/>
                  <w:noWrap w:val="0"/>
                  <w:vAlign w:val="center"/>
                </w:tcPr>
                <w:p w14:paraId="66D32966">
                  <w:pPr>
                    <w:pStyle w:val="97"/>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1.5</w:t>
                  </w:r>
                </w:p>
              </w:tc>
              <w:tc>
                <w:tcPr>
                  <w:tcW w:w="649" w:type="pct"/>
                  <w:vMerge w:val="restart"/>
                  <w:noWrap w:val="0"/>
                  <w:vAlign w:val="center"/>
                </w:tcPr>
                <w:p w14:paraId="06567D76">
                  <w:pPr>
                    <w:pStyle w:val="97"/>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油墨车间</w:t>
                  </w:r>
                </w:p>
              </w:tc>
            </w:tr>
            <w:tr w14:paraId="572634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179" w:hRule="atLeast"/>
              </w:trPr>
              <w:tc>
                <w:tcPr>
                  <w:tcW w:w="205" w:type="pct"/>
                  <w:noWrap w:val="0"/>
                  <w:vAlign w:val="center"/>
                </w:tcPr>
                <w:p w14:paraId="261C2828">
                  <w:pPr>
                    <w:pStyle w:val="97"/>
                    <w:adjustRightInd w:val="0"/>
                    <w:snapToGrid w:val="0"/>
                    <w:jc w:val="center"/>
                    <w:rPr>
                      <w:rFonts w:hint="default" w:ascii="Times New Roman" w:hAnsi="Times New Roman" w:eastAsia="宋体" w:cs="Times New Roman"/>
                      <w:color w:val="auto"/>
                      <w:w w:val="99"/>
                      <w:szCs w:val="21"/>
                      <w:lang w:val="en-US" w:eastAsia="zh-CN"/>
                    </w:rPr>
                  </w:pPr>
                  <w:r>
                    <w:rPr>
                      <w:rFonts w:hint="eastAsia" w:cs="Times New Roman"/>
                      <w:color w:val="auto"/>
                      <w:w w:val="99"/>
                      <w:szCs w:val="21"/>
                      <w:lang w:val="en-US" w:eastAsia="zh-CN"/>
                    </w:rPr>
                    <w:t>2</w:t>
                  </w:r>
                </w:p>
              </w:tc>
              <w:tc>
                <w:tcPr>
                  <w:tcW w:w="1410" w:type="pct"/>
                  <w:noWrap w:val="0"/>
                  <w:vAlign w:val="center"/>
                </w:tcPr>
                <w:p w14:paraId="740325B9">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油墨</w:t>
                  </w:r>
                </w:p>
              </w:tc>
              <w:tc>
                <w:tcPr>
                  <w:tcW w:w="445" w:type="pct"/>
                  <w:vMerge w:val="continue"/>
                  <w:noWrap w:val="0"/>
                  <w:vAlign w:val="center"/>
                </w:tcPr>
                <w:p w14:paraId="79D89256">
                  <w:pPr>
                    <w:pStyle w:val="97"/>
                    <w:adjustRightInd w:val="0"/>
                    <w:snapToGrid w:val="0"/>
                    <w:jc w:val="center"/>
                    <w:rPr>
                      <w:rFonts w:hint="default" w:cs="Times New Roman"/>
                      <w:color w:val="auto"/>
                      <w:szCs w:val="21"/>
                      <w:lang w:val="en-US" w:eastAsia="zh-CN"/>
                    </w:rPr>
                  </w:pPr>
                </w:p>
              </w:tc>
              <w:tc>
                <w:tcPr>
                  <w:tcW w:w="824" w:type="pct"/>
                  <w:noWrap w:val="0"/>
                  <w:vAlign w:val="center"/>
                </w:tcPr>
                <w:p w14:paraId="4B5F99D7">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0.1</w:t>
                  </w:r>
                </w:p>
              </w:tc>
              <w:tc>
                <w:tcPr>
                  <w:tcW w:w="813" w:type="pct"/>
                  <w:noWrap w:val="0"/>
                  <w:vAlign w:val="center"/>
                </w:tcPr>
                <w:p w14:paraId="33911D8C">
                  <w:pPr>
                    <w:adjustRightInd w:val="0"/>
                    <w:snapToGrid w:val="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桶装</w:t>
                  </w:r>
                </w:p>
              </w:tc>
              <w:tc>
                <w:tcPr>
                  <w:tcW w:w="651" w:type="pct"/>
                  <w:noWrap w:val="0"/>
                  <w:vAlign w:val="center"/>
                </w:tcPr>
                <w:p w14:paraId="7771F2D9">
                  <w:pPr>
                    <w:pStyle w:val="97"/>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0.05</w:t>
                  </w:r>
                </w:p>
              </w:tc>
              <w:tc>
                <w:tcPr>
                  <w:tcW w:w="649" w:type="pct"/>
                  <w:vMerge w:val="continue"/>
                  <w:noWrap w:val="0"/>
                  <w:vAlign w:val="center"/>
                </w:tcPr>
                <w:p w14:paraId="0386BCEB">
                  <w:pPr>
                    <w:pStyle w:val="97"/>
                    <w:adjustRightInd w:val="0"/>
                    <w:snapToGrid w:val="0"/>
                    <w:jc w:val="center"/>
                    <w:rPr>
                      <w:rFonts w:hint="default" w:ascii="Times New Roman" w:hAnsi="Times New Roman" w:eastAsia="宋体" w:cs="Times New Roman"/>
                      <w:color w:val="auto"/>
                      <w:szCs w:val="21"/>
                      <w:lang w:val="en-US" w:eastAsia="zh-CN"/>
                    </w:rPr>
                  </w:pPr>
                </w:p>
              </w:tc>
            </w:tr>
            <w:tr w14:paraId="343405C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205" w:type="pct"/>
                  <w:noWrap w:val="0"/>
                  <w:vAlign w:val="center"/>
                </w:tcPr>
                <w:p w14:paraId="3CC0D586">
                  <w:pPr>
                    <w:pStyle w:val="97"/>
                    <w:adjustRightInd w:val="0"/>
                    <w:snapToGrid w:val="0"/>
                    <w:jc w:val="center"/>
                    <w:rPr>
                      <w:rFonts w:hint="default" w:ascii="Times New Roman" w:hAnsi="Times New Roman" w:cs="Times New Roman"/>
                      <w:color w:val="auto"/>
                      <w:w w:val="99"/>
                      <w:szCs w:val="21"/>
                      <w:lang w:val="en-US" w:eastAsia="zh-CN"/>
                    </w:rPr>
                  </w:pPr>
                  <w:r>
                    <w:rPr>
                      <w:rFonts w:hint="eastAsia" w:cs="Times New Roman"/>
                      <w:color w:val="auto"/>
                      <w:w w:val="99"/>
                      <w:szCs w:val="21"/>
                      <w:lang w:val="en-US" w:eastAsia="zh-CN"/>
                    </w:rPr>
                    <w:t>3</w:t>
                  </w:r>
                </w:p>
              </w:tc>
              <w:tc>
                <w:tcPr>
                  <w:tcW w:w="1410" w:type="pct"/>
                  <w:noWrap w:val="0"/>
                  <w:vAlign w:val="center"/>
                </w:tcPr>
                <w:p w14:paraId="62294E89">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Times New Roman"/>
                      <w:color w:val="auto"/>
                      <w:szCs w:val="21"/>
                      <w:lang w:val="en-US" w:eastAsia="zh-CN"/>
                    </w:rPr>
                  </w:pPr>
                  <w:r>
                    <w:rPr>
                      <w:rFonts w:hint="eastAsia" w:ascii="Times New Roman" w:hAnsi="Times New Roman" w:eastAsia="宋体" w:cs="Times New Roman"/>
                      <w:color w:val="auto"/>
                      <w:szCs w:val="21"/>
                      <w:lang w:val="en-US" w:eastAsia="zh-CN"/>
                    </w:rPr>
                    <w:t>稀释剂</w:t>
                  </w:r>
                </w:p>
              </w:tc>
              <w:tc>
                <w:tcPr>
                  <w:tcW w:w="445" w:type="pct"/>
                  <w:vMerge w:val="continue"/>
                  <w:noWrap w:val="0"/>
                  <w:vAlign w:val="center"/>
                </w:tcPr>
                <w:p w14:paraId="53742C4B">
                  <w:pPr>
                    <w:pStyle w:val="97"/>
                    <w:adjustRightInd w:val="0"/>
                    <w:snapToGrid w:val="0"/>
                    <w:jc w:val="center"/>
                    <w:rPr>
                      <w:rFonts w:hint="default" w:ascii="Times New Roman" w:hAnsi="Times New Roman" w:cs="Times New Roman"/>
                      <w:color w:val="auto"/>
                      <w:szCs w:val="21"/>
                      <w:lang w:val="en-US" w:eastAsia="zh-CN"/>
                    </w:rPr>
                  </w:pPr>
                </w:p>
              </w:tc>
              <w:tc>
                <w:tcPr>
                  <w:tcW w:w="824" w:type="pct"/>
                  <w:noWrap w:val="0"/>
                  <w:vAlign w:val="center"/>
                </w:tcPr>
                <w:p w14:paraId="317A1125">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0.02</w:t>
                  </w:r>
                </w:p>
              </w:tc>
              <w:tc>
                <w:tcPr>
                  <w:tcW w:w="813" w:type="pct"/>
                  <w:noWrap w:val="0"/>
                  <w:vAlign w:val="center"/>
                </w:tcPr>
                <w:p w14:paraId="74C16C0E">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桶装</w:t>
                  </w:r>
                </w:p>
              </w:tc>
              <w:tc>
                <w:tcPr>
                  <w:tcW w:w="651" w:type="pct"/>
                  <w:noWrap w:val="0"/>
                  <w:vAlign w:val="center"/>
                </w:tcPr>
                <w:p w14:paraId="0D42DCA4">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0.01</w:t>
                  </w:r>
                </w:p>
              </w:tc>
              <w:tc>
                <w:tcPr>
                  <w:tcW w:w="649" w:type="pct"/>
                  <w:vMerge w:val="continue"/>
                  <w:noWrap w:val="0"/>
                  <w:vAlign w:val="center"/>
                </w:tcPr>
                <w:p w14:paraId="5508D94B">
                  <w:pPr>
                    <w:pStyle w:val="97"/>
                    <w:adjustRightInd w:val="0"/>
                    <w:snapToGrid w:val="0"/>
                    <w:jc w:val="center"/>
                    <w:rPr>
                      <w:rFonts w:hint="eastAsia" w:ascii="Times New Roman" w:hAnsi="Times New Roman" w:eastAsia="宋体" w:cs="Times New Roman"/>
                      <w:color w:val="auto"/>
                      <w:szCs w:val="21"/>
                      <w:lang w:val="en-US" w:eastAsia="zh-CN"/>
                    </w:rPr>
                  </w:pPr>
                </w:p>
              </w:tc>
            </w:tr>
            <w:tr w14:paraId="7788CE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205" w:type="pct"/>
                  <w:vMerge w:val="restart"/>
                  <w:noWrap w:val="0"/>
                  <w:vAlign w:val="center"/>
                </w:tcPr>
                <w:p w14:paraId="7404412A">
                  <w:pPr>
                    <w:pStyle w:val="97"/>
                    <w:adjustRightInd w:val="0"/>
                    <w:snapToGrid w:val="0"/>
                    <w:jc w:val="center"/>
                    <w:rPr>
                      <w:rFonts w:hint="default" w:cs="Times New Roman"/>
                      <w:color w:val="auto"/>
                      <w:w w:val="99"/>
                      <w:szCs w:val="21"/>
                      <w:lang w:val="en-US" w:eastAsia="zh-CN"/>
                    </w:rPr>
                  </w:pPr>
                  <w:r>
                    <w:rPr>
                      <w:rFonts w:hint="eastAsia" w:cs="Times New Roman"/>
                      <w:color w:val="auto"/>
                      <w:w w:val="99"/>
                      <w:szCs w:val="21"/>
                      <w:lang w:val="en-US" w:eastAsia="zh-CN"/>
                    </w:rPr>
                    <w:t>4</w:t>
                  </w:r>
                </w:p>
              </w:tc>
              <w:tc>
                <w:tcPr>
                  <w:tcW w:w="1410" w:type="pct"/>
                  <w:vMerge w:val="restart"/>
                  <w:noWrap w:val="0"/>
                  <w:vAlign w:val="center"/>
                </w:tcPr>
                <w:p w14:paraId="0284C584">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Times New Roman"/>
                      <w:color w:val="auto"/>
                      <w:szCs w:val="21"/>
                      <w:lang w:val="en-US" w:eastAsia="zh-CN"/>
                    </w:rPr>
                  </w:pPr>
                  <w:r>
                    <w:rPr>
                      <w:rFonts w:hint="eastAsia" w:eastAsia="宋体" w:cs="Times New Roman"/>
                      <w:color w:val="auto"/>
                      <w:szCs w:val="21"/>
                      <w:lang w:val="en-US" w:eastAsia="zh-CN"/>
                    </w:rPr>
                    <w:t>OPP</w:t>
                  </w:r>
                  <w:r>
                    <w:rPr>
                      <w:rFonts w:hint="eastAsia" w:ascii="Times New Roman" w:hAnsi="Times New Roman" w:eastAsia="宋体" w:cs="Times New Roman"/>
                      <w:color w:val="auto"/>
                      <w:szCs w:val="21"/>
                      <w:lang w:val="en-US" w:eastAsia="zh-CN"/>
                    </w:rPr>
                    <w:t>热封膜</w:t>
                  </w:r>
                </w:p>
              </w:tc>
              <w:tc>
                <w:tcPr>
                  <w:tcW w:w="445" w:type="pct"/>
                  <w:noWrap w:val="0"/>
                  <w:vAlign w:val="center"/>
                </w:tcPr>
                <w:p w14:paraId="40DE1264">
                  <w:pPr>
                    <w:pStyle w:val="97"/>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万米</w:t>
                  </w:r>
                </w:p>
              </w:tc>
              <w:tc>
                <w:tcPr>
                  <w:tcW w:w="824" w:type="pct"/>
                  <w:noWrap w:val="0"/>
                  <w:vAlign w:val="center"/>
                </w:tcPr>
                <w:p w14:paraId="34BCAE7A">
                  <w:pPr>
                    <w:pStyle w:val="97"/>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5000</w:t>
                  </w:r>
                </w:p>
              </w:tc>
              <w:tc>
                <w:tcPr>
                  <w:tcW w:w="813" w:type="pct"/>
                  <w:vMerge w:val="restart"/>
                  <w:noWrap w:val="0"/>
                  <w:vAlign w:val="center"/>
                </w:tcPr>
                <w:p w14:paraId="0420079D">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箱装</w:t>
                  </w:r>
                </w:p>
              </w:tc>
              <w:tc>
                <w:tcPr>
                  <w:tcW w:w="651" w:type="pct"/>
                  <w:noWrap w:val="0"/>
                  <w:vAlign w:val="center"/>
                </w:tcPr>
                <w:p w14:paraId="1539A495">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1000</w:t>
                  </w:r>
                </w:p>
              </w:tc>
              <w:tc>
                <w:tcPr>
                  <w:tcW w:w="649" w:type="pct"/>
                  <w:vMerge w:val="restart"/>
                  <w:noWrap w:val="0"/>
                  <w:vAlign w:val="center"/>
                </w:tcPr>
                <w:p w14:paraId="266194C9">
                  <w:pPr>
                    <w:pStyle w:val="97"/>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彩印车间</w:t>
                  </w:r>
                </w:p>
              </w:tc>
            </w:tr>
            <w:tr w14:paraId="2075B1F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205" w:type="pct"/>
                  <w:vMerge w:val="continue"/>
                  <w:noWrap w:val="0"/>
                  <w:vAlign w:val="center"/>
                </w:tcPr>
                <w:p w14:paraId="218F28B1">
                  <w:pPr>
                    <w:pStyle w:val="97"/>
                    <w:adjustRightInd w:val="0"/>
                    <w:snapToGrid w:val="0"/>
                    <w:jc w:val="center"/>
                    <w:rPr>
                      <w:rFonts w:hint="eastAsia" w:cs="Times New Roman"/>
                      <w:color w:val="auto"/>
                      <w:w w:val="99"/>
                      <w:szCs w:val="21"/>
                      <w:lang w:val="en-US" w:eastAsia="zh-CN"/>
                    </w:rPr>
                  </w:pPr>
                </w:p>
              </w:tc>
              <w:tc>
                <w:tcPr>
                  <w:tcW w:w="1410" w:type="pct"/>
                  <w:vMerge w:val="continue"/>
                  <w:noWrap w:val="0"/>
                  <w:vAlign w:val="center"/>
                </w:tcPr>
                <w:p w14:paraId="7769E03F">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zCs w:val="21"/>
                      <w:lang w:val="en-US" w:eastAsia="zh-CN"/>
                    </w:rPr>
                  </w:pPr>
                </w:p>
              </w:tc>
              <w:tc>
                <w:tcPr>
                  <w:tcW w:w="445" w:type="pct"/>
                  <w:noWrap w:val="0"/>
                  <w:vAlign w:val="center"/>
                </w:tcPr>
                <w:p w14:paraId="49851200">
                  <w:pPr>
                    <w:pStyle w:val="97"/>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t</w:t>
                  </w:r>
                </w:p>
              </w:tc>
              <w:tc>
                <w:tcPr>
                  <w:tcW w:w="824" w:type="pct"/>
                  <w:noWrap w:val="0"/>
                  <w:vAlign w:val="center"/>
                </w:tcPr>
                <w:p w14:paraId="45671EE5">
                  <w:pPr>
                    <w:pStyle w:val="97"/>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250</w:t>
                  </w:r>
                </w:p>
              </w:tc>
              <w:tc>
                <w:tcPr>
                  <w:tcW w:w="813" w:type="pct"/>
                  <w:vMerge w:val="continue"/>
                  <w:noWrap w:val="0"/>
                  <w:vAlign w:val="center"/>
                </w:tcPr>
                <w:p w14:paraId="4928B55D">
                  <w:pPr>
                    <w:adjustRightInd w:val="0"/>
                    <w:snapToGrid w:val="0"/>
                    <w:jc w:val="center"/>
                    <w:rPr>
                      <w:rFonts w:hint="default" w:cs="Times New Roman"/>
                      <w:color w:val="auto"/>
                      <w:szCs w:val="21"/>
                      <w:lang w:val="en-US" w:eastAsia="zh-CN"/>
                    </w:rPr>
                  </w:pPr>
                </w:p>
              </w:tc>
              <w:tc>
                <w:tcPr>
                  <w:tcW w:w="651" w:type="pct"/>
                  <w:noWrap w:val="0"/>
                  <w:vAlign w:val="center"/>
                </w:tcPr>
                <w:p w14:paraId="5F91BF8D">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50</w:t>
                  </w:r>
                </w:p>
              </w:tc>
              <w:tc>
                <w:tcPr>
                  <w:tcW w:w="649" w:type="pct"/>
                  <w:vMerge w:val="continue"/>
                  <w:noWrap w:val="0"/>
                  <w:vAlign w:val="center"/>
                </w:tcPr>
                <w:p w14:paraId="45ED3B75">
                  <w:pPr>
                    <w:pStyle w:val="97"/>
                    <w:adjustRightInd w:val="0"/>
                    <w:snapToGrid w:val="0"/>
                    <w:jc w:val="center"/>
                    <w:rPr>
                      <w:rFonts w:hint="eastAsia" w:cs="Times New Roman"/>
                      <w:color w:val="auto"/>
                      <w:szCs w:val="21"/>
                      <w:lang w:val="en-US" w:eastAsia="zh-CN"/>
                    </w:rPr>
                  </w:pPr>
                </w:p>
              </w:tc>
            </w:tr>
          </w:tbl>
          <w:p w14:paraId="73A2588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b/>
                <w:bCs/>
                <w:color w:val="auto"/>
                <w:sz w:val="24"/>
                <w:szCs w:val="24"/>
                <w:shd w:val="clear" w:color="auto" w:fill="FFFFFF"/>
                <w:lang w:val="en-US" w:eastAsia="zh-CN"/>
              </w:rPr>
            </w:pPr>
            <w:r>
              <w:rPr>
                <w:rFonts w:hint="eastAsia" w:cs="Times New Roman"/>
                <w:b w:val="0"/>
                <w:bCs w:val="0"/>
                <w:color w:val="auto"/>
                <w:sz w:val="24"/>
                <w:szCs w:val="24"/>
                <w:highlight w:val="none"/>
                <w:lang w:val="en-US" w:eastAsia="zh-CN"/>
              </w:rPr>
              <w:t>部分客户对印刷色彩要求更高，因此项目生产过程中需要使用一定量的油墨用以提升产品品质。其中，</w:t>
            </w:r>
            <w:r>
              <w:rPr>
                <w:rFonts w:hint="eastAsia" w:cs="Times New Roman"/>
                <w:color w:val="auto"/>
                <w:sz w:val="24"/>
                <w:szCs w:val="24"/>
                <w:shd w:val="clear" w:color="auto" w:fill="FFFFFF"/>
                <w:lang w:val="en-US" w:eastAsia="zh-CN"/>
              </w:rPr>
              <w:t>使用水性油墨印刷的产品量为4830万米、使用油墨印</w:t>
            </w:r>
            <w:r>
              <w:rPr>
                <w:rFonts w:hint="eastAsia" w:cs="Times New Roman"/>
                <w:b w:val="0"/>
                <w:bCs w:val="0"/>
                <w:color w:val="auto"/>
                <w:sz w:val="24"/>
                <w:szCs w:val="24"/>
                <w:shd w:val="clear" w:color="auto" w:fill="FFFFFF"/>
                <w:lang w:val="en-US" w:eastAsia="zh-CN"/>
              </w:rPr>
              <w:t>刷的产品量为170万米，油墨需使用稀释剂进行调配，调配比例为5：1。</w:t>
            </w:r>
          </w:p>
          <w:p w14:paraId="7E383DF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b/>
                <w:bCs/>
                <w:color w:val="auto"/>
                <w:sz w:val="24"/>
                <w:szCs w:val="24"/>
                <w:highlight w:val="none"/>
                <w:shd w:val="clear" w:color="auto" w:fill="FFFFFF"/>
                <w:lang w:val="en-US" w:eastAsia="zh-CN"/>
              </w:rPr>
            </w:pPr>
            <w:r>
              <w:rPr>
                <w:rFonts w:hint="default" w:cs="Times New Roman"/>
                <w:b/>
                <w:bCs/>
                <w:color w:val="auto"/>
                <w:sz w:val="24"/>
                <w:szCs w:val="24"/>
                <w:highlight w:val="none"/>
                <w:shd w:val="clear" w:color="auto" w:fill="FFFFFF"/>
                <w:lang w:val="en-US" w:eastAsia="zh-CN"/>
              </w:rPr>
              <w:t>原辅料符合性分析</w:t>
            </w:r>
            <w:r>
              <w:rPr>
                <w:rFonts w:hint="eastAsia" w:cs="Times New Roman"/>
                <w:b/>
                <w:bCs/>
                <w:color w:val="auto"/>
                <w:sz w:val="24"/>
                <w:szCs w:val="24"/>
                <w:highlight w:val="none"/>
                <w:shd w:val="clear" w:color="auto" w:fill="FFFFFF"/>
                <w:lang w:val="en-US" w:eastAsia="zh-CN"/>
              </w:rPr>
              <w:t>：</w:t>
            </w:r>
          </w:p>
          <w:p w14:paraId="3C1B312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sz w:val="24"/>
                <w:highlight w:val="none"/>
                <w:lang w:bidi="ar"/>
              </w:rPr>
            </w:pPr>
            <w:r>
              <w:rPr>
                <w:rFonts w:hint="eastAsia" w:ascii="Times New Roman" w:hAnsi="Times New Roman" w:cs="Times New Roman"/>
                <w:b w:val="0"/>
                <w:bCs w:val="0"/>
                <w:color w:val="auto"/>
                <w:sz w:val="24"/>
                <w:highlight w:val="none"/>
                <w:lang w:val="en-US" w:eastAsia="zh-CN" w:bidi="ar"/>
              </w:rPr>
              <w:t>（1）</w:t>
            </w:r>
            <w:r>
              <w:rPr>
                <w:rFonts w:hint="default" w:ascii="Times New Roman" w:hAnsi="Times New Roman" w:cs="Times New Roman"/>
                <w:b w:val="0"/>
                <w:bCs w:val="0"/>
                <w:color w:val="auto"/>
                <w:sz w:val="24"/>
                <w:highlight w:val="none"/>
                <w:lang w:val="en-US" w:eastAsia="zh-CN" w:bidi="ar"/>
              </w:rPr>
              <w:t>根据《油墨中可挥发性有机化合物</w:t>
            </w:r>
            <w:r>
              <w:rPr>
                <w:rFonts w:hint="default" w:ascii="Times New Roman" w:hAnsi="Times New Roman" w:cs="Times New Roman"/>
                <w:b w:val="0"/>
                <w:bCs w:val="0"/>
                <w:color w:val="auto"/>
                <w:sz w:val="24"/>
                <w:highlight w:val="none"/>
                <w:lang w:eastAsia="zh-CN" w:bidi="ar"/>
              </w:rPr>
              <w:t>（</w:t>
            </w:r>
            <w:r>
              <w:rPr>
                <w:rFonts w:hint="default" w:ascii="Times New Roman" w:hAnsi="Times New Roman" w:cs="Times New Roman"/>
                <w:b w:val="0"/>
                <w:bCs w:val="0"/>
                <w:color w:val="auto"/>
                <w:sz w:val="24"/>
                <w:highlight w:val="none"/>
                <w:lang w:bidi="ar"/>
              </w:rPr>
              <w:t>VOC</w:t>
            </w:r>
            <w:r>
              <w:rPr>
                <w:rFonts w:hint="default" w:ascii="Times New Roman" w:hAnsi="Times New Roman" w:cs="Times New Roman"/>
                <w:b w:val="0"/>
                <w:bCs w:val="0"/>
                <w:color w:val="auto"/>
                <w:sz w:val="24"/>
                <w:highlight w:val="none"/>
                <w:vertAlign w:val="subscript"/>
                <w:lang w:val="en-US" w:eastAsia="zh-CN" w:bidi="ar"/>
              </w:rPr>
              <w:t>S</w:t>
            </w:r>
            <w:r>
              <w:rPr>
                <w:rFonts w:hint="default" w:ascii="Times New Roman" w:hAnsi="Times New Roman" w:cs="Times New Roman"/>
                <w:b w:val="0"/>
                <w:bCs w:val="0"/>
                <w:color w:val="auto"/>
                <w:sz w:val="24"/>
                <w:highlight w:val="none"/>
                <w:lang w:eastAsia="zh-CN" w:bidi="ar"/>
              </w:rPr>
              <w:t>）</w:t>
            </w:r>
            <w:r>
              <w:rPr>
                <w:rFonts w:hint="default" w:ascii="Times New Roman" w:hAnsi="Times New Roman" w:cs="Times New Roman"/>
                <w:b w:val="0"/>
                <w:bCs w:val="0"/>
                <w:color w:val="auto"/>
                <w:sz w:val="24"/>
                <w:highlight w:val="none"/>
                <w:lang w:val="en-US" w:eastAsia="zh-CN" w:bidi="ar"/>
              </w:rPr>
              <w:t>含量的限值》</w:t>
            </w:r>
            <w:r>
              <w:rPr>
                <w:rFonts w:hint="default" w:ascii="Times New Roman" w:hAnsi="Times New Roman" w:cs="Times New Roman"/>
                <w:b w:val="0"/>
                <w:bCs w:val="0"/>
                <w:color w:val="auto"/>
                <w:sz w:val="24"/>
                <w:highlight w:val="none"/>
                <w:lang w:eastAsia="zh-CN" w:bidi="ar"/>
              </w:rPr>
              <w:t>（</w:t>
            </w:r>
            <w:r>
              <w:rPr>
                <w:rFonts w:hint="default" w:ascii="Times New Roman" w:hAnsi="Times New Roman" w:cs="Times New Roman"/>
                <w:b w:val="0"/>
                <w:bCs w:val="0"/>
                <w:color w:val="auto"/>
                <w:sz w:val="24"/>
                <w:highlight w:val="none"/>
                <w:lang w:bidi="ar"/>
              </w:rPr>
              <w:t>GB38507-2020</w:t>
            </w:r>
            <w:r>
              <w:rPr>
                <w:rFonts w:hint="default" w:ascii="Times New Roman" w:hAnsi="Times New Roman" w:cs="Times New Roman"/>
                <w:b w:val="0"/>
                <w:bCs w:val="0"/>
                <w:color w:val="auto"/>
                <w:sz w:val="24"/>
                <w:highlight w:val="none"/>
                <w:lang w:eastAsia="zh-CN" w:bidi="ar"/>
              </w:rPr>
              <w:t>）</w:t>
            </w:r>
            <w:r>
              <w:rPr>
                <w:rFonts w:hint="default" w:ascii="Times New Roman" w:hAnsi="Times New Roman" w:cs="Times New Roman"/>
                <w:b w:val="0"/>
                <w:bCs w:val="0"/>
                <w:color w:val="auto"/>
                <w:sz w:val="24"/>
                <w:highlight w:val="none"/>
                <w:lang w:val="en-US" w:eastAsia="zh-CN" w:bidi="ar"/>
              </w:rPr>
              <w:t>表1</w:t>
            </w:r>
            <w:r>
              <w:rPr>
                <w:rFonts w:hint="default" w:ascii="Times New Roman" w:hAnsi="Times New Roman" w:cs="Times New Roman"/>
                <w:b w:val="0"/>
                <w:bCs w:val="0"/>
                <w:color w:val="auto"/>
                <w:sz w:val="24"/>
                <w:highlight w:val="none"/>
                <w:lang w:bidi="ar"/>
              </w:rPr>
              <w:t>溶剂油墨</w:t>
            </w:r>
            <w:r>
              <w:rPr>
                <w:rFonts w:hint="default" w:ascii="Times New Roman" w:hAnsi="Times New Roman" w:cs="Times New Roman"/>
                <w:b w:val="0"/>
                <w:bCs w:val="0"/>
                <w:color w:val="auto"/>
                <w:sz w:val="24"/>
                <w:highlight w:val="none"/>
                <w:lang w:val="en-US" w:eastAsia="zh-CN" w:bidi="ar"/>
              </w:rPr>
              <w:t>中</w:t>
            </w:r>
            <w:r>
              <w:rPr>
                <w:rFonts w:hint="default" w:ascii="Times New Roman" w:hAnsi="Times New Roman" w:cs="Times New Roman"/>
                <w:b w:val="0"/>
                <w:bCs w:val="0"/>
                <w:color w:val="auto"/>
                <w:sz w:val="24"/>
                <w:highlight w:val="none"/>
                <w:lang w:bidi="ar"/>
              </w:rPr>
              <w:t>凹印油墨挥发性有机化合物</w:t>
            </w:r>
            <w:r>
              <w:rPr>
                <w:rFonts w:hint="default" w:ascii="Times New Roman" w:hAnsi="Times New Roman" w:cs="Times New Roman"/>
                <w:b w:val="0"/>
                <w:bCs w:val="0"/>
                <w:color w:val="auto"/>
                <w:sz w:val="24"/>
                <w:highlight w:val="none"/>
                <w:lang w:eastAsia="zh-CN" w:bidi="ar"/>
              </w:rPr>
              <w:t>（</w:t>
            </w:r>
            <w:r>
              <w:rPr>
                <w:rFonts w:hint="default" w:ascii="Times New Roman" w:hAnsi="Times New Roman" w:cs="Times New Roman"/>
                <w:b w:val="0"/>
                <w:bCs w:val="0"/>
                <w:color w:val="auto"/>
                <w:sz w:val="24"/>
                <w:highlight w:val="none"/>
                <w:lang w:bidi="ar"/>
              </w:rPr>
              <w:t>VOC</w:t>
            </w:r>
            <w:r>
              <w:rPr>
                <w:rFonts w:hint="default" w:ascii="Times New Roman" w:hAnsi="Times New Roman" w:cs="Times New Roman"/>
                <w:b w:val="0"/>
                <w:bCs w:val="0"/>
                <w:color w:val="auto"/>
                <w:sz w:val="24"/>
                <w:highlight w:val="none"/>
                <w:vertAlign w:val="subscript"/>
                <w:lang w:val="en-US" w:eastAsia="zh-CN" w:bidi="ar"/>
              </w:rPr>
              <w:t>S</w:t>
            </w:r>
            <w:r>
              <w:rPr>
                <w:rFonts w:hint="default" w:ascii="Times New Roman" w:hAnsi="Times New Roman" w:cs="Times New Roman"/>
                <w:b w:val="0"/>
                <w:bCs w:val="0"/>
                <w:color w:val="auto"/>
                <w:sz w:val="24"/>
                <w:highlight w:val="none"/>
                <w:lang w:eastAsia="zh-CN" w:bidi="ar"/>
              </w:rPr>
              <w:t>）</w:t>
            </w:r>
            <w:r>
              <w:rPr>
                <w:rFonts w:hint="default" w:ascii="Times New Roman" w:hAnsi="Times New Roman" w:cs="Times New Roman"/>
                <w:b w:val="0"/>
                <w:bCs w:val="0"/>
                <w:color w:val="auto"/>
                <w:sz w:val="24"/>
                <w:highlight w:val="none"/>
                <w:lang w:bidi="ar"/>
              </w:rPr>
              <w:t>限值</w:t>
            </w:r>
            <w:r>
              <w:rPr>
                <w:rFonts w:hint="default" w:ascii="Times New Roman" w:hAnsi="Times New Roman" w:cs="Times New Roman"/>
                <w:b w:val="0"/>
                <w:bCs w:val="0"/>
                <w:color w:val="auto"/>
                <w:sz w:val="24"/>
                <w:highlight w:val="none"/>
                <w:lang w:val="en-US" w:eastAsia="zh-CN" w:bidi="ar"/>
              </w:rPr>
              <w:t>为≤75%，根据MSDS报告，项目油墨</w:t>
            </w:r>
            <w:r>
              <w:rPr>
                <w:rFonts w:hint="default" w:ascii="Times New Roman" w:hAnsi="Times New Roman" w:cs="Times New Roman"/>
                <w:b w:val="0"/>
                <w:bCs w:val="0"/>
                <w:color w:val="auto"/>
                <w:sz w:val="24"/>
                <w:szCs w:val="24"/>
                <w:highlight w:val="none"/>
                <w:lang w:val="en-US" w:eastAsia="zh-CN"/>
              </w:rPr>
              <w:t>挥发份为71.1%＜</w:t>
            </w:r>
            <w:r>
              <w:rPr>
                <w:rFonts w:hint="default" w:ascii="Times New Roman" w:hAnsi="Times New Roman" w:cs="Times New Roman"/>
                <w:b w:val="0"/>
                <w:bCs w:val="0"/>
                <w:color w:val="auto"/>
                <w:sz w:val="24"/>
                <w:highlight w:val="none"/>
                <w:lang w:val="en-US" w:eastAsia="zh-CN" w:bidi="ar"/>
              </w:rPr>
              <w:t>75%，</w:t>
            </w:r>
            <w:r>
              <w:rPr>
                <w:rFonts w:hint="default" w:ascii="Times New Roman" w:hAnsi="Times New Roman" w:cs="Times New Roman"/>
                <w:b w:val="0"/>
                <w:bCs w:val="0"/>
                <w:color w:val="auto"/>
                <w:sz w:val="24"/>
                <w:highlight w:val="none"/>
                <w:lang w:bidi="ar"/>
              </w:rPr>
              <w:t>符合标准规定。</w:t>
            </w:r>
          </w:p>
          <w:p w14:paraId="720B9C6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bCs/>
                <w:color w:val="auto"/>
                <w:sz w:val="24"/>
                <w:highlight w:val="yellow"/>
                <w:lang w:bidi="ar"/>
              </w:rPr>
            </w:pPr>
            <w:r>
              <w:rPr>
                <w:rFonts w:hint="eastAsia" w:ascii="Times New Roman" w:hAnsi="Times New Roman" w:cs="Times New Roman"/>
                <w:b w:val="0"/>
                <w:bCs w:val="0"/>
                <w:color w:val="auto"/>
                <w:sz w:val="24"/>
                <w:highlight w:val="none"/>
                <w:lang w:eastAsia="zh-CN" w:bidi="ar"/>
              </w:rPr>
              <w:t>（</w:t>
            </w:r>
            <w:r>
              <w:rPr>
                <w:rFonts w:hint="eastAsia" w:ascii="Times New Roman" w:hAnsi="Times New Roman" w:cs="Times New Roman"/>
                <w:b w:val="0"/>
                <w:bCs w:val="0"/>
                <w:color w:val="auto"/>
                <w:sz w:val="24"/>
                <w:highlight w:val="none"/>
                <w:lang w:val="en-US" w:eastAsia="zh-CN" w:bidi="ar"/>
              </w:rPr>
              <w:t>2</w:t>
            </w:r>
            <w:r>
              <w:rPr>
                <w:rFonts w:hint="eastAsia" w:ascii="Times New Roman" w:hAnsi="Times New Roman" w:cs="Times New Roman"/>
                <w:b w:val="0"/>
                <w:bCs w:val="0"/>
                <w:color w:val="auto"/>
                <w:sz w:val="24"/>
                <w:highlight w:val="none"/>
                <w:lang w:eastAsia="zh-CN" w:bidi="ar"/>
              </w:rPr>
              <w:t>）</w:t>
            </w:r>
            <w:r>
              <w:rPr>
                <w:rFonts w:hint="default" w:ascii="Times New Roman" w:hAnsi="Times New Roman" w:cs="Times New Roman"/>
                <w:b w:val="0"/>
                <w:bCs w:val="0"/>
                <w:color w:val="auto"/>
                <w:sz w:val="24"/>
                <w:highlight w:val="none"/>
                <w:lang w:val="en-US" w:eastAsia="zh-CN" w:bidi="ar"/>
              </w:rPr>
              <w:t>根据《油墨中可挥发性有机化合物</w:t>
            </w:r>
            <w:r>
              <w:rPr>
                <w:rFonts w:hint="default" w:ascii="Times New Roman" w:hAnsi="Times New Roman" w:cs="Times New Roman"/>
                <w:b w:val="0"/>
                <w:bCs w:val="0"/>
                <w:color w:val="auto"/>
                <w:sz w:val="24"/>
                <w:highlight w:val="none"/>
                <w:lang w:eastAsia="zh-CN" w:bidi="ar"/>
              </w:rPr>
              <w:t>（</w:t>
            </w:r>
            <w:r>
              <w:rPr>
                <w:rFonts w:hint="default" w:ascii="Times New Roman" w:hAnsi="Times New Roman" w:cs="Times New Roman"/>
                <w:b w:val="0"/>
                <w:bCs w:val="0"/>
                <w:color w:val="auto"/>
                <w:sz w:val="24"/>
                <w:highlight w:val="none"/>
                <w:lang w:bidi="ar"/>
              </w:rPr>
              <w:t>VOC</w:t>
            </w:r>
            <w:r>
              <w:rPr>
                <w:rFonts w:hint="default" w:ascii="Times New Roman" w:hAnsi="Times New Roman" w:cs="Times New Roman"/>
                <w:b w:val="0"/>
                <w:bCs w:val="0"/>
                <w:color w:val="auto"/>
                <w:sz w:val="24"/>
                <w:highlight w:val="none"/>
                <w:vertAlign w:val="subscript"/>
                <w:lang w:val="en-US" w:eastAsia="zh-CN" w:bidi="ar"/>
              </w:rPr>
              <w:t>S</w:t>
            </w:r>
            <w:r>
              <w:rPr>
                <w:rFonts w:hint="default" w:ascii="Times New Roman" w:hAnsi="Times New Roman" w:cs="Times New Roman"/>
                <w:b w:val="0"/>
                <w:bCs w:val="0"/>
                <w:color w:val="auto"/>
                <w:sz w:val="24"/>
                <w:highlight w:val="none"/>
                <w:lang w:eastAsia="zh-CN" w:bidi="ar"/>
              </w:rPr>
              <w:t>）</w:t>
            </w:r>
            <w:r>
              <w:rPr>
                <w:rFonts w:hint="default" w:ascii="Times New Roman" w:hAnsi="Times New Roman" w:cs="Times New Roman"/>
                <w:b w:val="0"/>
                <w:bCs w:val="0"/>
                <w:color w:val="auto"/>
                <w:sz w:val="24"/>
                <w:highlight w:val="none"/>
                <w:lang w:val="en-US" w:eastAsia="zh-CN" w:bidi="ar"/>
              </w:rPr>
              <w:t>含量的限值》</w:t>
            </w:r>
            <w:r>
              <w:rPr>
                <w:rFonts w:hint="default" w:ascii="Times New Roman" w:hAnsi="Times New Roman" w:cs="Times New Roman"/>
                <w:b w:val="0"/>
                <w:bCs w:val="0"/>
                <w:color w:val="auto"/>
                <w:sz w:val="24"/>
                <w:highlight w:val="none"/>
                <w:lang w:eastAsia="zh-CN" w:bidi="ar"/>
              </w:rPr>
              <w:t>（</w:t>
            </w:r>
            <w:r>
              <w:rPr>
                <w:rFonts w:hint="default" w:ascii="Times New Roman" w:hAnsi="Times New Roman" w:cs="Times New Roman"/>
                <w:b w:val="0"/>
                <w:bCs w:val="0"/>
                <w:color w:val="auto"/>
                <w:sz w:val="24"/>
                <w:highlight w:val="none"/>
                <w:lang w:bidi="ar"/>
              </w:rPr>
              <w:t>GB38507-2020</w:t>
            </w:r>
            <w:r>
              <w:rPr>
                <w:rFonts w:hint="default" w:ascii="Times New Roman" w:hAnsi="Times New Roman" w:cs="Times New Roman"/>
                <w:b w:val="0"/>
                <w:bCs w:val="0"/>
                <w:color w:val="auto"/>
                <w:sz w:val="24"/>
                <w:highlight w:val="none"/>
                <w:lang w:eastAsia="zh-CN" w:bidi="ar"/>
              </w:rPr>
              <w:t>）</w:t>
            </w:r>
            <w:r>
              <w:rPr>
                <w:rFonts w:hint="default" w:ascii="Times New Roman" w:hAnsi="Times New Roman" w:cs="Times New Roman"/>
                <w:b w:val="0"/>
                <w:bCs w:val="0"/>
                <w:color w:val="auto"/>
                <w:sz w:val="24"/>
                <w:highlight w:val="none"/>
                <w:lang w:val="en-US" w:eastAsia="zh-CN" w:bidi="ar"/>
              </w:rPr>
              <w:t>表1水性油墨</w:t>
            </w:r>
            <w:r>
              <w:rPr>
                <w:rFonts w:hint="eastAsia" w:cs="Times New Roman"/>
                <w:b w:val="0"/>
                <w:bCs w:val="0"/>
                <w:color w:val="auto"/>
                <w:sz w:val="24"/>
                <w:highlight w:val="none"/>
                <w:lang w:val="en-US" w:eastAsia="zh-CN" w:bidi="ar"/>
              </w:rPr>
              <w:t>中</w:t>
            </w:r>
            <w:r>
              <w:rPr>
                <w:rFonts w:hint="default" w:ascii="Times New Roman" w:hAnsi="Times New Roman" w:cs="Times New Roman"/>
                <w:b w:val="0"/>
                <w:bCs w:val="0"/>
                <w:color w:val="auto"/>
                <w:sz w:val="24"/>
                <w:highlight w:val="none"/>
                <w:lang w:bidi="ar"/>
              </w:rPr>
              <w:t>凹印油墨挥发性有机化合物</w:t>
            </w:r>
            <w:r>
              <w:rPr>
                <w:rFonts w:hint="default" w:ascii="Times New Roman" w:hAnsi="Times New Roman" w:cs="Times New Roman"/>
                <w:b w:val="0"/>
                <w:bCs w:val="0"/>
                <w:color w:val="auto"/>
                <w:sz w:val="24"/>
                <w:highlight w:val="none"/>
                <w:lang w:eastAsia="zh-CN" w:bidi="ar"/>
              </w:rPr>
              <w:t>（</w:t>
            </w:r>
            <w:r>
              <w:rPr>
                <w:rFonts w:hint="default" w:ascii="Times New Roman" w:hAnsi="Times New Roman" w:cs="Times New Roman"/>
                <w:b w:val="0"/>
                <w:bCs w:val="0"/>
                <w:color w:val="auto"/>
                <w:sz w:val="24"/>
                <w:highlight w:val="none"/>
                <w:lang w:bidi="ar"/>
              </w:rPr>
              <w:t>VOC</w:t>
            </w:r>
            <w:r>
              <w:rPr>
                <w:rFonts w:hint="default" w:ascii="Times New Roman" w:hAnsi="Times New Roman" w:cs="Times New Roman"/>
                <w:b w:val="0"/>
                <w:bCs w:val="0"/>
                <w:color w:val="auto"/>
                <w:sz w:val="24"/>
                <w:highlight w:val="none"/>
                <w:vertAlign w:val="subscript"/>
                <w:lang w:val="en-US" w:eastAsia="zh-CN" w:bidi="ar"/>
              </w:rPr>
              <w:t>S</w:t>
            </w:r>
            <w:r>
              <w:rPr>
                <w:rFonts w:hint="default" w:ascii="Times New Roman" w:hAnsi="Times New Roman" w:cs="Times New Roman"/>
                <w:b w:val="0"/>
                <w:bCs w:val="0"/>
                <w:color w:val="auto"/>
                <w:sz w:val="24"/>
                <w:highlight w:val="none"/>
                <w:lang w:eastAsia="zh-CN" w:bidi="ar"/>
              </w:rPr>
              <w:t>）</w:t>
            </w:r>
            <w:r>
              <w:rPr>
                <w:rFonts w:hint="default" w:ascii="Times New Roman" w:hAnsi="Times New Roman" w:cs="Times New Roman"/>
                <w:b w:val="0"/>
                <w:bCs w:val="0"/>
                <w:color w:val="auto"/>
                <w:sz w:val="24"/>
                <w:highlight w:val="none"/>
                <w:lang w:bidi="ar"/>
              </w:rPr>
              <w:t>限值</w:t>
            </w:r>
            <w:r>
              <w:rPr>
                <w:rFonts w:hint="default" w:ascii="Times New Roman" w:hAnsi="Times New Roman" w:cs="Times New Roman"/>
                <w:b w:val="0"/>
                <w:bCs w:val="0"/>
                <w:color w:val="auto"/>
                <w:sz w:val="24"/>
                <w:highlight w:val="none"/>
                <w:lang w:val="en-US" w:eastAsia="zh-CN" w:bidi="ar"/>
              </w:rPr>
              <w:t>为≤</w:t>
            </w:r>
            <w:r>
              <w:rPr>
                <w:rFonts w:hint="eastAsia" w:cs="Times New Roman"/>
                <w:b w:val="0"/>
                <w:bCs w:val="0"/>
                <w:color w:val="auto"/>
                <w:sz w:val="24"/>
                <w:highlight w:val="none"/>
                <w:lang w:val="en-US" w:eastAsia="zh-CN" w:bidi="ar"/>
              </w:rPr>
              <w:t>30</w:t>
            </w:r>
            <w:r>
              <w:rPr>
                <w:rFonts w:hint="default" w:ascii="Times New Roman" w:hAnsi="Times New Roman" w:cs="Times New Roman"/>
                <w:b w:val="0"/>
                <w:bCs w:val="0"/>
                <w:color w:val="auto"/>
                <w:sz w:val="24"/>
                <w:highlight w:val="none"/>
                <w:lang w:val="en-US" w:eastAsia="zh-CN" w:bidi="ar"/>
              </w:rPr>
              <w:t>%</w:t>
            </w:r>
            <w:r>
              <w:rPr>
                <w:rFonts w:hint="eastAsia" w:cs="Times New Roman"/>
                <w:b w:val="0"/>
                <w:bCs w:val="0"/>
                <w:color w:val="auto"/>
                <w:sz w:val="24"/>
                <w:highlight w:val="none"/>
                <w:lang w:val="en-US" w:eastAsia="zh-CN" w:bidi="ar"/>
              </w:rPr>
              <w:t>（非吸收性承印物）</w:t>
            </w:r>
            <w:r>
              <w:rPr>
                <w:rFonts w:hint="default" w:ascii="Times New Roman" w:hAnsi="Times New Roman" w:cs="Times New Roman"/>
                <w:b w:val="0"/>
                <w:bCs w:val="0"/>
                <w:color w:val="auto"/>
                <w:sz w:val="24"/>
                <w:highlight w:val="none"/>
                <w:lang w:val="en-US" w:eastAsia="zh-CN" w:bidi="ar"/>
              </w:rPr>
              <w:t>，根据MSDS报告，项目</w:t>
            </w:r>
            <w:r>
              <w:rPr>
                <w:rFonts w:hint="eastAsia" w:cs="Times New Roman"/>
                <w:b w:val="0"/>
                <w:bCs w:val="0"/>
                <w:color w:val="auto"/>
                <w:sz w:val="24"/>
                <w:highlight w:val="none"/>
                <w:lang w:val="en-US" w:eastAsia="zh-CN" w:bidi="ar"/>
              </w:rPr>
              <w:t>水性</w:t>
            </w:r>
            <w:r>
              <w:rPr>
                <w:rFonts w:hint="default" w:ascii="Times New Roman" w:hAnsi="Times New Roman" w:cs="Times New Roman"/>
                <w:b w:val="0"/>
                <w:bCs w:val="0"/>
                <w:color w:val="auto"/>
                <w:sz w:val="24"/>
                <w:highlight w:val="none"/>
                <w:lang w:val="en-US" w:eastAsia="zh-CN" w:bidi="ar"/>
              </w:rPr>
              <w:t>油墨</w:t>
            </w:r>
            <w:r>
              <w:rPr>
                <w:rFonts w:hint="default" w:ascii="Times New Roman" w:hAnsi="Times New Roman" w:cs="Times New Roman"/>
                <w:b w:val="0"/>
                <w:bCs w:val="0"/>
                <w:color w:val="auto"/>
                <w:sz w:val="24"/>
                <w:szCs w:val="24"/>
                <w:highlight w:val="none"/>
                <w:lang w:val="en-US" w:eastAsia="zh-CN"/>
              </w:rPr>
              <w:t>挥发份为</w:t>
            </w:r>
            <w:r>
              <w:rPr>
                <w:rFonts w:hint="eastAsia" w:cs="Times New Roman"/>
                <w:b w:val="0"/>
                <w:bCs w:val="0"/>
                <w:color w:val="auto"/>
                <w:sz w:val="24"/>
                <w:szCs w:val="24"/>
                <w:highlight w:val="none"/>
                <w:lang w:val="en-US" w:eastAsia="zh-CN"/>
              </w:rPr>
              <w:t>29.6</w:t>
            </w:r>
            <w:r>
              <w:rPr>
                <w:rFonts w:hint="default" w:ascii="Times New Roman" w:hAnsi="Times New Roman" w:cs="Times New Roman"/>
                <w:b w:val="0"/>
                <w:bCs w:val="0"/>
                <w:color w:val="auto"/>
                <w:sz w:val="24"/>
                <w:szCs w:val="24"/>
                <w:highlight w:val="none"/>
                <w:lang w:val="en-US" w:eastAsia="zh-CN"/>
              </w:rPr>
              <w:t>%＜</w:t>
            </w:r>
            <w:r>
              <w:rPr>
                <w:rFonts w:hint="eastAsia" w:cs="Times New Roman"/>
                <w:b w:val="0"/>
                <w:bCs w:val="0"/>
                <w:color w:val="auto"/>
                <w:sz w:val="24"/>
                <w:highlight w:val="none"/>
                <w:lang w:val="en-US" w:eastAsia="zh-CN" w:bidi="ar"/>
              </w:rPr>
              <w:t>30</w:t>
            </w:r>
            <w:r>
              <w:rPr>
                <w:rFonts w:hint="default" w:ascii="Times New Roman" w:hAnsi="Times New Roman" w:cs="Times New Roman"/>
                <w:b w:val="0"/>
                <w:bCs w:val="0"/>
                <w:color w:val="auto"/>
                <w:sz w:val="24"/>
                <w:highlight w:val="none"/>
                <w:lang w:val="en-US" w:eastAsia="zh-CN" w:bidi="ar"/>
              </w:rPr>
              <w:t>%，</w:t>
            </w:r>
            <w:r>
              <w:rPr>
                <w:rFonts w:hint="default" w:ascii="Times New Roman" w:hAnsi="Times New Roman" w:cs="Times New Roman"/>
                <w:b w:val="0"/>
                <w:bCs w:val="0"/>
                <w:color w:val="auto"/>
                <w:sz w:val="24"/>
                <w:highlight w:val="none"/>
                <w:lang w:bidi="ar"/>
              </w:rPr>
              <w:t>符合标准规定。</w:t>
            </w:r>
          </w:p>
          <w:p w14:paraId="05113739">
            <w:pPr>
              <w:spacing w:before="120" w:beforeLines="50" w:line="360" w:lineRule="auto"/>
              <w:ind w:firstLine="482" w:firstLineChars="200"/>
              <w:rPr>
                <w:rFonts w:hint="default" w:ascii="Times New Roman" w:hAnsi="Times New Roman" w:cs="Times New Roman"/>
                <w:b/>
                <w:bCs/>
                <w:color w:val="auto"/>
                <w:sz w:val="24"/>
                <w:lang w:bidi="ar"/>
              </w:rPr>
            </w:pPr>
            <w:r>
              <w:rPr>
                <w:rFonts w:hint="default" w:ascii="Times New Roman" w:hAnsi="Times New Roman" w:cs="Times New Roman"/>
                <w:b/>
                <w:bCs/>
                <w:color w:val="auto"/>
                <w:sz w:val="24"/>
                <w:lang w:bidi="ar"/>
              </w:rPr>
              <w:t>原辅料简介：</w:t>
            </w:r>
          </w:p>
          <w:p w14:paraId="618D2BA3">
            <w:pPr>
              <w:pStyle w:val="5"/>
              <w:ind w:firstLine="480"/>
              <w:rPr>
                <w:rFonts w:hint="eastAsia" w:cs="Times New Roman"/>
                <w:b w:val="0"/>
                <w:bCs w:val="0"/>
                <w:color w:val="auto"/>
                <w:sz w:val="24"/>
                <w:szCs w:val="24"/>
                <w:lang w:val="en-US" w:eastAsia="zh-CN"/>
              </w:rPr>
            </w:pPr>
            <w:r>
              <w:rPr>
                <w:rFonts w:hint="eastAsia" w:cs="Times New Roman"/>
                <w:b/>
                <w:bCs/>
                <w:color w:val="auto"/>
                <w:sz w:val="24"/>
                <w:szCs w:val="24"/>
                <w:lang w:val="en-US" w:eastAsia="zh-CN"/>
              </w:rPr>
              <w:t>水性油墨</w:t>
            </w:r>
            <w:r>
              <w:rPr>
                <w:rFonts w:hint="default" w:ascii="Times New Roman" w:hAnsi="Times New Roman" w:eastAsia="宋体" w:cs="Times New Roman"/>
                <w:b/>
                <w:bCs/>
                <w:color w:val="auto"/>
                <w:sz w:val="24"/>
                <w:szCs w:val="24"/>
                <w:lang w:val="en-US" w:eastAsia="zh-CN"/>
              </w:rPr>
              <w:t>：</w:t>
            </w:r>
            <w:r>
              <w:rPr>
                <w:rFonts w:hint="eastAsia" w:cs="Times New Roman"/>
                <w:b w:val="0"/>
                <w:bCs w:val="0"/>
                <w:color w:val="auto"/>
                <w:sz w:val="24"/>
                <w:szCs w:val="24"/>
                <w:lang w:val="en-US" w:eastAsia="zh-CN"/>
              </w:rPr>
              <w:t>全名水性凹版印刷油墨白墨，胶状液体，轻微醇气味，挥发份为29.6%；主要成分为</w:t>
            </w:r>
            <w:r>
              <w:rPr>
                <w:rFonts w:ascii="Arial" w:hAnsi="Arial" w:eastAsia="Arial" w:cs="Arial"/>
                <w:i w:val="0"/>
                <w:iCs w:val="0"/>
                <w:caps w:val="0"/>
                <w:color w:val="auto"/>
                <w:spacing w:val="0"/>
                <w:sz w:val="24"/>
                <w:szCs w:val="24"/>
                <w:shd w:val="clear" w:fill="FFFFFF"/>
              </w:rPr>
              <w:t>水溶性树脂、颜料、助剂和水</w:t>
            </w:r>
            <w:r>
              <w:rPr>
                <w:rFonts w:hint="eastAsia" w:cs="Times New Roman"/>
                <w:b w:val="0"/>
                <w:bCs w:val="0"/>
                <w:color w:val="auto"/>
                <w:sz w:val="24"/>
                <w:szCs w:val="24"/>
                <w:lang w:val="en-US" w:eastAsia="zh-CN"/>
              </w:rPr>
              <w:t>，</w:t>
            </w:r>
            <w:r>
              <w:rPr>
                <w:rFonts w:hint="eastAsia" w:cs="Times New Roman"/>
                <w:color w:val="auto"/>
                <w:sz w:val="24"/>
                <w:shd w:val="clear" w:color="auto" w:fill="FFFFFF"/>
                <w:lang w:val="en-US" w:eastAsia="zh-CN"/>
              </w:rPr>
              <w:t>相对密度（水=1）约为1.1</w:t>
            </w:r>
            <w:r>
              <w:rPr>
                <w:rFonts w:hint="eastAsia" w:cs="Times New Roman"/>
                <w:b w:val="0"/>
                <w:bCs w:val="0"/>
                <w:color w:val="auto"/>
                <w:sz w:val="24"/>
                <w:szCs w:val="24"/>
                <w:lang w:val="en-US" w:eastAsia="zh-CN"/>
              </w:rPr>
              <w:t>。</w:t>
            </w:r>
          </w:p>
          <w:p w14:paraId="2441E117">
            <w:pPr>
              <w:pStyle w:val="5"/>
              <w:ind w:firstLine="480"/>
              <w:rPr>
                <w:rFonts w:hint="default" w:cs="Times New Roman"/>
                <w:b w:val="0"/>
                <w:bCs w:val="0"/>
                <w:color w:val="auto"/>
                <w:sz w:val="24"/>
                <w:szCs w:val="24"/>
                <w:lang w:val="en-US" w:eastAsia="zh-CN"/>
              </w:rPr>
            </w:pPr>
            <w:r>
              <w:rPr>
                <w:rFonts w:hint="eastAsia" w:ascii="宋体" w:hAnsi="宋体" w:cs="宋体"/>
                <w:b/>
                <w:bCs/>
                <w:color w:val="auto"/>
                <w:sz w:val="24"/>
                <w:shd w:val="clear" w:color="auto" w:fill="FFFFFF"/>
                <w:lang w:val="en-US" w:eastAsia="zh-CN"/>
              </w:rPr>
              <w:t>油墨：</w:t>
            </w:r>
            <w:r>
              <w:rPr>
                <w:rFonts w:hint="eastAsia" w:ascii="宋体" w:hAnsi="宋体" w:cs="宋体"/>
                <w:b w:val="0"/>
                <w:bCs w:val="0"/>
                <w:color w:val="auto"/>
                <w:sz w:val="24"/>
                <w:shd w:val="clear" w:color="auto" w:fill="FFFFFF"/>
                <w:lang w:val="en-US" w:eastAsia="zh-CN"/>
              </w:rPr>
              <w:t>属于溶剂型油墨</w:t>
            </w:r>
            <w:r>
              <w:rPr>
                <w:rFonts w:hint="default" w:ascii="Times New Roman" w:hAnsi="Times New Roman" w:cs="Times New Roman"/>
                <w:b w:val="0"/>
                <w:bCs w:val="0"/>
                <w:color w:val="auto"/>
                <w:sz w:val="24"/>
                <w:shd w:val="clear" w:color="auto" w:fill="FFFFFF"/>
                <w:lang w:val="en-US" w:eastAsia="zh-CN"/>
              </w:rPr>
              <w:t>，</w:t>
            </w:r>
            <w:r>
              <w:rPr>
                <w:rFonts w:hint="eastAsia" w:cs="Times New Roman"/>
                <w:b w:val="0"/>
                <w:bCs w:val="0"/>
                <w:color w:val="auto"/>
                <w:sz w:val="24"/>
                <w:shd w:val="clear" w:color="auto" w:fill="FFFFFF"/>
                <w:lang w:val="en-US" w:eastAsia="zh-CN"/>
              </w:rPr>
              <w:t>白色</w:t>
            </w:r>
            <w:r>
              <w:rPr>
                <w:rFonts w:hint="default" w:ascii="Times New Roman" w:hAnsi="Times New Roman" w:cs="Times New Roman"/>
                <w:b w:val="0"/>
                <w:bCs w:val="0"/>
                <w:color w:val="auto"/>
                <w:sz w:val="24"/>
                <w:szCs w:val="24"/>
                <w:lang w:val="en-US" w:eastAsia="zh-CN"/>
              </w:rPr>
              <w:t>胶状液体，具有较强的醇气味，挥发</w:t>
            </w:r>
            <w:r>
              <w:rPr>
                <w:rFonts w:hint="eastAsia" w:cs="Times New Roman"/>
                <w:b w:val="0"/>
                <w:bCs w:val="0"/>
                <w:color w:val="auto"/>
                <w:sz w:val="24"/>
                <w:szCs w:val="24"/>
                <w:lang w:val="en-US" w:eastAsia="zh-CN"/>
              </w:rPr>
              <w:t>份</w:t>
            </w:r>
            <w:r>
              <w:rPr>
                <w:rFonts w:hint="default" w:ascii="Times New Roman" w:hAnsi="Times New Roman" w:cs="Times New Roman"/>
                <w:b w:val="0"/>
                <w:bCs w:val="0"/>
                <w:color w:val="auto"/>
                <w:sz w:val="24"/>
                <w:szCs w:val="24"/>
                <w:lang w:val="en-US" w:eastAsia="zh-CN"/>
              </w:rPr>
              <w:t>为71.1%；主要成分为</w:t>
            </w:r>
            <w:r>
              <w:rPr>
                <w:rFonts w:ascii="Helvetica" w:hAnsi="Helvetica" w:eastAsia="Helvetica" w:cs="Helvetica"/>
                <w:i w:val="0"/>
                <w:iCs w:val="0"/>
                <w:caps w:val="0"/>
                <w:color w:val="auto"/>
                <w:spacing w:val="0"/>
                <w:sz w:val="24"/>
                <w:szCs w:val="24"/>
                <w:shd w:val="clear" w:fill="FFFFFF"/>
              </w:rPr>
              <w:t>树脂、颜料、溶剂及助剂</w:t>
            </w:r>
            <w:r>
              <w:rPr>
                <w:rFonts w:hint="eastAsia" w:cs="Times New Roman"/>
                <w:b w:val="0"/>
                <w:bCs w:val="0"/>
                <w:color w:val="auto"/>
                <w:sz w:val="24"/>
                <w:szCs w:val="24"/>
                <w:lang w:val="en-US" w:eastAsia="zh-CN"/>
              </w:rPr>
              <w:t>，</w:t>
            </w:r>
            <w:r>
              <w:rPr>
                <w:rFonts w:hint="eastAsia" w:cs="Times New Roman"/>
                <w:color w:val="auto"/>
                <w:sz w:val="24"/>
                <w:szCs w:val="24"/>
                <w:shd w:val="clear" w:color="auto" w:fill="FFFFFF"/>
                <w:lang w:val="en-US" w:eastAsia="zh-CN"/>
              </w:rPr>
              <w:t>相对密度（水=1）约为1.2</w:t>
            </w:r>
            <w:r>
              <w:rPr>
                <w:rFonts w:hint="default" w:ascii="Times New Roman" w:hAnsi="Times New Roman" w:cs="Times New Roman"/>
                <w:b w:val="0"/>
                <w:bCs w:val="0"/>
                <w:color w:val="auto"/>
                <w:sz w:val="24"/>
                <w:szCs w:val="24"/>
                <w:lang w:val="en-US" w:eastAsia="zh-CN"/>
              </w:rPr>
              <w:t>。油墨需要与稀释剂调配后使用，与稀释剂的调配比例为5：1。</w:t>
            </w:r>
          </w:p>
          <w:p w14:paraId="311F2BDE">
            <w:pPr>
              <w:widowControl/>
              <w:spacing w:line="360" w:lineRule="auto"/>
              <w:ind w:firstLine="482" w:firstLineChars="200"/>
              <w:rPr>
                <w:rFonts w:hint="eastAsia" w:cs="Times New Roman"/>
                <w:color w:val="auto"/>
                <w:sz w:val="24"/>
                <w:shd w:val="clear" w:color="auto" w:fill="FFFFFF"/>
                <w:lang w:val="en-US" w:eastAsia="zh-CN"/>
              </w:rPr>
            </w:pPr>
            <w:r>
              <w:rPr>
                <w:rFonts w:hint="default" w:ascii="Times New Roman" w:hAnsi="Times New Roman" w:cs="Times New Roman"/>
                <w:b/>
                <w:bCs/>
                <w:color w:val="auto"/>
                <w:sz w:val="24"/>
                <w:shd w:val="clear" w:color="auto" w:fill="FFFFFF"/>
                <w:lang w:val="en-US" w:eastAsia="zh-CN"/>
              </w:rPr>
              <w:t>稀释剂</w:t>
            </w:r>
            <w:r>
              <w:rPr>
                <w:rFonts w:hint="default" w:ascii="Times New Roman" w:hAnsi="Times New Roman" w:cs="Times New Roman"/>
                <w:color w:val="auto"/>
                <w:sz w:val="24"/>
                <w:shd w:val="clear" w:color="auto" w:fill="FFFFFF"/>
                <w:lang w:val="en-US" w:eastAsia="zh-CN"/>
              </w:rPr>
              <w:t>：</w:t>
            </w:r>
            <w:r>
              <w:rPr>
                <w:rFonts w:hint="eastAsia" w:cs="Times New Roman"/>
                <w:b w:val="0"/>
                <w:bCs w:val="0"/>
                <w:color w:val="auto"/>
                <w:sz w:val="24"/>
                <w:szCs w:val="24"/>
                <w:lang w:val="en-US" w:eastAsia="zh-CN"/>
              </w:rPr>
              <w:t>全名GLP-3008 棱镜黑油墨稀释剂，属于印刷油墨专用稀释剂，</w:t>
            </w:r>
            <w:r>
              <w:rPr>
                <w:rFonts w:hint="default" w:ascii="Times New Roman" w:hAnsi="Times New Roman" w:cs="Times New Roman"/>
                <w:color w:val="auto"/>
                <w:sz w:val="24"/>
                <w:shd w:val="clear" w:color="auto" w:fill="FFFFFF"/>
                <w:lang w:val="en-US" w:eastAsia="zh-CN"/>
              </w:rPr>
              <w:t>无色透明液体</w:t>
            </w:r>
            <w:r>
              <w:rPr>
                <w:rFonts w:hint="eastAsia" w:cs="Times New Roman"/>
                <w:color w:val="auto"/>
                <w:sz w:val="24"/>
                <w:shd w:val="clear" w:color="auto" w:fill="FFFFFF"/>
                <w:lang w:val="en-US" w:eastAsia="zh-CN"/>
              </w:rPr>
              <w:t>，</w:t>
            </w:r>
            <w:r>
              <w:rPr>
                <w:rFonts w:hint="default" w:ascii="Times New Roman" w:hAnsi="Times New Roman" w:cs="Times New Roman"/>
                <w:color w:val="auto"/>
                <w:sz w:val="24"/>
                <w:shd w:val="clear" w:color="auto" w:fill="FFFFFF"/>
                <w:lang w:val="en-US" w:eastAsia="zh-CN"/>
              </w:rPr>
              <w:t>常用于一般油性</w:t>
            </w:r>
            <w:r>
              <w:rPr>
                <w:rFonts w:hint="eastAsia" w:cs="Times New Roman"/>
                <w:color w:val="auto"/>
                <w:sz w:val="24"/>
                <w:shd w:val="clear" w:color="auto" w:fill="FFFFFF"/>
                <w:lang w:val="en-US" w:eastAsia="zh-CN"/>
              </w:rPr>
              <w:t>油墨</w:t>
            </w:r>
            <w:r>
              <w:rPr>
                <w:rFonts w:hint="default" w:ascii="Times New Roman" w:hAnsi="Times New Roman" w:cs="Times New Roman"/>
                <w:color w:val="auto"/>
                <w:sz w:val="24"/>
                <w:shd w:val="clear" w:color="auto" w:fill="FFFFFF"/>
                <w:lang w:val="en-US" w:eastAsia="zh-CN"/>
              </w:rPr>
              <w:t>的开稀溶剂</w:t>
            </w:r>
            <w:r>
              <w:rPr>
                <w:rFonts w:hint="eastAsia" w:cs="Times New Roman"/>
                <w:color w:val="auto"/>
                <w:sz w:val="24"/>
                <w:shd w:val="clear" w:color="auto" w:fill="FFFFFF"/>
                <w:lang w:val="en-US" w:eastAsia="zh-CN"/>
              </w:rPr>
              <w:t>，</w:t>
            </w:r>
            <w:r>
              <w:rPr>
                <w:rFonts w:hint="eastAsia" w:ascii="Times New Roman" w:hAnsi="Times New Roman" w:cs="Times New Roman"/>
                <w:color w:val="auto"/>
                <w:sz w:val="24"/>
                <w:shd w:val="clear" w:color="auto" w:fill="FFFFFF"/>
                <w:lang w:val="en-US" w:eastAsia="zh-CN"/>
              </w:rPr>
              <w:t>易燃</w:t>
            </w:r>
            <w:r>
              <w:rPr>
                <w:rFonts w:hint="eastAsia" w:cs="Times New Roman"/>
                <w:color w:val="auto"/>
                <w:sz w:val="24"/>
                <w:shd w:val="clear" w:color="auto" w:fill="FFFFFF"/>
                <w:lang w:val="en-US" w:eastAsia="zh-CN"/>
              </w:rPr>
              <w:t>，但在正常条件下可以保持稳定，相对密度（水=1）为0.85，通常与油性油墨调配使用，调配比例为1：5。</w:t>
            </w:r>
          </w:p>
          <w:p w14:paraId="2A4A253D">
            <w:pPr>
              <w:widowControl/>
              <w:spacing w:line="360" w:lineRule="auto"/>
              <w:rPr>
                <w:rFonts w:hint="eastAsia" w:cs="Times New Roman"/>
                <w:color w:val="auto"/>
                <w:sz w:val="24"/>
                <w:shd w:val="clear" w:color="auto" w:fill="FFFFFF"/>
                <w:lang w:val="en-US" w:eastAsia="zh-CN"/>
              </w:rPr>
            </w:pPr>
            <w:r>
              <w:rPr>
                <w:rFonts w:hint="eastAsia" w:cs="Times New Roman"/>
                <w:color w:val="auto"/>
                <w:sz w:val="24"/>
                <w:shd w:val="clear" w:color="auto" w:fill="FFFFFF"/>
                <w:lang w:val="en-US" w:eastAsia="zh-CN"/>
              </w:rPr>
              <w:t>主要成分为异氟尔酮（40%-55%）、丙二醇甲醚醋酸酯（30%-45%）、</w:t>
            </w:r>
            <w:r>
              <w:rPr>
                <w:rFonts w:hint="eastAsia" w:cs="Times New Roman"/>
                <w:color w:val="auto"/>
                <w:sz w:val="24"/>
                <w:highlight w:val="none"/>
                <w:shd w:val="clear" w:color="auto" w:fill="FFFFFF"/>
                <w:lang w:val="en-US" w:eastAsia="zh-CN"/>
              </w:rPr>
              <w:t>其他</w:t>
            </w:r>
            <w:r>
              <w:rPr>
                <w:rFonts w:hint="eastAsia" w:cs="Times New Roman"/>
                <w:color w:val="auto"/>
                <w:sz w:val="24"/>
                <w:shd w:val="clear" w:color="auto" w:fill="FFFFFF"/>
                <w:lang w:val="en-US" w:eastAsia="zh-CN"/>
              </w:rPr>
              <w:t>（1%-5%）。由于稀释剂中存在1%-5%的其它物质无法确定其成分，出于保守考虑将该部分成分以挥发性成分计，因此稀释剂挥发份按100%计。</w:t>
            </w:r>
          </w:p>
          <w:p w14:paraId="0D97034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Times New Roman"/>
                <w:b w:val="0"/>
                <w:bCs w:val="0"/>
                <w:color w:val="auto"/>
                <w:sz w:val="24"/>
                <w:szCs w:val="24"/>
                <w:lang w:val="en-US" w:eastAsia="zh-CN"/>
              </w:rPr>
            </w:pPr>
            <w:r>
              <w:rPr>
                <w:rFonts w:hint="eastAsia" w:cs="Times New Roman"/>
                <w:b/>
                <w:bCs/>
                <w:color w:val="auto"/>
                <w:sz w:val="24"/>
                <w:szCs w:val="24"/>
                <w:lang w:val="en-US" w:eastAsia="zh-CN"/>
              </w:rPr>
              <w:t>OPP热封膜：</w:t>
            </w:r>
            <w:r>
              <w:rPr>
                <w:rFonts w:hint="default" w:ascii="Times New Roman" w:hAnsi="Times New Roman" w:cs="Times New Roman"/>
                <w:b w:val="0"/>
                <w:bCs w:val="0"/>
                <w:color w:val="auto"/>
                <w:sz w:val="24"/>
                <w:szCs w:val="24"/>
                <w:lang w:val="en-US" w:eastAsia="zh-CN"/>
              </w:rPr>
              <w:t>熔点在250-255℃，</w:t>
            </w:r>
            <w:r>
              <w:rPr>
                <w:rFonts w:hint="default" w:ascii="Times New Roman" w:hAnsi="Times New Roman" w:cs="Times New Roman"/>
                <w:b w:val="0"/>
                <w:bCs w:val="0"/>
                <w:color w:val="auto"/>
                <w:sz w:val="24"/>
                <w:szCs w:val="24"/>
                <w:highlight w:val="none"/>
                <w:lang w:val="en-US" w:eastAsia="zh-CN"/>
              </w:rPr>
              <w:t>宽度为200mm、厚度为0.025毫米</w:t>
            </w:r>
            <w:r>
              <w:rPr>
                <w:rFonts w:hint="eastAsia"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拉伸强度≥16MPa</w:t>
            </w:r>
            <w:r>
              <w:rPr>
                <w:rFonts w:hint="eastAsia" w:cs="Times New Roman"/>
                <w:b w:val="0"/>
                <w:bCs w:val="0"/>
                <w:color w:val="auto"/>
                <w:sz w:val="24"/>
                <w:szCs w:val="24"/>
                <w:highlight w:val="none"/>
                <w:lang w:val="en-US" w:eastAsia="zh-CN"/>
              </w:rPr>
              <w:t>，</w:t>
            </w:r>
            <w:r>
              <w:rPr>
                <w:rFonts w:hint="eastAsia" w:cs="Times New Roman"/>
                <w:b w:val="0"/>
                <w:bCs w:val="0"/>
                <w:color w:val="auto"/>
                <w:sz w:val="24"/>
                <w:szCs w:val="24"/>
                <w:lang w:val="en-US" w:eastAsia="zh-CN"/>
              </w:rPr>
              <w:t>是一种双向拉伸聚丙烯薄膜，具有高透明度、优异的热封性、强抗拉强度和环保无毒特性，广泛应用于食品、药品等包装领域。</w:t>
            </w:r>
          </w:p>
          <w:p w14:paraId="11116726">
            <w:pPr>
              <w:jc w:val="center"/>
              <w:rPr>
                <w:rFonts w:hint="default"/>
                <w:b/>
                <w:bCs/>
                <w:color w:val="auto"/>
                <w:kern w:val="2"/>
                <w:sz w:val="24"/>
                <w:szCs w:val="24"/>
                <w:lang w:val="en-US" w:eastAsia="zh-CN"/>
              </w:rPr>
            </w:pPr>
            <w:r>
              <w:rPr>
                <w:rFonts w:hint="default"/>
                <w:b/>
                <w:bCs/>
                <w:color w:val="auto"/>
                <w:kern w:val="2"/>
                <w:sz w:val="24"/>
                <w:szCs w:val="24"/>
                <w:lang w:val="en-US" w:eastAsia="zh-CN"/>
              </w:rPr>
              <w:t>表2-</w:t>
            </w:r>
            <w:r>
              <w:rPr>
                <w:rFonts w:hint="eastAsia"/>
                <w:b/>
                <w:bCs/>
                <w:color w:val="auto"/>
                <w:kern w:val="2"/>
                <w:sz w:val="24"/>
                <w:szCs w:val="24"/>
                <w:lang w:val="en-US" w:eastAsia="zh-CN"/>
              </w:rPr>
              <w:t>6</w:t>
            </w:r>
            <w:r>
              <w:rPr>
                <w:rFonts w:hint="default"/>
                <w:b/>
                <w:bCs/>
                <w:color w:val="auto"/>
                <w:kern w:val="2"/>
                <w:sz w:val="24"/>
                <w:szCs w:val="24"/>
                <w:lang w:val="en-US" w:eastAsia="zh-CN"/>
              </w:rPr>
              <w:t xml:space="preserve">  </w:t>
            </w:r>
            <w:r>
              <w:rPr>
                <w:rFonts w:hint="default" w:ascii="Times New Roman" w:hAnsi="Times New Roman" w:cs="Times New Roman"/>
                <w:b/>
                <w:bCs/>
                <w:color w:val="auto"/>
                <w:sz w:val="24"/>
                <w:szCs w:val="24"/>
                <w:lang w:val="en-US" w:eastAsia="zh-CN"/>
              </w:rPr>
              <w:t>项目</w:t>
            </w:r>
            <w:r>
              <w:rPr>
                <w:rFonts w:hint="eastAsia" w:cs="Times New Roman"/>
                <w:b/>
                <w:bCs/>
                <w:color w:val="auto"/>
                <w:sz w:val="24"/>
                <w:szCs w:val="24"/>
                <w:lang w:val="en-US" w:eastAsia="zh-CN"/>
              </w:rPr>
              <w:t>油墨挥发、</w:t>
            </w:r>
            <w:r>
              <w:rPr>
                <w:rFonts w:hint="default" w:ascii="Times New Roman" w:hAnsi="Times New Roman" w:cs="Times New Roman"/>
                <w:b/>
                <w:bCs/>
                <w:color w:val="auto"/>
                <w:sz w:val="24"/>
                <w:szCs w:val="24"/>
                <w:lang w:val="en-US" w:eastAsia="zh-CN"/>
              </w:rPr>
              <w:t>固体份含量情况表</w:t>
            </w: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8"/>
              <w:gridCol w:w="1134"/>
              <w:gridCol w:w="1300"/>
              <w:gridCol w:w="1316"/>
              <w:gridCol w:w="1117"/>
              <w:gridCol w:w="1067"/>
              <w:gridCol w:w="1353"/>
            </w:tblGrid>
            <w:tr w14:paraId="4D20C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vAlign w:val="center"/>
                </w:tcPr>
                <w:p w14:paraId="371A32A3">
                  <w:pPr>
                    <w:spacing w:line="0" w:lineRule="atLeast"/>
                    <w:jc w:val="center"/>
                    <w:rPr>
                      <w:rFonts w:hint="default"/>
                      <w:color w:val="auto"/>
                      <w:vertAlign w:val="baseline"/>
                      <w:lang w:val="en-US" w:eastAsia="zh-CN"/>
                    </w:rPr>
                  </w:pPr>
                  <w:r>
                    <w:rPr>
                      <w:rFonts w:hint="eastAsia" w:cs="Times New Roman"/>
                      <w:b w:val="0"/>
                      <w:bCs w:val="0"/>
                      <w:color w:val="auto"/>
                      <w:kern w:val="0"/>
                      <w:sz w:val="21"/>
                      <w:szCs w:val="21"/>
                      <w:lang w:val="en-US" w:eastAsia="zh-CN"/>
                    </w:rPr>
                    <w:t>油墨</w:t>
                  </w:r>
                  <w:r>
                    <w:rPr>
                      <w:rFonts w:hint="default" w:ascii="Times New Roman" w:hAnsi="Times New Roman" w:cs="Times New Roman"/>
                      <w:b w:val="0"/>
                      <w:bCs w:val="0"/>
                      <w:color w:val="auto"/>
                      <w:kern w:val="0"/>
                      <w:sz w:val="21"/>
                      <w:szCs w:val="21"/>
                    </w:rPr>
                    <w:t>种类</w:t>
                  </w:r>
                </w:p>
              </w:tc>
              <w:tc>
                <w:tcPr>
                  <w:tcW w:w="674" w:type="pct"/>
                  <w:vAlign w:val="center"/>
                </w:tcPr>
                <w:p w14:paraId="254F6CFC">
                  <w:pPr>
                    <w:spacing w:line="0" w:lineRule="atLeast"/>
                    <w:jc w:val="center"/>
                    <w:rPr>
                      <w:rFonts w:hint="default" w:ascii="Times New Roman" w:hAnsi="Times New Roman" w:eastAsia="宋体"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用量（t/a）</w:t>
                  </w:r>
                </w:p>
              </w:tc>
              <w:tc>
                <w:tcPr>
                  <w:tcW w:w="773" w:type="pct"/>
                  <w:vAlign w:val="center"/>
                </w:tcPr>
                <w:p w14:paraId="22EB94F1">
                  <w:pPr>
                    <w:spacing w:line="0" w:lineRule="atLeast"/>
                    <w:jc w:val="center"/>
                    <w:rPr>
                      <w:rFonts w:hint="default" w:ascii="Times New Roman" w:hAnsi="Times New Roman" w:cs="Times New Roman"/>
                      <w:b w:val="0"/>
                      <w:bCs w:val="0"/>
                      <w:color w:val="auto"/>
                      <w:kern w:val="0"/>
                      <w:sz w:val="21"/>
                      <w:szCs w:val="21"/>
                    </w:rPr>
                  </w:pPr>
                  <w:r>
                    <w:rPr>
                      <w:rFonts w:hint="default" w:ascii="Times New Roman" w:hAnsi="Times New Roman" w:cs="Times New Roman"/>
                      <w:b w:val="0"/>
                      <w:bCs w:val="0"/>
                      <w:color w:val="auto"/>
                      <w:kern w:val="0"/>
                      <w:sz w:val="21"/>
                      <w:szCs w:val="21"/>
                    </w:rPr>
                    <w:t>组</w:t>
                  </w:r>
                  <w:r>
                    <w:rPr>
                      <w:rFonts w:hint="eastAsia" w:cs="Times New Roman"/>
                      <w:b w:val="0"/>
                      <w:bCs w:val="0"/>
                      <w:color w:val="auto"/>
                      <w:kern w:val="0"/>
                      <w:sz w:val="21"/>
                      <w:szCs w:val="21"/>
                      <w:lang w:val="en-US" w:eastAsia="zh-CN"/>
                    </w:rPr>
                    <w:t>成</w:t>
                  </w:r>
                  <w:r>
                    <w:rPr>
                      <w:rFonts w:hint="default" w:ascii="Times New Roman" w:hAnsi="Times New Roman" w:cs="Times New Roman"/>
                      <w:b w:val="0"/>
                      <w:bCs w:val="0"/>
                      <w:color w:val="auto"/>
                      <w:kern w:val="0"/>
                      <w:sz w:val="21"/>
                      <w:szCs w:val="21"/>
                    </w:rPr>
                    <w:t>成分</w:t>
                  </w:r>
                </w:p>
              </w:tc>
              <w:tc>
                <w:tcPr>
                  <w:tcW w:w="782" w:type="pct"/>
                  <w:vAlign w:val="center"/>
                </w:tcPr>
                <w:p w14:paraId="0C63FACD">
                  <w:pPr>
                    <w:spacing w:line="0" w:lineRule="atLeast"/>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挥发含量（</w:t>
                  </w:r>
                  <w:r>
                    <w:rPr>
                      <w:rFonts w:hint="default" w:ascii="Times New Roman" w:hAnsi="Times New Roman" w:cs="Times New Roman"/>
                      <w:b w:val="0"/>
                      <w:bCs w:val="0"/>
                      <w:color w:val="auto"/>
                      <w:kern w:val="0"/>
                      <w:sz w:val="21"/>
                      <w:szCs w:val="21"/>
                      <w:highlight w:val="none"/>
                    </w:rPr>
                    <w:t>%</w:t>
                  </w:r>
                  <w:r>
                    <w:rPr>
                      <w:rFonts w:hint="eastAsia" w:cs="Times New Roman"/>
                      <w:b w:val="0"/>
                      <w:bCs w:val="0"/>
                      <w:color w:val="auto"/>
                      <w:kern w:val="0"/>
                      <w:sz w:val="21"/>
                      <w:szCs w:val="21"/>
                      <w:highlight w:val="none"/>
                      <w:lang w:val="en-US" w:eastAsia="zh-CN"/>
                    </w:rPr>
                    <w:t>）</w:t>
                  </w:r>
                </w:p>
              </w:tc>
              <w:tc>
                <w:tcPr>
                  <w:tcW w:w="664" w:type="pct"/>
                  <w:vAlign w:val="center"/>
                </w:tcPr>
                <w:p w14:paraId="52DCC026">
                  <w:pPr>
                    <w:spacing w:line="0" w:lineRule="atLeast"/>
                    <w:jc w:val="center"/>
                    <w:rPr>
                      <w:rFonts w:hint="default"/>
                      <w:color w:val="auto"/>
                      <w:vertAlign w:val="baseline"/>
                      <w:lang w:val="en-US" w:eastAsia="zh-CN"/>
                    </w:rPr>
                  </w:pPr>
                  <w:r>
                    <w:rPr>
                      <w:rFonts w:hint="default" w:ascii="Times New Roman" w:hAnsi="Times New Roman" w:cs="Times New Roman"/>
                      <w:b w:val="0"/>
                      <w:bCs w:val="0"/>
                      <w:color w:val="auto"/>
                      <w:kern w:val="0"/>
                      <w:sz w:val="21"/>
                      <w:szCs w:val="21"/>
                    </w:rPr>
                    <w:t>固体含量（%）</w:t>
                  </w:r>
                </w:p>
              </w:tc>
              <w:tc>
                <w:tcPr>
                  <w:tcW w:w="634" w:type="pct"/>
                  <w:vAlign w:val="center"/>
                </w:tcPr>
                <w:p w14:paraId="5E06E565">
                  <w:pPr>
                    <w:spacing w:line="0" w:lineRule="atLeast"/>
                    <w:jc w:val="center"/>
                    <w:rPr>
                      <w:rFonts w:hint="default"/>
                      <w:color w:val="auto"/>
                      <w:vertAlign w:val="baseline"/>
                      <w:lang w:val="en-US" w:eastAsia="zh-CN"/>
                    </w:rPr>
                  </w:pPr>
                  <w:r>
                    <w:rPr>
                      <w:rFonts w:hint="default" w:ascii="Times New Roman" w:hAnsi="Times New Roman" w:cs="Times New Roman"/>
                      <w:b w:val="0"/>
                      <w:bCs w:val="0"/>
                      <w:color w:val="auto"/>
                      <w:kern w:val="0"/>
                      <w:sz w:val="21"/>
                      <w:szCs w:val="21"/>
                    </w:rPr>
                    <w:t>调配比例</w:t>
                  </w:r>
                </w:p>
              </w:tc>
              <w:tc>
                <w:tcPr>
                  <w:tcW w:w="804" w:type="pct"/>
                  <w:vAlign w:val="center"/>
                </w:tcPr>
                <w:p w14:paraId="63B7CD72">
                  <w:pPr>
                    <w:spacing w:line="0" w:lineRule="atLeast"/>
                    <w:jc w:val="center"/>
                    <w:rPr>
                      <w:rFonts w:hint="default"/>
                      <w:color w:val="auto"/>
                      <w:vertAlign w:val="baseline"/>
                      <w:lang w:val="en-US" w:eastAsia="zh-CN"/>
                    </w:rPr>
                  </w:pPr>
                  <w:r>
                    <w:rPr>
                      <w:rFonts w:hint="default" w:ascii="Times New Roman" w:hAnsi="Times New Roman" w:cs="Times New Roman"/>
                      <w:b w:val="0"/>
                      <w:bCs w:val="0"/>
                      <w:color w:val="auto"/>
                      <w:kern w:val="0"/>
                      <w:sz w:val="21"/>
                      <w:szCs w:val="21"/>
                    </w:rPr>
                    <w:t>混合后固体含量（%）</w:t>
                  </w:r>
                </w:p>
              </w:tc>
            </w:tr>
            <w:tr w14:paraId="29862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5" w:type="pct"/>
                  <w:vAlign w:val="center"/>
                </w:tcPr>
                <w:p w14:paraId="7B34E213">
                  <w:pPr>
                    <w:spacing w:line="0" w:lineRule="atLeast"/>
                    <w:jc w:val="center"/>
                    <w:rPr>
                      <w:rFonts w:hint="default"/>
                      <w:color w:val="auto"/>
                      <w:vertAlign w:val="baseline"/>
                      <w:lang w:val="en-US" w:eastAsia="zh-CN"/>
                    </w:rPr>
                  </w:pPr>
                  <w:r>
                    <w:rPr>
                      <w:rFonts w:hint="eastAsia"/>
                      <w:color w:val="auto"/>
                      <w:vertAlign w:val="baseline"/>
                      <w:lang w:val="en-US" w:eastAsia="zh-CN"/>
                    </w:rPr>
                    <w:t>水性油墨</w:t>
                  </w:r>
                </w:p>
              </w:tc>
              <w:tc>
                <w:tcPr>
                  <w:tcW w:w="674" w:type="pct"/>
                  <w:vAlign w:val="center"/>
                </w:tcPr>
                <w:p w14:paraId="1BECBF70">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s="Times New Roman"/>
                      <w:color w:val="auto"/>
                      <w:szCs w:val="21"/>
                      <w:lang w:val="en-US" w:eastAsia="zh-CN"/>
                    </w:rPr>
                    <w:t>3.4</w:t>
                  </w:r>
                </w:p>
              </w:tc>
              <w:tc>
                <w:tcPr>
                  <w:tcW w:w="773" w:type="pct"/>
                  <w:vAlign w:val="center"/>
                </w:tcPr>
                <w:p w14:paraId="1F64210D">
                  <w:pPr>
                    <w:spacing w:line="0" w:lineRule="atLeast"/>
                    <w:jc w:val="center"/>
                    <w:rPr>
                      <w:rFonts w:hint="default"/>
                      <w:color w:val="auto"/>
                      <w:sz w:val="21"/>
                      <w:szCs w:val="21"/>
                      <w:lang w:val="en-US" w:eastAsia="zh-CN"/>
                    </w:rPr>
                  </w:pPr>
                  <w:r>
                    <w:rPr>
                      <w:rFonts w:hint="eastAsia"/>
                      <w:color w:val="auto"/>
                      <w:sz w:val="21"/>
                      <w:szCs w:val="21"/>
                      <w:lang w:val="en-US" w:eastAsia="zh-CN"/>
                    </w:rPr>
                    <w:t>挥发份+固体份</w:t>
                  </w:r>
                </w:p>
              </w:tc>
              <w:tc>
                <w:tcPr>
                  <w:tcW w:w="782" w:type="pct"/>
                  <w:vAlign w:val="center"/>
                </w:tcPr>
                <w:p w14:paraId="1CA1C102">
                  <w:pPr>
                    <w:spacing w:line="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29.6</w:t>
                  </w:r>
                </w:p>
              </w:tc>
              <w:tc>
                <w:tcPr>
                  <w:tcW w:w="664" w:type="pct"/>
                  <w:vAlign w:val="center"/>
                </w:tcPr>
                <w:p w14:paraId="57D6094F">
                  <w:pPr>
                    <w:spacing w:line="0" w:lineRule="atLeast"/>
                    <w:jc w:val="center"/>
                    <w:rPr>
                      <w:rFonts w:hint="default"/>
                      <w:color w:val="auto"/>
                      <w:vertAlign w:val="baseline"/>
                      <w:lang w:val="en-US" w:eastAsia="zh-CN"/>
                    </w:rPr>
                  </w:pPr>
                  <w:r>
                    <w:rPr>
                      <w:rFonts w:hint="eastAsia"/>
                      <w:b w:val="0"/>
                      <w:bCs/>
                      <w:color w:val="auto"/>
                      <w:sz w:val="21"/>
                      <w:szCs w:val="21"/>
                      <w:vertAlign w:val="baseline"/>
                      <w:lang w:val="en-US" w:eastAsia="zh-CN"/>
                    </w:rPr>
                    <w:t>70.4</w:t>
                  </w:r>
                </w:p>
              </w:tc>
              <w:tc>
                <w:tcPr>
                  <w:tcW w:w="634" w:type="pct"/>
                  <w:vAlign w:val="center"/>
                </w:tcPr>
                <w:p w14:paraId="6940CB99">
                  <w:pPr>
                    <w:spacing w:line="0" w:lineRule="atLeast"/>
                    <w:jc w:val="center"/>
                    <w:rPr>
                      <w:rFonts w:hint="default"/>
                      <w:color w:val="auto"/>
                      <w:vertAlign w:val="baseline"/>
                      <w:lang w:val="en-US" w:eastAsia="zh-CN"/>
                    </w:rPr>
                  </w:pPr>
                  <w:r>
                    <w:rPr>
                      <w:rFonts w:hint="eastAsia"/>
                      <w:color w:val="auto"/>
                      <w:vertAlign w:val="baseline"/>
                      <w:lang w:val="en-US" w:eastAsia="zh-CN"/>
                    </w:rPr>
                    <w:t>/</w:t>
                  </w:r>
                </w:p>
              </w:tc>
              <w:tc>
                <w:tcPr>
                  <w:tcW w:w="804" w:type="pct"/>
                  <w:vAlign w:val="center"/>
                </w:tcPr>
                <w:p w14:paraId="6AF8BEB5">
                  <w:pPr>
                    <w:spacing w:line="0" w:lineRule="atLeast"/>
                    <w:jc w:val="center"/>
                    <w:rPr>
                      <w:rFonts w:hint="default"/>
                      <w:color w:val="auto"/>
                      <w:vertAlign w:val="baseline"/>
                      <w:lang w:val="en-US" w:eastAsia="zh-CN"/>
                    </w:rPr>
                  </w:pPr>
                  <w:r>
                    <w:rPr>
                      <w:rFonts w:hint="eastAsia"/>
                      <w:color w:val="auto"/>
                      <w:vertAlign w:val="baseline"/>
                      <w:lang w:val="en-US" w:eastAsia="zh-CN"/>
                    </w:rPr>
                    <w:t>/</w:t>
                  </w:r>
                </w:p>
              </w:tc>
            </w:tr>
            <w:tr w14:paraId="28A0F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vAlign w:val="center"/>
                </w:tcPr>
                <w:p w14:paraId="50508D02">
                  <w:pPr>
                    <w:spacing w:line="0" w:lineRule="atLeast"/>
                    <w:jc w:val="center"/>
                    <w:rPr>
                      <w:rFonts w:hint="default"/>
                      <w:color w:val="auto"/>
                      <w:vertAlign w:val="baseline"/>
                      <w:lang w:val="en-US" w:eastAsia="zh-CN"/>
                    </w:rPr>
                  </w:pPr>
                  <w:r>
                    <w:rPr>
                      <w:rFonts w:hint="eastAsia"/>
                      <w:color w:val="auto"/>
                      <w:vertAlign w:val="baseline"/>
                      <w:lang w:val="en-US" w:eastAsia="zh-CN"/>
                    </w:rPr>
                    <w:t>油墨</w:t>
                  </w:r>
                </w:p>
              </w:tc>
              <w:tc>
                <w:tcPr>
                  <w:tcW w:w="674" w:type="pct"/>
                  <w:vAlign w:val="center"/>
                </w:tcPr>
                <w:p w14:paraId="11D6A6CA">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vertAlign w:val="baseline"/>
                      <w:lang w:val="en-US" w:eastAsia="zh-CN"/>
                    </w:rPr>
                  </w:pPr>
                  <w:r>
                    <w:rPr>
                      <w:rFonts w:hint="eastAsia" w:cs="Times New Roman"/>
                      <w:color w:val="auto"/>
                      <w:szCs w:val="21"/>
                      <w:lang w:val="en-US" w:eastAsia="zh-CN"/>
                    </w:rPr>
                    <w:t>0.1</w:t>
                  </w:r>
                </w:p>
              </w:tc>
              <w:tc>
                <w:tcPr>
                  <w:tcW w:w="773" w:type="pct"/>
                  <w:shd w:val="clear" w:color="auto" w:fill="auto"/>
                  <w:vAlign w:val="center"/>
                </w:tcPr>
                <w:p w14:paraId="4D036639">
                  <w:pPr>
                    <w:spacing w:line="0" w:lineRule="atLeast"/>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挥发份+固体份</w:t>
                  </w:r>
                </w:p>
              </w:tc>
              <w:tc>
                <w:tcPr>
                  <w:tcW w:w="782" w:type="pct"/>
                  <w:vAlign w:val="center"/>
                </w:tcPr>
                <w:p w14:paraId="01CAA988">
                  <w:pPr>
                    <w:spacing w:line="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71.1</w:t>
                  </w:r>
                </w:p>
              </w:tc>
              <w:tc>
                <w:tcPr>
                  <w:tcW w:w="664" w:type="pct"/>
                  <w:vAlign w:val="center"/>
                </w:tcPr>
                <w:p w14:paraId="62BB4302">
                  <w:pPr>
                    <w:spacing w:line="0" w:lineRule="atLeast"/>
                    <w:jc w:val="center"/>
                    <w:rPr>
                      <w:rFonts w:hint="default"/>
                      <w:color w:val="auto"/>
                      <w:vertAlign w:val="baseline"/>
                      <w:lang w:val="en-US" w:eastAsia="zh-CN"/>
                    </w:rPr>
                  </w:pPr>
                  <w:r>
                    <w:rPr>
                      <w:rFonts w:hint="eastAsia"/>
                      <w:b w:val="0"/>
                      <w:bCs/>
                      <w:color w:val="auto"/>
                      <w:sz w:val="21"/>
                      <w:szCs w:val="21"/>
                      <w:vertAlign w:val="baseline"/>
                      <w:lang w:val="en-US" w:eastAsia="zh-CN"/>
                    </w:rPr>
                    <w:t>28.9</w:t>
                  </w:r>
                </w:p>
              </w:tc>
              <w:tc>
                <w:tcPr>
                  <w:tcW w:w="634" w:type="pct"/>
                  <w:vAlign w:val="center"/>
                </w:tcPr>
                <w:p w14:paraId="0626591B">
                  <w:pPr>
                    <w:spacing w:line="0" w:lineRule="atLeast"/>
                    <w:jc w:val="center"/>
                    <w:rPr>
                      <w:rFonts w:hint="default"/>
                      <w:color w:val="auto"/>
                      <w:vertAlign w:val="baseline"/>
                      <w:lang w:val="en-US" w:eastAsia="zh-CN"/>
                    </w:rPr>
                  </w:pPr>
                  <w:r>
                    <w:rPr>
                      <w:rFonts w:hint="eastAsia"/>
                      <w:color w:val="auto"/>
                      <w:sz w:val="21"/>
                      <w:szCs w:val="21"/>
                      <w:lang w:val="en-US" w:eastAsia="zh-CN"/>
                    </w:rPr>
                    <w:t>5</w:t>
                  </w:r>
                </w:p>
              </w:tc>
              <w:tc>
                <w:tcPr>
                  <w:tcW w:w="804" w:type="pct"/>
                  <w:vMerge w:val="restart"/>
                  <w:vAlign w:val="center"/>
                </w:tcPr>
                <w:p w14:paraId="75CDF5F7">
                  <w:pPr>
                    <w:spacing w:line="0" w:lineRule="atLeast"/>
                    <w:jc w:val="center"/>
                    <w:rPr>
                      <w:rFonts w:hint="default"/>
                      <w:color w:val="auto"/>
                      <w:vertAlign w:val="baseline"/>
                      <w:lang w:val="en-US" w:eastAsia="zh-CN"/>
                    </w:rPr>
                  </w:pPr>
                  <w:r>
                    <w:rPr>
                      <w:rFonts w:hint="eastAsia"/>
                      <w:color w:val="auto"/>
                      <w:vertAlign w:val="baseline"/>
                      <w:lang w:val="en-US" w:eastAsia="zh-CN"/>
                    </w:rPr>
                    <w:t>24.08</w:t>
                  </w:r>
                </w:p>
              </w:tc>
            </w:tr>
            <w:tr w14:paraId="6A152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665" w:type="pct"/>
                  <w:vAlign w:val="center"/>
                </w:tcPr>
                <w:p w14:paraId="526F56B2">
                  <w:pPr>
                    <w:spacing w:line="0" w:lineRule="atLeast"/>
                    <w:jc w:val="center"/>
                    <w:rPr>
                      <w:rFonts w:hint="default"/>
                      <w:color w:val="auto"/>
                      <w:vertAlign w:val="baseline"/>
                      <w:lang w:val="en-US" w:eastAsia="zh-CN"/>
                    </w:rPr>
                  </w:pPr>
                  <w:r>
                    <w:rPr>
                      <w:rFonts w:hint="eastAsia"/>
                      <w:color w:val="auto"/>
                      <w:vertAlign w:val="baseline"/>
                      <w:lang w:val="en-US" w:eastAsia="zh-CN"/>
                    </w:rPr>
                    <w:t>稀释剂</w:t>
                  </w:r>
                </w:p>
              </w:tc>
              <w:tc>
                <w:tcPr>
                  <w:tcW w:w="674" w:type="pct"/>
                  <w:vAlign w:val="center"/>
                </w:tcPr>
                <w:p w14:paraId="4B9CB6B5">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vertAlign w:val="baseline"/>
                      <w:lang w:val="en-US" w:eastAsia="zh-CN"/>
                    </w:rPr>
                  </w:pPr>
                  <w:r>
                    <w:rPr>
                      <w:rFonts w:hint="eastAsia" w:cs="Times New Roman"/>
                      <w:color w:val="auto"/>
                      <w:szCs w:val="21"/>
                      <w:lang w:val="en-US" w:eastAsia="zh-CN"/>
                    </w:rPr>
                    <w:t>0.02</w:t>
                  </w:r>
                </w:p>
              </w:tc>
              <w:tc>
                <w:tcPr>
                  <w:tcW w:w="773" w:type="pct"/>
                  <w:vAlign w:val="center"/>
                </w:tcPr>
                <w:p w14:paraId="1093FB46">
                  <w:pPr>
                    <w:spacing w:line="0" w:lineRule="atLeast"/>
                    <w:jc w:val="center"/>
                    <w:rPr>
                      <w:rFonts w:hint="eastAsia"/>
                      <w:color w:val="auto"/>
                      <w:vertAlign w:val="baseline"/>
                      <w:lang w:val="en-US" w:eastAsia="zh-CN"/>
                    </w:rPr>
                  </w:pPr>
                  <w:r>
                    <w:rPr>
                      <w:rFonts w:hint="eastAsia"/>
                      <w:color w:val="auto"/>
                      <w:sz w:val="21"/>
                      <w:szCs w:val="21"/>
                      <w:lang w:val="en-US" w:eastAsia="zh-CN"/>
                    </w:rPr>
                    <w:t>挥发份</w:t>
                  </w:r>
                </w:p>
              </w:tc>
              <w:tc>
                <w:tcPr>
                  <w:tcW w:w="782" w:type="pct"/>
                  <w:vAlign w:val="center"/>
                </w:tcPr>
                <w:p w14:paraId="4883570F">
                  <w:pPr>
                    <w:spacing w:line="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100%</w:t>
                  </w:r>
                </w:p>
              </w:tc>
              <w:tc>
                <w:tcPr>
                  <w:tcW w:w="664" w:type="pct"/>
                  <w:vAlign w:val="center"/>
                </w:tcPr>
                <w:p w14:paraId="0B912EE5">
                  <w:pPr>
                    <w:spacing w:line="0" w:lineRule="atLeast"/>
                    <w:jc w:val="center"/>
                    <w:rPr>
                      <w:rFonts w:hint="default"/>
                      <w:color w:val="auto"/>
                      <w:vertAlign w:val="baseline"/>
                      <w:lang w:val="en-US" w:eastAsia="zh-CN"/>
                    </w:rPr>
                  </w:pPr>
                  <w:r>
                    <w:rPr>
                      <w:rFonts w:hint="eastAsia"/>
                      <w:b w:val="0"/>
                      <w:bCs/>
                      <w:color w:val="auto"/>
                      <w:sz w:val="21"/>
                      <w:szCs w:val="21"/>
                      <w:vertAlign w:val="baseline"/>
                      <w:lang w:val="en-US" w:eastAsia="zh-CN"/>
                    </w:rPr>
                    <w:t>0</w:t>
                  </w:r>
                </w:p>
              </w:tc>
              <w:tc>
                <w:tcPr>
                  <w:tcW w:w="634" w:type="pct"/>
                  <w:vAlign w:val="center"/>
                </w:tcPr>
                <w:p w14:paraId="51192570">
                  <w:pPr>
                    <w:spacing w:line="0" w:lineRule="atLeast"/>
                    <w:jc w:val="center"/>
                    <w:rPr>
                      <w:rFonts w:hint="default"/>
                      <w:color w:val="auto"/>
                      <w:vertAlign w:val="baseline"/>
                      <w:lang w:val="en-US" w:eastAsia="zh-CN"/>
                    </w:rPr>
                  </w:pPr>
                  <w:r>
                    <w:rPr>
                      <w:rFonts w:hint="eastAsia"/>
                      <w:color w:val="auto"/>
                      <w:sz w:val="21"/>
                      <w:szCs w:val="21"/>
                      <w:lang w:val="en-US" w:eastAsia="zh-CN"/>
                    </w:rPr>
                    <w:t>1</w:t>
                  </w:r>
                </w:p>
              </w:tc>
              <w:tc>
                <w:tcPr>
                  <w:tcW w:w="804" w:type="pct"/>
                  <w:vMerge w:val="continue"/>
                  <w:vAlign w:val="center"/>
                </w:tcPr>
                <w:p w14:paraId="52404FF1">
                  <w:pPr>
                    <w:spacing w:line="0" w:lineRule="atLeast"/>
                    <w:jc w:val="center"/>
                    <w:rPr>
                      <w:rFonts w:hint="default"/>
                      <w:color w:val="auto"/>
                      <w:vertAlign w:val="baseline"/>
                      <w:lang w:val="en-US" w:eastAsia="zh-CN"/>
                    </w:rPr>
                  </w:pPr>
                </w:p>
              </w:tc>
            </w:tr>
          </w:tbl>
          <w:p w14:paraId="71A650F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b/>
                <w:bCs/>
                <w:color w:val="auto"/>
                <w:kern w:val="2"/>
                <w:sz w:val="24"/>
                <w:szCs w:val="24"/>
                <w:lang w:val="en-US" w:eastAsia="zh-CN"/>
              </w:rPr>
            </w:pPr>
            <w:r>
              <w:rPr>
                <w:rFonts w:hint="eastAsia"/>
                <w:b w:val="0"/>
                <w:bCs w:val="0"/>
                <w:color w:val="auto"/>
                <w:kern w:val="2"/>
                <w:sz w:val="24"/>
                <w:szCs w:val="24"/>
                <w:lang w:val="en-US" w:eastAsia="zh-CN"/>
              </w:rPr>
              <w:t>根据水性油墨、油墨、稀释剂的MSDS成分报告，水性油墨的挥发份为</w:t>
            </w:r>
            <w:r>
              <w:rPr>
                <w:rFonts w:hint="eastAsia"/>
                <w:b w:val="0"/>
                <w:bCs/>
                <w:color w:val="auto"/>
                <w:sz w:val="24"/>
                <w:szCs w:val="24"/>
                <w:vertAlign w:val="baseline"/>
                <w:lang w:val="en-US" w:eastAsia="zh-CN"/>
              </w:rPr>
              <w:t>29.6%</w:t>
            </w:r>
            <w:r>
              <w:rPr>
                <w:rFonts w:hint="eastAsia"/>
                <w:b w:val="0"/>
                <w:bCs w:val="0"/>
                <w:color w:val="auto"/>
                <w:kern w:val="2"/>
                <w:sz w:val="24"/>
                <w:szCs w:val="24"/>
                <w:lang w:val="en-US" w:eastAsia="zh-CN"/>
              </w:rPr>
              <w:t>，则固体含量为</w:t>
            </w:r>
            <w:r>
              <w:rPr>
                <w:rFonts w:hint="eastAsia"/>
                <w:b w:val="0"/>
                <w:bCs/>
                <w:color w:val="auto"/>
                <w:sz w:val="24"/>
                <w:szCs w:val="24"/>
                <w:vertAlign w:val="baseline"/>
                <w:lang w:val="en-US" w:eastAsia="zh-CN"/>
              </w:rPr>
              <w:t>70.4</w:t>
            </w:r>
            <w:r>
              <w:rPr>
                <w:rFonts w:hint="eastAsia"/>
                <w:b w:val="0"/>
                <w:bCs w:val="0"/>
                <w:color w:val="auto"/>
                <w:kern w:val="2"/>
                <w:sz w:val="24"/>
                <w:szCs w:val="24"/>
                <w:lang w:val="en-US" w:eastAsia="zh-CN"/>
              </w:rPr>
              <w:t>%；油墨的挥发份为</w:t>
            </w:r>
            <w:r>
              <w:rPr>
                <w:rFonts w:hint="eastAsia"/>
                <w:b w:val="0"/>
                <w:bCs/>
                <w:color w:val="auto"/>
                <w:sz w:val="24"/>
                <w:szCs w:val="24"/>
                <w:vertAlign w:val="baseline"/>
                <w:lang w:val="en-US" w:eastAsia="zh-CN"/>
              </w:rPr>
              <w:t>71.1%</w:t>
            </w:r>
            <w:r>
              <w:rPr>
                <w:rFonts w:hint="eastAsia"/>
                <w:b w:val="0"/>
                <w:bCs w:val="0"/>
                <w:color w:val="auto"/>
                <w:kern w:val="2"/>
                <w:sz w:val="24"/>
                <w:szCs w:val="24"/>
                <w:lang w:val="en-US" w:eastAsia="zh-CN"/>
              </w:rPr>
              <w:t>，则固体含量为</w:t>
            </w:r>
            <w:r>
              <w:rPr>
                <w:rFonts w:hint="eastAsia"/>
                <w:b w:val="0"/>
                <w:bCs/>
                <w:color w:val="auto"/>
                <w:sz w:val="24"/>
                <w:szCs w:val="24"/>
                <w:vertAlign w:val="baseline"/>
                <w:lang w:val="en-US" w:eastAsia="zh-CN"/>
              </w:rPr>
              <w:t>28.9</w:t>
            </w:r>
            <w:r>
              <w:rPr>
                <w:rFonts w:hint="eastAsia"/>
                <w:b w:val="0"/>
                <w:bCs w:val="0"/>
                <w:color w:val="auto"/>
                <w:kern w:val="2"/>
                <w:sz w:val="24"/>
                <w:szCs w:val="24"/>
                <w:lang w:val="en-US" w:eastAsia="zh-CN"/>
              </w:rPr>
              <w:t>%；稀释剂挥发份为100%；油墨需同稀释剂调配后使用，调配比例为5：1；油墨用量为0.1t/a、稀释剂用量为0.02t/a，调配完成后油墨总量为0.12t/a，则混合后的油墨固体含量约为24.08%。</w:t>
            </w:r>
          </w:p>
          <w:p w14:paraId="509643B1">
            <w:pPr>
              <w:jc w:val="center"/>
              <w:rPr>
                <w:rFonts w:hint="default"/>
                <w:b/>
                <w:bCs/>
                <w:color w:val="auto"/>
                <w:kern w:val="2"/>
                <w:sz w:val="24"/>
                <w:szCs w:val="24"/>
                <w:lang w:val="en-US" w:eastAsia="zh-CN"/>
              </w:rPr>
            </w:pPr>
            <w:r>
              <w:rPr>
                <w:rFonts w:hint="default"/>
                <w:b/>
                <w:bCs/>
                <w:color w:val="auto"/>
                <w:kern w:val="2"/>
                <w:sz w:val="24"/>
                <w:szCs w:val="24"/>
                <w:lang w:val="en-US" w:eastAsia="zh-CN"/>
              </w:rPr>
              <w:t>表2-</w:t>
            </w:r>
            <w:r>
              <w:rPr>
                <w:rFonts w:hint="eastAsia"/>
                <w:b/>
                <w:bCs/>
                <w:color w:val="auto"/>
                <w:kern w:val="2"/>
                <w:sz w:val="24"/>
                <w:szCs w:val="24"/>
                <w:lang w:val="en-US" w:eastAsia="zh-CN"/>
              </w:rPr>
              <w:t>7</w:t>
            </w:r>
            <w:r>
              <w:rPr>
                <w:rFonts w:hint="default"/>
                <w:b/>
                <w:bCs/>
                <w:color w:val="auto"/>
                <w:kern w:val="2"/>
                <w:sz w:val="24"/>
                <w:szCs w:val="24"/>
                <w:lang w:val="en-US" w:eastAsia="zh-CN"/>
              </w:rPr>
              <w:t xml:space="preserve"> </w:t>
            </w:r>
            <w:r>
              <w:rPr>
                <w:rFonts w:hint="eastAsia"/>
                <w:b/>
                <w:bCs/>
                <w:color w:val="auto"/>
                <w:kern w:val="2"/>
                <w:sz w:val="24"/>
                <w:szCs w:val="24"/>
                <w:lang w:val="en-US" w:eastAsia="zh-CN"/>
              </w:rPr>
              <w:t>产品油墨用量核算表</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3"/>
              <w:gridCol w:w="1639"/>
              <w:gridCol w:w="1356"/>
              <w:gridCol w:w="1356"/>
              <w:gridCol w:w="1356"/>
              <w:gridCol w:w="1357"/>
            </w:tblGrid>
            <w:tr w14:paraId="67CB2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8" w:type="pct"/>
                  <w:vAlign w:val="center"/>
                </w:tcPr>
                <w:p w14:paraId="4CA30555">
                  <w:pPr>
                    <w:spacing w:line="0" w:lineRule="atLeast"/>
                    <w:jc w:val="center"/>
                    <w:rPr>
                      <w:rFonts w:hint="default"/>
                      <w:color w:val="auto"/>
                      <w:vertAlign w:val="baseline"/>
                      <w:lang w:val="en-US" w:eastAsia="zh-CN"/>
                    </w:rPr>
                  </w:pPr>
                  <w:r>
                    <w:rPr>
                      <w:rFonts w:hint="eastAsia" w:cs="Times New Roman"/>
                      <w:b w:val="0"/>
                      <w:bCs w:val="0"/>
                      <w:color w:val="auto"/>
                      <w:kern w:val="0"/>
                      <w:sz w:val="21"/>
                      <w:szCs w:val="21"/>
                      <w:lang w:val="en-US" w:eastAsia="zh-CN"/>
                    </w:rPr>
                    <w:t>油墨</w:t>
                  </w:r>
                  <w:r>
                    <w:rPr>
                      <w:rFonts w:hint="default" w:ascii="Times New Roman" w:hAnsi="Times New Roman" w:cs="Times New Roman"/>
                      <w:b w:val="0"/>
                      <w:bCs w:val="0"/>
                      <w:color w:val="auto"/>
                      <w:kern w:val="0"/>
                      <w:sz w:val="21"/>
                      <w:szCs w:val="21"/>
                    </w:rPr>
                    <w:t>种类</w:t>
                  </w:r>
                </w:p>
              </w:tc>
              <w:tc>
                <w:tcPr>
                  <w:tcW w:w="974" w:type="pct"/>
                  <w:vAlign w:val="center"/>
                </w:tcPr>
                <w:p w14:paraId="29221DF2">
                  <w:pPr>
                    <w:spacing w:line="0" w:lineRule="atLeast"/>
                    <w:jc w:val="center"/>
                    <w:rPr>
                      <w:rFonts w:hint="default" w:ascii="Times New Roman" w:hAnsi="Times New Roman" w:eastAsia="宋体"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产品印刷面积（万m</w:t>
                  </w:r>
                  <w:r>
                    <w:rPr>
                      <w:rFonts w:hint="eastAsia" w:cs="Times New Roman"/>
                      <w:b w:val="0"/>
                      <w:bCs w:val="0"/>
                      <w:color w:val="auto"/>
                      <w:kern w:val="0"/>
                      <w:sz w:val="21"/>
                      <w:szCs w:val="21"/>
                      <w:vertAlign w:val="superscript"/>
                      <w:lang w:val="en-US" w:eastAsia="zh-CN"/>
                    </w:rPr>
                    <w:t>2</w:t>
                  </w:r>
                  <w:r>
                    <w:rPr>
                      <w:rFonts w:hint="eastAsia" w:cs="Times New Roman"/>
                      <w:b w:val="0"/>
                      <w:bCs w:val="0"/>
                      <w:color w:val="auto"/>
                      <w:kern w:val="0"/>
                      <w:sz w:val="21"/>
                      <w:szCs w:val="21"/>
                      <w:lang w:val="en-US" w:eastAsia="zh-CN"/>
                    </w:rPr>
                    <w:t>）</w:t>
                  </w:r>
                </w:p>
              </w:tc>
              <w:tc>
                <w:tcPr>
                  <w:tcW w:w="806" w:type="pct"/>
                  <w:vAlign w:val="center"/>
                </w:tcPr>
                <w:p w14:paraId="7FA6EDDC">
                  <w:pPr>
                    <w:spacing w:line="0" w:lineRule="atLeast"/>
                    <w:jc w:val="center"/>
                    <w:rPr>
                      <w:rFonts w:hint="eastAsia"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油墨密度（g/cm</w:t>
                  </w:r>
                  <w:r>
                    <w:rPr>
                      <w:rFonts w:hint="eastAsia" w:cs="Times New Roman"/>
                      <w:b w:val="0"/>
                      <w:bCs w:val="0"/>
                      <w:color w:val="auto"/>
                      <w:kern w:val="0"/>
                      <w:sz w:val="21"/>
                      <w:szCs w:val="21"/>
                      <w:vertAlign w:val="superscript"/>
                      <w:lang w:val="en-US" w:eastAsia="zh-CN"/>
                    </w:rPr>
                    <w:t>3</w:t>
                  </w:r>
                  <w:r>
                    <w:rPr>
                      <w:rFonts w:hint="eastAsia" w:cs="Times New Roman"/>
                      <w:b w:val="0"/>
                      <w:bCs w:val="0"/>
                      <w:color w:val="auto"/>
                      <w:kern w:val="0"/>
                      <w:sz w:val="21"/>
                      <w:szCs w:val="21"/>
                      <w:lang w:val="en-US" w:eastAsia="zh-CN"/>
                    </w:rPr>
                    <w:t>）</w:t>
                  </w:r>
                </w:p>
              </w:tc>
              <w:tc>
                <w:tcPr>
                  <w:tcW w:w="806" w:type="pct"/>
                  <w:vAlign w:val="center"/>
                </w:tcPr>
                <w:p w14:paraId="09D625FD">
                  <w:pPr>
                    <w:spacing w:line="0" w:lineRule="atLeast"/>
                    <w:jc w:val="center"/>
                    <w:rPr>
                      <w:rFonts w:hint="eastAsia"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印刷厚度</w:t>
                  </w:r>
                  <w:r>
                    <w:rPr>
                      <w:rFonts w:hint="default" w:ascii="Times New Roman" w:hAnsi="Times New Roman" w:cs="Times New Roman"/>
                      <w:b w:val="0"/>
                      <w:bCs w:val="0"/>
                      <w:color w:val="auto"/>
                      <w:kern w:val="0"/>
                      <w:sz w:val="21"/>
                      <w:szCs w:val="21"/>
                      <w:lang w:val="en-US" w:eastAsia="zh-CN"/>
                    </w:rPr>
                    <w:t>（</w:t>
                  </w:r>
                  <w:r>
                    <w:rPr>
                      <w:rFonts w:hint="default" w:ascii="Times New Roman" w:hAnsi="Times New Roman" w:eastAsia="宋体" w:cs="Times New Roman"/>
                      <w:b w:val="0"/>
                      <w:bCs w:val="0"/>
                      <w:color w:val="auto"/>
                      <w:kern w:val="0"/>
                      <w:sz w:val="21"/>
                      <w:szCs w:val="21"/>
                      <w:lang w:val="en-US" w:eastAsia="zh-CN"/>
                    </w:rPr>
                    <w:t>μ</w:t>
                  </w:r>
                  <w:r>
                    <w:rPr>
                      <w:rFonts w:hint="default" w:ascii="Times New Roman" w:hAnsi="Times New Roman" w:cs="Times New Roman"/>
                      <w:color w:val="auto"/>
                      <w:sz w:val="21"/>
                      <w:szCs w:val="21"/>
                      <w:shd w:val="clear" w:color="auto" w:fill="FFFFFF"/>
                      <w:lang w:val="en-US" w:eastAsia="zh-CN"/>
                    </w:rPr>
                    <w:t>m</w:t>
                  </w:r>
                  <w:r>
                    <w:rPr>
                      <w:rFonts w:hint="default" w:ascii="Times New Roman" w:hAnsi="Times New Roman" w:cs="Times New Roman"/>
                      <w:b w:val="0"/>
                      <w:bCs w:val="0"/>
                      <w:color w:val="auto"/>
                      <w:kern w:val="0"/>
                      <w:sz w:val="21"/>
                      <w:szCs w:val="21"/>
                      <w:lang w:val="en-US" w:eastAsia="zh-CN"/>
                    </w:rPr>
                    <w:t>）</w:t>
                  </w:r>
                </w:p>
              </w:tc>
              <w:tc>
                <w:tcPr>
                  <w:tcW w:w="806" w:type="pct"/>
                  <w:vAlign w:val="center"/>
                </w:tcPr>
                <w:p w14:paraId="1017337B">
                  <w:pPr>
                    <w:spacing w:line="0" w:lineRule="atLeast"/>
                    <w:jc w:val="center"/>
                    <w:rPr>
                      <w:rFonts w:hint="eastAsia"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印刷覆盖比例（%）</w:t>
                  </w:r>
                </w:p>
              </w:tc>
              <w:tc>
                <w:tcPr>
                  <w:tcW w:w="806" w:type="pct"/>
                  <w:vAlign w:val="center"/>
                </w:tcPr>
                <w:p w14:paraId="28CBB0C2">
                  <w:pPr>
                    <w:spacing w:line="0" w:lineRule="atLeast"/>
                    <w:jc w:val="center"/>
                    <w:rPr>
                      <w:rFonts w:hint="default" w:ascii="Times New Roman" w:hAnsi="Times New Roman" w:eastAsia="宋体"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产品印刷油墨总用量（t/a）</w:t>
                  </w:r>
                </w:p>
              </w:tc>
            </w:tr>
            <w:tr w14:paraId="47323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98" w:type="pct"/>
                  <w:vAlign w:val="center"/>
                </w:tcPr>
                <w:p w14:paraId="2FF410E3">
                  <w:pPr>
                    <w:spacing w:line="0" w:lineRule="atLeast"/>
                    <w:jc w:val="center"/>
                    <w:rPr>
                      <w:rFonts w:hint="default"/>
                      <w:color w:val="auto"/>
                      <w:vertAlign w:val="baseline"/>
                      <w:lang w:val="en-US" w:eastAsia="zh-CN"/>
                    </w:rPr>
                  </w:pPr>
                  <w:r>
                    <w:rPr>
                      <w:rFonts w:hint="eastAsia"/>
                      <w:color w:val="auto"/>
                      <w:vertAlign w:val="baseline"/>
                      <w:lang w:val="en-US" w:eastAsia="zh-CN"/>
                    </w:rPr>
                    <w:t>水性油墨</w:t>
                  </w:r>
                </w:p>
              </w:tc>
              <w:tc>
                <w:tcPr>
                  <w:tcW w:w="974" w:type="pct"/>
                  <w:vAlign w:val="center"/>
                </w:tcPr>
                <w:p w14:paraId="2519AF19">
                  <w:pPr>
                    <w:spacing w:line="0" w:lineRule="atLeast"/>
                    <w:jc w:val="center"/>
                    <w:rPr>
                      <w:rFonts w:hint="default"/>
                      <w:color w:val="auto"/>
                      <w:sz w:val="21"/>
                      <w:szCs w:val="21"/>
                      <w:lang w:val="en-US" w:eastAsia="zh-CN"/>
                    </w:rPr>
                  </w:pPr>
                  <w:r>
                    <w:rPr>
                      <w:rFonts w:hint="eastAsia"/>
                      <w:color w:val="auto"/>
                      <w:sz w:val="21"/>
                      <w:szCs w:val="21"/>
                      <w:lang w:val="en-US" w:eastAsia="zh-CN"/>
                    </w:rPr>
                    <w:t>966</w:t>
                  </w:r>
                </w:p>
              </w:tc>
              <w:tc>
                <w:tcPr>
                  <w:tcW w:w="806" w:type="pct"/>
                  <w:vAlign w:val="center"/>
                </w:tcPr>
                <w:p w14:paraId="45D5593E">
                  <w:pPr>
                    <w:spacing w:line="0" w:lineRule="atLeast"/>
                    <w:jc w:val="center"/>
                    <w:rPr>
                      <w:rFonts w:hint="default"/>
                      <w:color w:val="auto"/>
                      <w:sz w:val="21"/>
                      <w:szCs w:val="21"/>
                      <w:lang w:val="en-US" w:eastAsia="zh-CN"/>
                    </w:rPr>
                  </w:pPr>
                  <w:r>
                    <w:rPr>
                      <w:rFonts w:hint="eastAsia"/>
                      <w:color w:val="auto"/>
                      <w:sz w:val="21"/>
                      <w:szCs w:val="21"/>
                      <w:lang w:val="en-US" w:eastAsia="zh-CN"/>
                    </w:rPr>
                    <w:t>1.1</w:t>
                  </w:r>
                </w:p>
              </w:tc>
              <w:tc>
                <w:tcPr>
                  <w:tcW w:w="806" w:type="pct"/>
                  <w:vMerge w:val="restart"/>
                  <w:vAlign w:val="center"/>
                </w:tcPr>
                <w:p w14:paraId="01FACF2B">
                  <w:pPr>
                    <w:spacing w:line="0" w:lineRule="atLeast"/>
                    <w:jc w:val="center"/>
                    <w:rPr>
                      <w:rFonts w:hint="default"/>
                      <w:color w:val="auto"/>
                      <w:sz w:val="21"/>
                      <w:szCs w:val="21"/>
                      <w:lang w:val="en-US" w:eastAsia="zh-CN"/>
                    </w:rPr>
                  </w:pPr>
                  <w:r>
                    <w:rPr>
                      <w:rFonts w:hint="eastAsia"/>
                      <w:color w:val="auto"/>
                      <w:sz w:val="21"/>
                      <w:szCs w:val="21"/>
                      <w:lang w:val="en-US" w:eastAsia="zh-CN"/>
                    </w:rPr>
                    <w:t>4.0</w:t>
                  </w:r>
                </w:p>
              </w:tc>
              <w:tc>
                <w:tcPr>
                  <w:tcW w:w="806" w:type="pct"/>
                  <w:vMerge w:val="restart"/>
                  <w:vAlign w:val="center"/>
                </w:tcPr>
                <w:p w14:paraId="428B3794">
                  <w:pPr>
                    <w:spacing w:line="0" w:lineRule="atLeast"/>
                    <w:jc w:val="center"/>
                    <w:rPr>
                      <w:rFonts w:hint="default"/>
                      <w:color w:val="auto"/>
                      <w:sz w:val="21"/>
                      <w:szCs w:val="21"/>
                      <w:lang w:val="en-US" w:eastAsia="zh-CN"/>
                    </w:rPr>
                  </w:pPr>
                  <w:r>
                    <w:rPr>
                      <w:rFonts w:hint="eastAsia"/>
                      <w:color w:val="auto"/>
                      <w:sz w:val="21"/>
                      <w:szCs w:val="21"/>
                      <w:lang w:val="en-US" w:eastAsia="zh-CN"/>
                    </w:rPr>
                    <w:t>8</w:t>
                  </w:r>
                </w:p>
              </w:tc>
              <w:tc>
                <w:tcPr>
                  <w:tcW w:w="806" w:type="pct"/>
                  <w:vAlign w:val="center"/>
                </w:tcPr>
                <w:p w14:paraId="0A0A94E7">
                  <w:pPr>
                    <w:spacing w:line="0" w:lineRule="atLeast"/>
                    <w:jc w:val="center"/>
                    <w:rPr>
                      <w:rFonts w:hint="default"/>
                      <w:color w:val="auto"/>
                      <w:sz w:val="21"/>
                      <w:szCs w:val="21"/>
                      <w:lang w:val="en-US" w:eastAsia="zh-CN"/>
                    </w:rPr>
                  </w:pPr>
                  <w:r>
                    <w:rPr>
                      <w:rFonts w:hint="eastAsia"/>
                      <w:color w:val="auto"/>
                      <w:sz w:val="21"/>
                      <w:szCs w:val="21"/>
                      <w:lang w:val="en-US" w:eastAsia="zh-CN"/>
                    </w:rPr>
                    <w:t>3.4</w:t>
                  </w:r>
                </w:p>
              </w:tc>
            </w:tr>
            <w:tr w14:paraId="348E9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98" w:type="pct"/>
                  <w:vAlign w:val="center"/>
                </w:tcPr>
                <w:p w14:paraId="1A8BA3F9">
                  <w:pPr>
                    <w:spacing w:line="0" w:lineRule="atLeast"/>
                    <w:jc w:val="center"/>
                    <w:rPr>
                      <w:rFonts w:hint="eastAsia"/>
                      <w:color w:val="auto"/>
                      <w:sz w:val="21"/>
                      <w:szCs w:val="21"/>
                      <w:lang w:val="en-US" w:eastAsia="zh-CN"/>
                    </w:rPr>
                  </w:pPr>
                  <w:r>
                    <w:rPr>
                      <w:rFonts w:hint="eastAsia"/>
                      <w:color w:val="auto"/>
                      <w:vertAlign w:val="baseline"/>
                      <w:lang w:val="en-US" w:eastAsia="zh-CN"/>
                    </w:rPr>
                    <w:t>油墨</w:t>
                  </w:r>
                </w:p>
              </w:tc>
              <w:tc>
                <w:tcPr>
                  <w:tcW w:w="974" w:type="pct"/>
                  <w:vMerge w:val="restart"/>
                  <w:vAlign w:val="center"/>
                </w:tcPr>
                <w:p w14:paraId="10132082">
                  <w:pPr>
                    <w:spacing w:line="0" w:lineRule="atLeast"/>
                    <w:jc w:val="center"/>
                    <w:rPr>
                      <w:rFonts w:hint="default"/>
                      <w:color w:val="auto"/>
                      <w:sz w:val="21"/>
                      <w:szCs w:val="21"/>
                      <w:vertAlign w:val="baseline"/>
                      <w:lang w:val="en-US" w:eastAsia="zh-CN"/>
                    </w:rPr>
                  </w:pPr>
                  <w:r>
                    <w:rPr>
                      <w:rFonts w:hint="eastAsia"/>
                      <w:color w:val="auto"/>
                      <w:sz w:val="21"/>
                      <w:szCs w:val="21"/>
                      <w:vertAlign w:val="baseline"/>
                      <w:lang w:val="en-US" w:eastAsia="zh-CN"/>
                    </w:rPr>
                    <w:t>34</w:t>
                  </w:r>
                </w:p>
              </w:tc>
              <w:tc>
                <w:tcPr>
                  <w:tcW w:w="806" w:type="pct"/>
                  <w:vMerge w:val="restart"/>
                  <w:vAlign w:val="center"/>
                </w:tcPr>
                <w:p w14:paraId="5D787638">
                  <w:pPr>
                    <w:spacing w:line="0" w:lineRule="atLeast"/>
                    <w:jc w:val="center"/>
                    <w:rPr>
                      <w:rFonts w:hint="default"/>
                      <w:color w:val="auto"/>
                      <w:sz w:val="21"/>
                      <w:szCs w:val="21"/>
                      <w:vertAlign w:val="baseline"/>
                      <w:lang w:val="en-US" w:eastAsia="zh-CN"/>
                    </w:rPr>
                  </w:pPr>
                  <w:r>
                    <w:rPr>
                      <w:rFonts w:hint="eastAsia"/>
                      <w:color w:val="auto"/>
                      <w:sz w:val="21"/>
                      <w:szCs w:val="21"/>
                      <w:vertAlign w:val="baseline"/>
                      <w:lang w:val="en-US" w:eastAsia="zh-CN"/>
                    </w:rPr>
                    <w:t>1.12</w:t>
                  </w:r>
                </w:p>
              </w:tc>
              <w:tc>
                <w:tcPr>
                  <w:tcW w:w="806" w:type="pct"/>
                  <w:vMerge w:val="continue"/>
                  <w:vAlign w:val="center"/>
                </w:tcPr>
                <w:p w14:paraId="2FAEA027">
                  <w:pPr>
                    <w:spacing w:line="0" w:lineRule="atLeast"/>
                    <w:jc w:val="center"/>
                    <w:rPr>
                      <w:rFonts w:hint="eastAsia"/>
                      <w:color w:val="auto"/>
                      <w:sz w:val="21"/>
                      <w:szCs w:val="21"/>
                      <w:vertAlign w:val="baseline"/>
                      <w:lang w:val="en-US" w:eastAsia="zh-CN"/>
                    </w:rPr>
                  </w:pPr>
                </w:p>
              </w:tc>
              <w:tc>
                <w:tcPr>
                  <w:tcW w:w="806" w:type="pct"/>
                  <w:vMerge w:val="continue"/>
                  <w:vAlign w:val="center"/>
                </w:tcPr>
                <w:p w14:paraId="58C10BC1">
                  <w:pPr>
                    <w:spacing w:line="0" w:lineRule="atLeast"/>
                    <w:jc w:val="center"/>
                    <w:rPr>
                      <w:rFonts w:hint="eastAsia"/>
                      <w:color w:val="auto"/>
                      <w:sz w:val="21"/>
                      <w:szCs w:val="21"/>
                      <w:vertAlign w:val="baseline"/>
                      <w:lang w:val="en-US" w:eastAsia="zh-CN"/>
                    </w:rPr>
                  </w:pPr>
                </w:p>
              </w:tc>
              <w:tc>
                <w:tcPr>
                  <w:tcW w:w="806" w:type="pct"/>
                  <w:vAlign w:val="center"/>
                </w:tcPr>
                <w:p w14:paraId="105E3CAB">
                  <w:pPr>
                    <w:spacing w:line="0" w:lineRule="atLeast"/>
                    <w:jc w:val="center"/>
                    <w:rPr>
                      <w:rFonts w:hint="default"/>
                      <w:color w:val="auto"/>
                      <w:sz w:val="21"/>
                      <w:szCs w:val="21"/>
                      <w:lang w:val="en-US" w:eastAsia="zh-CN"/>
                    </w:rPr>
                  </w:pPr>
                  <w:r>
                    <w:rPr>
                      <w:rFonts w:hint="eastAsia"/>
                      <w:color w:val="auto"/>
                      <w:sz w:val="21"/>
                      <w:szCs w:val="21"/>
                      <w:lang w:val="en-US" w:eastAsia="zh-CN"/>
                    </w:rPr>
                    <w:t>0.1</w:t>
                  </w:r>
                </w:p>
              </w:tc>
            </w:tr>
            <w:tr w14:paraId="4F9FF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798" w:type="pct"/>
                  <w:vAlign w:val="center"/>
                </w:tcPr>
                <w:p w14:paraId="64F035AD">
                  <w:pPr>
                    <w:spacing w:line="0" w:lineRule="atLeast"/>
                    <w:jc w:val="center"/>
                    <w:rPr>
                      <w:rFonts w:hint="default"/>
                      <w:color w:val="auto"/>
                      <w:vertAlign w:val="baseline"/>
                      <w:lang w:val="en-US" w:eastAsia="zh-CN"/>
                    </w:rPr>
                  </w:pPr>
                  <w:r>
                    <w:rPr>
                      <w:rFonts w:hint="eastAsia"/>
                      <w:color w:val="auto"/>
                      <w:vertAlign w:val="baseline"/>
                      <w:lang w:val="en-US" w:eastAsia="zh-CN"/>
                    </w:rPr>
                    <w:t>稀释剂</w:t>
                  </w:r>
                </w:p>
              </w:tc>
              <w:tc>
                <w:tcPr>
                  <w:tcW w:w="974" w:type="pct"/>
                  <w:vMerge w:val="continue"/>
                  <w:vAlign w:val="center"/>
                </w:tcPr>
                <w:p w14:paraId="5D62EA78">
                  <w:pPr>
                    <w:spacing w:line="0" w:lineRule="atLeast"/>
                    <w:jc w:val="center"/>
                    <w:rPr>
                      <w:rFonts w:hint="default"/>
                      <w:color w:val="auto"/>
                      <w:sz w:val="21"/>
                      <w:szCs w:val="21"/>
                      <w:vertAlign w:val="baseline"/>
                      <w:lang w:val="en-US" w:eastAsia="zh-CN"/>
                    </w:rPr>
                  </w:pPr>
                </w:p>
              </w:tc>
              <w:tc>
                <w:tcPr>
                  <w:tcW w:w="806" w:type="pct"/>
                  <w:vMerge w:val="continue"/>
                  <w:vAlign w:val="center"/>
                </w:tcPr>
                <w:p w14:paraId="79A64635">
                  <w:pPr>
                    <w:spacing w:line="0" w:lineRule="atLeast"/>
                    <w:jc w:val="center"/>
                    <w:rPr>
                      <w:rFonts w:hint="default"/>
                      <w:color w:val="auto"/>
                      <w:sz w:val="21"/>
                      <w:szCs w:val="21"/>
                      <w:vertAlign w:val="baseline"/>
                      <w:lang w:val="en-US" w:eastAsia="zh-CN"/>
                    </w:rPr>
                  </w:pPr>
                </w:p>
              </w:tc>
              <w:tc>
                <w:tcPr>
                  <w:tcW w:w="806" w:type="pct"/>
                  <w:vMerge w:val="continue"/>
                  <w:vAlign w:val="center"/>
                </w:tcPr>
                <w:p w14:paraId="2F320409">
                  <w:pPr>
                    <w:spacing w:line="0" w:lineRule="atLeast"/>
                    <w:jc w:val="center"/>
                    <w:rPr>
                      <w:rFonts w:hint="default"/>
                      <w:color w:val="auto"/>
                      <w:sz w:val="21"/>
                      <w:szCs w:val="21"/>
                      <w:vertAlign w:val="baseline"/>
                      <w:lang w:val="en-US" w:eastAsia="zh-CN"/>
                    </w:rPr>
                  </w:pPr>
                </w:p>
              </w:tc>
              <w:tc>
                <w:tcPr>
                  <w:tcW w:w="806" w:type="pct"/>
                  <w:vMerge w:val="continue"/>
                  <w:vAlign w:val="center"/>
                </w:tcPr>
                <w:p w14:paraId="6BD40A8F">
                  <w:pPr>
                    <w:spacing w:line="0" w:lineRule="atLeast"/>
                    <w:jc w:val="center"/>
                    <w:rPr>
                      <w:rFonts w:hint="default"/>
                      <w:color w:val="auto"/>
                      <w:sz w:val="21"/>
                      <w:szCs w:val="21"/>
                      <w:vertAlign w:val="baseline"/>
                      <w:lang w:val="en-US" w:eastAsia="zh-CN"/>
                    </w:rPr>
                  </w:pPr>
                </w:p>
              </w:tc>
              <w:tc>
                <w:tcPr>
                  <w:tcW w:w="806" w:type="pct"/>
                  <w:vAlign w:val="center"/>
                </w:tcPr>
                <w:p w14:paraId="76190C30">
                  <w:pPr>
                    <w:spacing w:line="0" w:lineRule="atLeast"/>
                    <w:jc w:val="center"/>
                    <w:rPr>
                      <w:rFonts w:hint="default"/>
                      <w:color w:val="auto"/>
                      <w:vertAlign w:val="baseline"/>
                      <w:lang w:val="en-US" w:eastAsia="zh-CN"/>
                    </w:rPr>
                  </w:pPr>
                  <w:r>
                    <w:rPr>
                      <w:rFonts w:hint="eastAsia"/>
                      <w:color w:val="auto"/>
                      <w:vertAlign w:val="baseline"/>
                      <w:lang w:val="en-US" w:eastAsia="zh-CN"/>
                    </w:rPr>
                    <w:t>0.02</w:t>
                  </w:r>
                </w:p>
              </w:tc>
            </w:tr>
          </w:tbl>
          <w:p w14:paraId="799ACF65">
            <w:pPr>
              <w:spacing w:line="360" w:lineRule="auto"/>
              <w:ind w:firstLine="480" w:firstLineChars="200"/>
              <w:rPr>
                <w:rFonts w:hint="default" w:cs="Times New Roman"/>
                <w:color w:val="auto"/>
                <w:sz w:val="24"/>
                <w:shd w:val="clear" w:color="auto" w:fill="FFFFFF"/>
                <w:vertAlign w:val="baseline"/>
                <w:lang w:val="en-US" w:eastAsia="zh-CN"/>
              </w:rPr>
            </w:pPr>
            <w:r>
              <w:rPr>
                <w:rFonts w:hint="default" w:ascii="Times New Roman" w:hAnsi="Times New Roman" w:cs="Times New Roman"/>
                <w:color w:val="auto"/>
                <w:sz w:val="24"/>
                <w:shd w:val="clear" w:color="auto" w:fill="FFFFFF"/>
                <w:lang w:val="en-US" w:eastAsia="zh-CN"/>
              </w:rPr>
              <w:t>项目产品为热封膜，作为包装材料出售，产品总长度为5000万米、宽度为</w:t>
            </w:r>
            <w:r>
              <w:rPr>
                <w:rFonts w:hint="default" w:ascii="Times New Roman" w:hAnsi="Times New Roman" w:cs="Times New Roman"/>
                <w:b w:val="0"/>
                <w:bCs w:val="0"/>
                <w:color w:val="auto"/>
                <w:sz w:val="24"/>
                <w:szCs w:val="24"/>
                <w:highlight w:val="none"/>
                <w:lang w:val="en-US" w:eastAsia="zh-CN"/>
              </w:rPr>
              <w:t>200mm、油墨印刷厚度</w:t>
            </w:r>
            <w:r>
              <w:rPr>
                <w:rFonts w:hint="eastAsia" w:cs="Times New Roman"/>
                <w:b w:val="0"/>
                <w:bCs w:val="0"/>
                <w:color w:val="auto"/>
                <w:sz w:val="24"/>
                <w:szCs w:val="24"/>
                <w:highlight w:val="none"/>
                <w:lang w:val="en-US" w:eastAsia="zh-CN"/>
              </w:rPr>
              <w:t>约</w:t>
            </w:r>
            <w:r>
              <w:rPr>
                <w:rFonts w:hint="default" w:ascii="Times New Roman" w:hAnsi="Times New Roman" w:cs="Times New Roman"/>
                <w:b w:val="0"/>
                <w:bCs w:val="0"/>
                <w:color w:val="auto"/>
                <w:sz w:val="24"/>
                <w:szCs w:val="24"/>
                <w:highlight w:val="none"/>
                <w:lang w:val="en-US" w:eastAsia="zh-CN"/>
              </w:rPr>
              <w:t>为</w:t>
            </w:r>
            <w:r>
              <w:rPr>
                <w:rFonts w:hint="eastAsia" w:cs="Times New Roman"/>
                <w:b w:val="0"/>
                <w:bCs w:val="0"/>
                <w:color w:val="auto"/>
                <w:sz w:val="24"/>
                <w:szCs w:val="24"/>
                <w:highlight w:val="none"/>
                <w:lang w:val="en-US" w:eastAsia="zh-CN"/>
              </w:rPr>
              <w:t>2.8</w:t>
            </w:r>
            <w:r>
              <w:rPr>
                <w:rFonts w:hint="default" w:ascii="Times New Roman" w:hAnsi="Times New Roman" w:eastAsia="微软雅黑" w:cs="Times New Roman"/>
                <w:b w:val="0"/>
                <w:bCs w:val="0"/>
                <w:color w:val="auto"/>
                <w:sz w:val="24"/>
                <w:szCs w:val="24"/>
                <w:highlight w:val="none"/>
                <w:lang w:val="en-US" w:eastAsia="zh-CN"/>
              </w:rPr>
              <w:t>μm、</w:t>
            </w:r>
            <w:r>
              <w:rPr>
                <w:rFonts w:hint="default" w:ascii="Times New Roman" w:hAnsi="Times New Roman" w:cs="Times New Roman"/>
                <w:color w:val="auto"/>
                <w:sz w:val="24"/>
                <w:shd w:val="clear" w:color="auto" w:fill="FFFFFF"/>
                <w:lang w:val="en-US" w:eastAsia="zh-CN"/>
              </w:rPr>
              <w:t>印刷面积约为热封膜面积的8%</w:t>
            </w:r>
            <w:r>
              <w:rPr>
                <w:rFonts w:hint="eastAsia" w:cs="Times New Roman"/>
                <w:color w:val="auto"/>
                <w:sz w:val="24"/>
                <w:shd w:val="clear" w:color="auto" w:fill="FFFFFF"/>
                <w:lang w:val="en-US" w:eastAsia="zh-CN"/>
              </w:rPr>
              <w:t>。水性油墨密度约为1.1g/cm</w:t>
            </w:r>
            <w:r>
              <w:rPr>
                <w:rFonts w:hint="eastAsia" w:cs="Times New Roman"/>
                <w:color w:val="auto"/>
                <w:sz w:val="24"/>
                <w:shd w:val="clear" w:color="auto" w:fill="FFFFFF"/>
                <w:vertAlign w:val="superscript"/>
                <w:lang w:val="en-US" w:eastAsia="zh-CN"/>
              </w:rPr>
              <w:t>3</w:t>
            </w:r>
            <w:r>
              <w:rPr>
                <w:rFonts w:hint="eastAsia" w:cs="Times New Roman"/>
                <w:color w:val="auto"/>
                <w:sz w:val="24"/>
                <w:shd w:val="clear" w:color="auto" w:fill="FFFFFF"/>
                <w:vertAlign w:val="baseline"/>
                <w:lang w:val="en-US" w:eastAsia="zh-CN"/>
              </w:rPr>
              <w:t>、油墨</w:t>
            </w:r>
            <w:r>
              <w:rPr>
                <w:rFonts w:hint="eastAsia" w:cs="Times New Roman"/>
                <w:color w:val="auto"/>
                <w:sz w:val="24"/>
                <w:shd w:val="clear" w:color="auto" w:fill="FFFFFF"/>
                <w:lang w:val="en-US" w:eastAsia="zh-CN"/>
              </w:rPr>
              <w:t>密度约为1.2g/cm</w:t>
            </w:r>
            <w:r>
              <w:rPr>
                <w:rFonts w:hint="eastAsia" w:cs="Times New Roman"/>
                <w:color w:val="auto"/>
                <w:sz w:val="24"/>
                <w:shd w:val="clear" w:color="auto" w:fill="FFFFFF"/>
                <w:vertAlign w:val="superscript"/>
                <w:lang w:val="en-US" w:eastAsia="zh-CN"/>
              </w:rPr>
              <w:t>3</w:t>
            </w:r>
            <w:r>
              <w:rPr>
                <w:rFonts w:hint="eastAsia" w:cs="Times New Roman"/>
                <w:color w:val="auto"/>
                <w:sz w:val="24"/>
                <w:shd w:val="clear" w:color="auto" w:fill="FFFFFF"/>
                <w:vertAlign w:val="baseline"/>
                <w:lang w:val="en-US" w:eastAsia="zh-CN"/>
              </w:rPr>
              <w:t>、稀释剂密度约为0.85</w:t>
            </w:r>
            <w:r>
              <w:rPr>
                <w:rFonts w:hint="eastAsia" w:cs="Times New Roman"/>
                <w:color w:val="auto"/>
                <w:sz w:val="24"/>
                <w:shd w:val="clear" w:color="auto" w:fill="FFFFFF"/>
                <w:lang w:val="en-US" w:eastAsia="zh-CN"/>
              </w:rPr>
              <w:t>g/cm</w:t>
            </w:r>
            <w:r>
              <w:rPr>
                <w:rFonts w:hint="eastAsia" w:cs="Times New Roman"/>
                <w:color w:val="auto"/>
                <w:sz w:val="24"/>
                <w:shd w:val="clear" w:color="auto" w:fill="FFFFFF"/>
                <w:vertAlign w:val="superscript"/>
                <w:lang w:val="en-US" w:eastAsia="zh-CN"/>
              </w:rPr>
              <w:t>3</w:t>
            </w:r>
            <w:r>
              <w:rPr>
                <w:rFonts w:hint="eastAsia" w:cs="Times New Roman"/>
                <w:color w:val="auto"/>
                <w:sz w:val="24"/>
                <w:shd w:val="clear" w:color="auto" w:fill="FFFFFF"/>
                <w:vertAlign w:val="baseline"/>
                <w:lang w:val="en-US" w:eastAsia="zh-CN"/>
              </w:rPr>
              <w:t>、油墨与稀释剂调配后的密度约为</w:t>
            </w:r>
            <w:r>
              <w:rPr>
                <w:rFonts w:hint="eastAsia" w:cs="Times New Roman"/>
                <w:color w:val="auto"/>
                <w:sz w:val="24"/>
                <w:shd w:val="clear" w:color="auto" w:fill="FFFFFF"/>
                <w:lang w:val="en-US" w:eastAsia="zh-CN"/>
              </w:rPr>
              <w:t>1.12g/cm</w:t>
            </w:r>
            <w:r>
              <w:rPr>
                <w:rFonts w:hint="eastAsia" w:cs="Times New Roman"/>
                <w:color w:val="auto"/>
                <w:sz w:val="24"/>
                <w:shd w:val="clear" w:color="auto" w:fill="FFFFFF"/>
                <w:vertAlign w:val="superscript"/>
                <w:lang w:val="en-US" w:eastAsia="zh-CN"/>
              </w:rPr>
              <w:t>3</w:t>
            </w:r>
            <w:r>
              <w:rPr>
                <w:rFonts w:hint="eastAsia" w:cs="Times New Roman"/>
                <w:color w:val="auto"/>
                <w:sz w:val="24"/>
                <w:shd w:val="clear" w:color="auto" w:fill="FFFFFF"/>
                <w:lang w:val="en-US" w:eastAsia="zh-CN"/>
              </w:rPr>
              <w:t>。</w:t>
            </w:r>
          </w:p>
          <w:p w14:paraId="4FD0B221">
            <w:pPr>
              <w:spacing w:line="360" w:lineRule="auto"/>
              <w:ind w:firstLine="480" w:firstLineChars="200"/>
              <w:rPr>
                <w:rFonts w:hint="default" w:eastAsia="宋体" w:cs="Times New Roman"/>
                <w:color w:val="auto"/>
                <w:sz w:val="24"/>
                <w:shd w:val="clear" w:color="auto" w:fill="FFFFFF"/>
                <w:lang w:val="en-US" w:eastAsia="zh-CN"/>
              </w:rPr>
            </w:pPr>
            <w:r>
              <w:rPr>
                <w:rFonts w:hint="default" w:ascii="Times New Roman" w:hAnsi="Times New Roman" w:cs="Times New Roman"/>
                <w:color w:val="auto"/>
                <w:sz w:val="24"/>
                <w:shd w:val="clear" w:color="auto" w:fill="FFFFFF"/>
                <w:lang w:val="en-US" w:eastAsia="zh-CN"/>
              </w:rPr>
              <w:t>根据企业</w:t>
            </w:r>
            <w:r>
              <w:rPr>
                <w:rFonts w:hint="eastAsia" w:cs="Times New Roman"/>
                <w:color w:val="auto"/>
                <w:sz w:val="24"/>
                <w:shd w:val="clear" w:color="auto" w:fill="FFFFFF"/>
                <w:lang w:val="en-US" w:eastAsia="zh-CN"/>
              </w:rPr>
              <w:t>提供的资料，使用水性油墨印刷的产品长度为4940万米、使用油墨印刷的产品长度为60万米。</w:t>
            </w:r>
          </w:p>
          <w:p w14:paraId="5BD09739">
            <w:pPr>
              <w:spacing w:line="360" w:lineRule="auto"/>
              <w:ind w:firstLine="480" w:firstLineChars="200"/>
              <w:rPr>
                <w:rFonts w:hint="default" w:cs="Times New Roman"/>
                <w:color w:val="auto"/>
                <w:sz w:val="24"/>
                <w:shd w:val="clear" w:color="auto" w:fill="FFFFFF"/>
                <w:lang w:val="en-US" w:eastAsia="zh-CN"/>
              </w:rPr>
            </w:pPr>
            <w:r>
              <w:rPr>
                <w:rFonts w:hint="eastAsia" w:cs="Times New Roman"/>
                <w:color w:val="auto"/>
                <w:sz w:val="24"/>
                <w:shd w:val="clear" w:color="auto" w:fill="FFFFFF"/>
                <w:lang w:val="en-US" w:eastAsia="zh-CN"/>
              </w:rPr>
              <w:t>水性油墨用</w:t>
            </w:r>
            <w:r>
              <w:rPr>
                <w:rFonts w:hint="default" w:ascii="Times New Roman" w:hAnsi="Times New Roman" w:cs="Times New Roman"/>
                <w:color w:val="auto"/>
                <w:sz w:val="24"/>
                <w:shd w:val="clear" w:color="auto" w:fill="FFFFFF"/>
                <w:lang w:val="en-US" w:eastAsia="zh-CN"/>
              </w:rPr>
              <w:t>量为：4</w:t>
            </w:r>
            <w:r>
              <w:rPr>
                <w:rFonts w:hint="eastAsia" w:cs="Times New Roman"/>
                <w:color w:val="auto"/>
                <w:sz w:val="24"/>
                <w:shd w:val="clear" w:color="auto" w:fill="FFFFFF"/>
                <w:lang w:val="en-US" w:eastAsia="zh-CN"/>
              </w:rPr>
              <w:t>94</w:t>
            </w:r>
            <w:r>
              <w:rPr>
                <w:rFonts w:hint="default" w:ascii="Times New Roman" w:hAnsi="Times New Roman" w:cs="Times New Roman"/>
                <w:color w:val="auto"/>
                <w:sz w:val="24"/>
                <w:shd w:val="clear" w:color="auto" w:fill="FFFFFF"/>
                <w:lang w:val="en-US" w:eastAsia="zh-CN"/>
              </w:rPr>
              <w:t>0</w:t>
            </w:r>
            <w:r>
              <w:rPr>
                <w:rFonts w:hint="default" w:ascii="Times New Roman" w:hAnsi="Times New Roman" w:cs="Times New Roman"/>
                <w:color w:val="auto"/>
                <w:sz w:val="24"/>
                <w:shd w:val="clear" w:color="auto" w:fill="FFFFFF"/>
                <w:vertAlign w:val="baseline"/>
                <w:lang w:val="en-US" w:eastAsia="zh-CN"/>
              </w:rPr>
              <w:t>万米×200mm×8%×</w:t>
            </w:r>
            <w:r>
              <w:rPr>
                <w:rFonts w:hint="eastAsia" w:cs="Times New Roman"/>
                <w:color w:val="auto"/>
                <w:sz w:val="24"/>
                <w:shd w:val="clear" w:color="auto" w:fill="FFFFFF"/>
                <w:vertAlign w:val="baseline"/>
                <w:lang w:val="en-US" w:eastAsia="zh-CN"/>
              </w:rPr>
              <w:t>2.8</w:t>
            </w:r>
            <w:r>
              <w:rPr>
                <w:rFonts w:hint="default" w:ascii="Times New Roman" w:hAnsi="Times New Roman" w:eastAsia="微软雅黑" w:cs="Times New Roman"/>
                <w:b w:val="0"/>
                <w:bCs w:val="0"/>
                <w:color w:val="auto"/>
                <w:sz w:val="24"/>
                <w:szCs w:val="24"/>
                <w:highlight w:val="none"/>
                <w:lang w:val="en-US" w:eastAsia="zh-CN"/>
              </w:rPr>
              <w:t>μm</w:t>
            </w:r>
            <w:r>
              <w:rPr>
                <w:rFonts w:hint="default" w:ascii="Times New Roman" w:hAnsi="Times New Roman" w:cs="Times New Roman"/>
                <w:color w:val="auto"/>
                <w:sz w:val="24"/>
                <w:highlight w:val="none"/>
                <w:shd w:val="clear" w:color="auto" w:fill="FFFFFF"/>
                <w:vertAlign w:val="baseline"/>
                <w:lang w:val="en-US" w:eastAsia="zh-CN"/>
              </w:rPr>
              <w:t>×</w:t>
            </w:r>
            <w:r>
              <w:rPr>
                <w:rFonts w:hint="default" w:ascii="Times New Roman" w:hAnsi="Times New Roman" w:cs="Times New Roman"/>
                <w:color w:val="auto"/>
                <w:sz w:val="24"/>
                <w:shd w:val="clear" w:color="auto" w:fill="FFFFFF"/>
                <w:lang w:val="en-US" w:eastAsia="zh-CN"/>
              </w:rPr>
              <w:t>1.1g/cm</w:t>
            </w:r>
            <w:r>
              <w:rPr>
                <w:rFonts w:hint="default" w:ascii="Times New Roman" w:hAnsi="Times New Roman" w:cs="Times New Roman"/>
                <w:color w:val="auto"/>
                <w:sz w:val="24"/>
                <w:shd w:val="clear" w:color="auto" w:fill="FFFFFF"/>
                <w:vertAlign w:val="superscript"/>
                <w:lang w:val="en-US" w:eastAsia="zh-CN"/>
              </w:rPr>
              <w:t>3</w:t>
            </w:r>
            <w:r>
              <w:rPr>
                <w:rFonts w:hint="default" w:ascii="Times New Roman" w:hAnsi="Times New Roman" w:cs="Times New Roman"/>
                <w:color w:val="auto"/>
                <w:sz w:val="24"/>
                <w:shd w:val="clear" w:color="auto" w:fill="FFFFFF"/>
                <w:vertAlign w:val="baseline"/>
                <w:lang w:val="en-US" w:eastAsia="zh-CN"/>
              </w:rPr>
              <w:t>÷</w:t>
            </w:r>
            <w:r>
              <w:rPr>
                <w:rFonts w:hint="eastAsia"/>
                <w:b w:val="0"/>
                <w:bCs/>
                <w:color w:val="auto"/>
                <w:sz w:val="24"/>
                <w:szCs w:val="24"/>
                <w:vertAlign w:val="baseline"/>
                <w:lang w:val="en-US" w:eastAsia="zh-CN"/>
              </w:rPr>
              <w:t>70.4</w:t>
            </w:r>
            <w:r>
              <w:rPr>
                <w:rFonts w:hint="eastAsia"/>
                <w:b w:val="0"/>
                <w:bCs w:val="0"/>
                <w:color w:val="auto"/>
                <w:kern w:val="2"/>
                <w:sz w:val="24"/>
                <w:szCs w:val="24"/>
                <w:lang w:val="en-US" w:eastAsia="zh-CN"/>
              </w:rPr>
              <w:t>%</w:t>
            </w:r>
            <w:r>
              <w:rPr>
                <w:rFonts w:hint="default" w:ascii="Times New Roman" w:hAnsi="Times New Roman" w:cs="Times New Roman"/>
                <w:color w:val="auto"/>
                <w:sz w:val="24"/>
                <w:shd w:val="clear" w:color="auto" w:fill="FFFFFF"/>
                <w:lang w:val="en-US" w:eastAsia="zh-CN"/>
              </w:rPr>
              <w:t>≈</w:t>
            </w:r>
            <w:r>
              <w:rPr>
                <w:rFonts w:hint="eastAsia" w:cs="Times New Roman"/>
                <w:color w:val="auto"/>
                <w:sz w:val="24"/>
                <w:shd w:val="clear" w:color="auto" w:fill="FFFFFF"/>
                <w:lang w:val="en-US" w:eastAsia="zh-CN"/>
              </w:rPr>
              <w:t>3.4t/a</w:t>
            </w:r>
          </w:p>
          <w:p w14:paraId="4887F649">
            <w:pPr>
              <w:spacing w:line="360" w:lineRule="auto"/>
              <w:ind w:firstLine="480" w:firstLineChars="200"/>
              <w:rPr>
                <w:rFonts w:hint="eastAsia" w:cs="Times New Roman"/>
                <w:b w:val="0"/>
                <w:bCs w:val="0"/>
                <w:color w:val="auto"/>
                <w:sz w:val="24"/>
                <w:szCs w:val="24"/>
                <w:lang w:val="en-US" w:eastAsia="zh-CN"/>
              </w:rPr>
            </w:pPr>
            <w:r>
              <w:rPr>
                <w:rFonts w:hint="eastAsia" w:cs="Times New Roman"/>
                <w:color w:val="auto"/>
                <w:sz w:val="24"/>
                <w:shd w:val="clear" w:color="auto" w:fill="FFFFFF"/>
                <w:lang w:val="en-US" w:eastAsia="zh-CN"/>
              </w:rPr>
              <w:t>油墨、稀释剂的总用</w:t>
            </w:r>
            <w:r>
              <w:rPr>
                <w:rFonts w:hint="default" w:ascii="Times New Roman" w:hAnsi="Times New Roman" w:cs="Times New Roman"/>
                <w:color w:val="auto"/>
                <w:sz w:val="24"/>
                <w:shd w:val="clear" w:color="auto" w:fill="FFFFFF"/>
                <w:lang w:val="en-US" w:eastAsia="zh-CN"/>
              </w:rPr>
              <w:t>量为：</w:t>
            </w:r>
            <w:r>
              <w:rPr>
                <w:rFonts w:hint="eastAsia" w:cs="Times New Roman"/>
                <w:color w:val="auto"/>
                <w:sz w:val="24"/>
                <w:shd w:val="clear" w:color="auto" w:fill="FFFFFF"/>
                <w:lang w:val="en-US" w:eastAsia="zh-CN"/>
              </w:rPr>
              <w:t>60</w:t>
            </w:r>
            <w:r>
              <w:rPr>
                <w:rFonts w:hint="eastAsia" w:cs="Times New Roman"/>
                <w:color w:val="auto"/>
                <w:sz w:val="24"/>
                <w:shd w:val="clear" w:color="auto" w:fill="FFFFFF"/>
                <w:vertAlign w:val="baseline"/>
                <w:lang w:val="en-US" w:eastAsia="zh-CN"/>
              </w:rPr>
              <w:t>万米</w:t>
            </w:r>
            <w:r>
              <w:rPr>
                <w:rFonts w:hint="default" w:ascii="Times New Roman" w:hAnsi="Times New Roman" w:cs="Times New Roman"/>
                <w:color w:val="auto"/>
                <w:sz w:val="24"/>
                <w:shd w:val="clear" w:color="auto" w:fill="FFFFFF"/>
                <w:vertAlign w:val="baseline"/>
                <w:lang w:val="en-US" w:eastAsia="zh-CN"/>
              </w:rPr>
              <w:t>×200mm×8%</w:t>
            </w:r>
            <w:r>
              <w:rPr>
                <w:rFonts w:hint="default" w:ascii="Times New Roman" w:hAnsi="Times New Roman" w:cs="Times New Roman"/>
                <w:color w:val="auto"/>
                <w:sz w:val="24"/>
                <w:highlight w:val="none"/>
                <w:shd w:val="clear" w:color="auto" w:fill="FFFFFF"/>
                <w:vertAlign w:val="baseline"/>
                <w:lang w:val="en-US" w:eastAsia="zh-CN"/>
              </w:rPr>
              <w:t>×</w:t>
            </w:r>
            <w:r>
              <w:rPr>
                <w:rFonts w:hint="eastAsia" w:cs="Times New Roman"/>
                <w:color w:val="auto"/>
                <w:sz w:val="24"/>
                <w:highlight w:val="none"/>
                <w:shd w:val="clear" w:color="auto" w:fill="FFFFFF"/>
                <w:vertAlign w:val="baseline"/>
                <w:lang w:val="en-US" w:eastAsia="zh-CN"/>
              </w:rPr>
              <w:t>4.0</w:t>
            </w:r>
            <w:r>
              <w:rPr>
                <w:rFonts w:hint="default" w:ascii="Times New Roman" w:hAnsi="Times New Roman" w:eastAsia="微软雅黑" w:cs="Times New Roman"/>
                <w:b w:val="0"/>
                <w:bCs w:val="0"/>
                <w:color w:val="auto"/>
                <w:sz w:val="24"/>
                <w:szCs w:val="24"/>
                <w:highlight w:val="none"/>
                <w:lang w:val="en-US" w:eastAsia="zh-CN"/>
              </w:rPr>
              <w:t>μm</w:t>
            </w:r>
            <w:r>
              <w:rPr>
                <w:rFonts w:hint="default" w:ascii="Times New Roman" w:hAnsi="Times New Roman" w:cs="Times New Roman"/>
                <w:color w:val="auto"/>
                <w:sz w:val="24"/>
                <w:highlight w:val="none"/>
                <w:shd w:val="clear" w:color="auto" w:fill="FFFFFF"/>
                <w:vertAlign w:val="baseline"/>
                <w:lang w:val="en-US" w:eastAsia="zh-CN"/>
              </w:rPr>
              <w:t>×</w:t>
            </w:r>
            <w:r>
              <w:rPr>
                <w:rFonts w:hint="default" w:ascii="Times New Roman" w:hAnsi="Times New Roman" w:cs="Times New Roman"/>
                <w:color w:val="auto"/>
                <w:sz w:val="24"/>
                <w:highlight w:val="none"/>
                <w:shd w:val="clear" w:color="auto" w:fill="FFFFFF"/>
                <w:lang w:val="en-US" w:eastAsia="zh-CN"/>
              </w:rPr>
              <w:t>1.</w:t>
            </w:r>
            <w:r>
              <w:rPr>
                <w:rFonts w:hint="eastAsia" w:cs="Times New Roman"/>
                <w:color w:val="auto"/>
                <w:sz w:val="24"/>
                <w:highlight w:val="none"/>
                <w:shd w:val="clear" w:color="auto" w:fill="FFFFFF"/>
                <w:lang w:val="en-US" w:eastAsia="zh-CN"/>
              </w:rPr>
              <w:t>12</w:t>
            </w:r>
            <w:r>
              <w:rPr>
                <w:rFonts w:hint="default" w:ascii="Times New Roman" w:hAnsi="Times New Roman" w:cs="Times New Roman"/>
                <w:color w:val="auto"/>
                <w:sz w:val="24"/>
                <w:shd w:val="clear" w:color="auto" w:fill="FFFFFF"/>
                <w:lang w:val="en-US" w:eastAsia="zh-CN"/>
              </w:rPr>
              <w:t>g/cm</w:t>
            </w:r>
            <w:r>
              <w:rPr>
                <w:rFonts w:hint="default" w:ascii="Times New Roman" w:hAnsi="Times New Roman" w:cs="Times New Roman"/>
                <w:color w:val="auto"/>
                <w:sz w:val="24"/>
                <w:shd w:val="clear" w:color="auto" w:fill="FFFFFF"/>
                <w:vertAlign w:val="superscript"/>
                <w:lang w:val="en-US" w:eastAsia="zh-CN"/>
              </w:rPr>
              <w:t>3</w:t>
            </w:r>
            <w:r>
              <w:rPr>
                <w:rFonts w:hint="default" w:ascii="Times New Roman" w:hAnsi="Times New Roman" w:cs="Times New Roman"/>
                <w:color w:val="auto"/>
                <w:sz w:val="24"/>
                <w:shd w:val="clear" w:color="auto" w:fill="FFFFFF"/>
                <w:vertAlign w:val="baseline"/>
                <w:lang w:val="en-US" w:eastAsia="zh-CN"/>
              </w:rPr>
              <w:t>÷</w:t>
            </w:r>
            <w:r>
              <w:rPr>
                <w:rFonts w:hint="eastAsia"/>
                <w:b w:val="0"/>
                <w:bCs/>
                <w:color w:val="auto"/>
                <w:sz w:val="24"/>
                <w:szCs w:val="24"/>
                <w:vertAlign w:val="baseline"/>
                <w:lang w:val="en-US" w:eastAsia="zh-CN"/>
              </w:rPr>
              <w:t>24.08</w:t>
            </w:r>
            <w:r>
              <w:rPr>
                <w:rFonts w:hint="eastAsia"/>
                <w:b w:val="0"/>
                <w:bCs w:val="0"/>
                <w:color w:val="auto"/>
                <w:kern w:val="2"/>
                <w:sz w:val="24"/>
                <w:szCs w:val="24"/>
                <w:lang w:val="en-US" w:eastAsia="zh-CN"/>
              </w:rPr>
              <w:t>%</w:t>
            </w:r>
            <w:r>
              <w:rPr>
                <w:rFonts w:hint="default" w:ascii="Times New Roman" w:hAnsi="Times New Roman" w:cs="Times New Roman"/>
                <w:color w:val="auto"/>
                <w:sz w:val="24"/>
                <w:shd w:val="clear" w:color="auto" w:fill="FFFFFF"/>
                <w:lang w:val="en-US" w:eastAsia="zh-CN"/>
              </w:rPr>
              <w:t>≈0.</w:t>
            </w:r>
            <w:r>
              <w:rPr>
                <w:rFonts w:hint="eastAsia" w:cs="Times New Roman"/>
                <w:color w:val="auto"/>
                <w:sz w:val="24"/>
                <w:shd w:val="clear" w:color="auto" w:fill="FFFFFF"/>
                <w:lang w:val="en-US" w:eastAsia="zh-CN"/>
              </w:rPr>
              <w:t>12t/a</w:t>
            </w:r>
            <w:r>
              <w:rPr>
                <w:rFonts w:hint="default" w:ascii="Times New Roman" w:hAnsi="Times New Roman" w:cs="Times New Roman"/>
                <w:color w:val="auto"/>
                <w:sz w:val="24"/>
                <w:shd w:val="clear" w:color="auto" w:fill="FFFFFF"/>
                <w:vertAlign w:val="baseline"/>
                <w:lang w:val="en-US" w:eastAsia="zh-CN"/>
              </w:rPr>
              <w:t>（</w:t>
            </w:r>
            <w:r>
              <w:rPr>
                <w:rFonts w:hint="eastAsia" w:cs="Times New Roman"/>
                <w:color w:val="auto"/>
                <w:sz w:val="24"/>
                <w:shd w:val="clear" w:color="auto" w:fill="FFFFFF"/>
                <w:vertAlign w:val="baseline"/>
                <w:lang w:val="en-US" w:eastAsia="zh-CN"/>
              </w:rPr>
              <w:t>油墨</w:t>
            </w:r>
            <w:r>
              <w:rPr>
                <w:rFonts w:hint="default" w:ascii="Times New Roman" w:hAnsi="Times New Roman" w:cs="Times New Roman"/>
                <w:color w:val="auto"/>
                <w:sz w:val="24"/>
                <w:shd w:val="clear" w:color="auto" w:fill="FFFFFF"/>
                <w:vertAlign w:val="baseline"/>
                <w:lang w:val="en-US" w:eastAsia="zh-CN"/>
              </w:rPr>
              <w:t>与稀释剂的调配比例为5：1，则</w:t>
            </w:r>
            <w:r>
              <w:rPr>
                <w:rFonts w:hint="eastAsia" w:cs="Times New Roman"/>
                <w:color w:val="auto"/>
                <w:sz w:val="24"/>
                <w:shd w:val="clear" w:color="auto" w:fill="FFFFFF"/>
                <w:vertAlign w:val="baseline"/>
                <w:lang w:val="en-US" w:eastAsia="zh-CN"/>
              </w:rPr>
              <w:t>油墨</w:t>
            </w:r>
            <w:r>
              <w:rPr>
                <w:rFonts w:hint="default" w:ascii="Times New Roman" w:hAnsi="Times New Roman" w:cs="Times New Roman"/>
                <w:color w:val="auto"/>
                <w:sz w:val="24"/>
                <w:shd w:val="clear" w:color="auto" w:fill="FFFFFF"/>
                <w:vertAlign w:val="baseline"/>
                <w:lang w:val="en-US" w:eastAsia="zh-CN"/>
              </w:rPr>
              <w:t>用量为0.</w:t>
            </w:r>
            <w:r>
              <w:rPr>
                <w:rFonts w:hint="eastAsia" w:cs="Times New Roman"/>
                <w:color w:val="auto"/>
                <w:sz w:val="24"/>
                <w:shd w:val="clear" w:color="auto" w:fill="FFFFFF"/>
                <w:vertAlign w:val="baseline"/>
                <w:lang w:val="en-US" w:eastAsia="zh-CN"/>
              </w:rPr>
              <w:t>1</w:t>
            </w:r>
            <w:r>
              <w:rPr>
                <w:rFonts w:hint="default" w:ascii="Times New Roman" w:hAnsi="Times New Roman" w:cs="Times New Roman"/>
                <w:color w:val="auto"/>
                <w:sz w:val="24"/>
                <w:shd w:val="clear" w:color="auto" w:fill="FFFFFF"/>
                <w:vertAlign w:val="baseline"/>
                <w:lang w:val="en-US" w:eastAsia="zh-CN"/>
              </w:rPr>
              <w:t>t/a、稀释剂用量为0.</w:t>
            </w:r>
            <w:r>
              <w:rPr>
                <w:rFonts w:hint="eastAsia" w:cs="Times New Roman"/>
                <w:color w:val="auto"/>
                <w:sz w:val="24"/>
                <w:shd w:val="clear" w:color="auto" w:fill="FFFFFF"/>
                <w:vertAlign w:val="baseline"/>
                <w:lang w:val="en-US" w:eastAsia="zh-CN"/>
              </w:rPr>
              <w:t>02</w:t>
            </w:r>
            <w:r>
              <w:rPr>
                <w:rFonts w:hint="default" w:ascii="Times New Roman" w:hAnsi="Times New Roman" w:cs="Times New Roman"/>
                <w:color w:val="auto"/>
                <w:sz w:val="24"/>
                <w:shd w:val="clear" w:color="auto" w:fill="FFFFFF"/>
                <w:vertAlign w:val="baseline"/>
                <w:lang w:val="en-US" w:eastAsia="zh-CN"/>
              </w:rPr>
              <w:t>t/a）</w:t>
            </w:r>
          </w:p>
          <w:p w14:paraId="319DC6C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kern w:val="2"/>
                <w:szCs w:val="24"/>
                <w:lang w:val="en-US"/>
              </w:rPr>
            </w:pPr>
            <w:r>
              <w:rPr>
                <w:rFonts w:hint="eastAsia"/>
                <w:b/>
                <w:bCs/>
                <w:color w:val="auto"/>
                <w:sz w:val="24"/>
                <w:szCs w:val="24"/>
                <w:lang w:val="en-US" w:eastAsia="zh-CN"/>
              </w:rPr>
              <w:t>六、</w:t>
            </w:r>
            <w:r>
              <w:rPr>
                <w:b/>
                <w:bCs/>
                <w:color w:val="auto"/>
                <w:sz w:val="24"/>
                <w:szCs w:val="24"/>
              </w:rPr>
              <w:t>物料平衡</w:t>
            </w:r>
          </w:p>
          <w:p w14:paraId="37331703">
            <w:pPr>
              <w:pStyle w:val="7"/>
              <w:autoSpaceDE/>
              <w:autoSpaceDN/>
              <w:adjustRightInd/>
              <w:spacing w:line="240" w:lineRule="auto"/>
              <w:ind w:left="0" w:firstLine="0"/>
              <w:jc w:val="center"/>
              <w:textAlignment w:val="auto"/>
              <w:rPr>
                <w:rFonts w:hint="eastAsia" w:ascii="Times New Roman" w:hAnsi="Times New Roman" w:eastAsia="宋体" w:cs="Times New Roman"/>
                <w:b/>
                <w:bCs/>
                <w:color w:val="auto"/>
                <w:kern w:val="2"/>
                <w:szCs w:val="24"/>
              </w:rPr>
            </w:pPr>
            <w:r>
              <w:rPr>
                <w:rFonts w:hint="eastAsia" w:ascii="Times New Roman" w:hAnsi="Times New Roman" w:eastAsia="宋体" w:cs="Times New Roman"/>
                <w:b/>
                <w:bCs/>
                <w:color w:val="auto"/>
                <w:kern w:val="2"/>
                <w:szCs w:val="24"/>
              </w:rPr>
              <w:t>表2-</w:t>
            </w:r>
            <w:r>
              <w:rPr>
                <w:rFonts w:hint="eastAsia" w:cs="Times New Roman"/>
                <w:b/>
                <w:bCs/>
                <w:color w:val="auto"/>
                <w:kern w:val="2"/>
                <w:szCs w:val="24"/>
                <w:lang w:val="en-US" w:eastAsia="zh-CN"/>
              </w:rPr>
              <w:t>8</w:t>
            </w:r>
            <w:r>
              <w:rPr>
                <w:rFonts w:hint="eastAsia" w:ascii="Times New Roman" w:hAnsi="Times New Roman" w:eastAsia="宋体" w:cs="Times New Roman"/>
                <w:b/>
                <w:bCs/>
                <w:color w:val="auto"/>
                <w:kern w:val="2"/>
                <w:szCs w:val="24"/>
              </w:rPr>
              <w:t xml:space="preserve">  物料平衡表（单位：t/a）</w:t>
            </w: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6"/>
              <w:gridCol w:w="2044"/>
              <w:gridCol w:w="1112"/>
              <w:gridCol w:w="1119"/>
              <w:gridCol w:w="1906"/>
            </w:tblGrid>
            <w:tr w14:paraId="792F2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2537" w:type="pct"/>
                  <w:gridSpan w:val="2"/>
                  <w:noWrap w:val="0"/>
                  <w:vAlign w:val="center"/>
                </w:tcPr>
                <w:p w14:paraId="13B14E63">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lang w:bidi="ar"/>
                    </w:rPr>
                  </w:pPr>
                  <w:r>
                    <w:rPr>
                      <w:rFonts w:hint="default" w:ascii="Times New Roman" w:hAnsi="Times New Roman" w:cs="Times New Roman"/>
                      <w:b/>
                      <w:bCs/>
                      <w:color w:val="auto"/>
                      <w:szCs w:val="21"/>
                      <w:lang w:bidi="ar"/>
                    </w:rPr>
                    <w:t>投入t/a</w:t>
                  </w:r>
                </w:p>
              </w:tc>
              <w:tc>
                <w:tcPr>
                  <w:tcW w:w="2462" w:type="pct"/>
                  <w:gridSpan w:val="3"/>
                  <w:noWrap/>
                  <w:vAlign w:val="center"/>
                </w:tcPr>
                <w:p w14:paraId="6C5B2D38">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lang w:bidi="ar"/>
                    </w:rPr>
                  </w:pPr>
                  <w:r>
                    <w:rPr>
                      <w:rFonts w:hint="default" w:ascii="Times New Roman" w:hAnsi="Times New Roman" w:cs="Times New Roman"/>
                      <w:b/>
                      <w:bCs/>
                      <w:color w:val="auto"/>
                      <w:szCs w:val="21"/>
                      <w:lang w:bidi="ar"/>
                    </w:rPr>
                    <w:t>产出t/a</w:t>
                  </w:r>
                </w:p>
              </w:tc>
            </w:tr>
            <w:tr w14:paraId="43F69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325" w:type="pct"/>
                  <w:noWrap w:val="0"/>
                  <w:vAlign w:val="center"/>
                </w:tcPr>
                <w:p w14:paraId="1FC5279E">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lang w:bidi="ar"/>
                    </w:rPr>
                  </w:pPr>
                  <w:r>
                    <w:rPr>
                      <w:rFonts w:hint="default" w:ascii="Times New Roman" w:hAnsi="Times New Roman" w:cs="Times New Roman"/>
                      <w:b/>
                      <w:bCs/>
                      <w:color w:val="auto"/>
                      <w:szCs w:val="21"/>
                      <w:lang w:bidi="ar"/>
                    </w:rPr>
                    <w:t>名称</w:t>
                  </w:r>
                </w:p>
              </w:tc>
              <w:tc>
                <w:tcPr>
                  <w:tcW w:w="1211" w:type="pct"/>
                  <w:noWrap/>
                  <w:vAlign w:val="center"/>
                </w:tcPr>
                <w:p w14:paraId="69D0E89D">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lang w:bidi="ar"/>
                    </w:rPr>
                  </w:pPr>
                  <w:r>
                    <w:rPr>
                      <w:rFonts w:hint="default" w:ascii="Times New Roman" w:hAnsi="Times New Roman" w:cs="Times New Roman"/>
                      <w:b/>
                      <w:bCs/>
                      <w:color w:val="auto"/>
                      <w:szCs w:val="21"/>
                      <w:lang w:bidi="ar"/>
                    </w:rPr>
                    <w:t>数量</w:t>
                  </w:r>
                </w:p>
              </w:tc>
              <w:tc>
                <w:tcPr>
                  <w:tcW w:w="1328" w:type="pct"/>
                  <w:gridSpan w:val="2"/>
                  <w:noWrap/>
                  <w:vAlign w:val="center"/>
                </w:tcPr>
                <w:p w14:paraId="6914F1C5">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lang w:bidi="ar"/>
                    </w:rPr>
                  </w:pPr>
                  <w:r>
                    <w:rPr>
                      <w:rFonts w:hint="default" w:ascii="Times New Roman" w:hAnsi="Times New Roman" w:cs="Times New Roman"/>
                      <w:b/>
                      <w:bCs/>
                      <w:color w:val="auto"/>
                      <w:szCs w:val="21"/>
                      <w:lang w:bidi="ar"/>
                    </w:rPr>
                    <w:t>名称</w:t>
                  </w:r>
                </w:p>
              </w:tc>
              <w:tc>
                <w:tcPr>
                  <w:tcW w:w="1134" w:type="pct"/>
                  <w:noWrap w:val="0"/>
                  <w:vAlign w:val="center"/>
                </w:tcPr>
                <w:p w14:paraId="4F056936">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lang w:bidi="ar"/>
                    </w:rPr>
                  </w:pPr>
                  <w:r>
                    <w:rPr>
                      <w:rFonts w:hint="default" w:ascii="Times New Roman" w:hAnsi="Times New Roman" w:cs="Times New Roman"/>
                      <w:b/>
                      <w:bCs/>
                      <w:color w:val="auto"/>
                      <w:szCs w:val="21"/>
                      <w:lang w:bidi="ar"/>
                    </w:rPr>
                    <w:t>数量</w:t>
                  </w:r>
                </w:p>
              </w:tc>
            </w:tr>
            <w:tr w14:paraId="54ECC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 w:hRule="atLeast"/>
              </w:trPr>
              <w:tc>
                <w:tcPr>
                  <w:tcW w:w="1325" w:type="pct"/>
                  <w:noWrap w:val="0"/>
                  <w:vAlign w:val="center"/>
                </w:tcPr>
                <w:p w14:paraId="53513FB1">
                  <w:pPr>
                    <w:pStyle w:val="16"/>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Cs w:val="21"/>
                      <w:lang w:val="en-US" w:eastAsia="zh-CN" w:bidi="ar"/>
                    </w:rPr>
                  </w:pPr>
                  <w:r>
                    <w:rPr>
                      <w:rFonts w:hint="eastAsia" w:cs="Times New Roman"/>
                      <w:color w:val="auto"/>
                      <w:szCs w:val="21"/>
                      <w:lang w:val="en-US" w:eastAsia="zh-CN"/>
                    </w:rPr>
                    <w:t>水性</w:t>
                  </w:r>
                  <w:r>
                    <w:rPr>
                      <w:rFonts w:hint="eastAsia" w:ascii="Times New Roman" w:hAnsi="Times New Roman" w:cs="Times New Roman"/>
                      <w:color w:val="auto"/>
                      <w:szCs w:val="21"/>
                      <w:lang w:val="en-US" w:eastAsia="zh-CN"/>
                    </w:rPr>
                    <w:t>油墨</w:t>
                  </w:r>
                </w:p>
              </w:tc>
              <w:tc>
                <w:tcPr>
                  <w:tcW w:w="1211" w:type="pct"/>
                  <w:noWrap/>
                  <w:vAlign w:val="center"/>
                </w:tcPr>
                <w:p w14:paraId="2AE1365B">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napToGrid/>
                      <w:color w:val="auto"/>
                      <w:lang w:val="en-US" w:eastAsia="zh-CN"/>
                    </w:rPr>
                  </w:pPr>
                  <w:r>
                    <w:rPr>
                      <w:rFonts w:hint="eastAsia" w:cs="Times New Roman"/>
                      <w:color w:val="auto"/>
                      <w:szCs w:val="21"/>
                      <w:lang w:val="en-US" w:eastAsia="zh-CN"/>
                    </w:rPr>
                    <w:t>3.4</w:t>
                  </w:r>
                </w:p>
              </w:tc>
              <w:tc>
                <w:tcPr>
                  <w:tcW w:w="1328" w:type="pct"/>
                  <w:gridSpan w:val="2"/>
                  <w:noWrap/>
                  <w:vAlign w:val="center"/>
                </w:tcPr>
                <w:p w14:paraId="4C94C837">
                  <w:pPr>
                    <w:adjustRightInd w:val="0"/>
                    <w:snapToGrid w:val="0"/>
                    <w:spacing w:line="0" w:lineRule="atLeast"/>
                    <w:jc w:val="center"/>
                    <w:rPr>
                      <w:rFonts w:hint="default"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rPr>
                    <w:t>热封膜</w:t>
                  </w:r>
                </w:p>
              </w:tc>
              <w:tc>
                <w:tcPr>
                  <w:tcW w:w="1134" w:type="pct"/>
                  <w:noWrap w:val="0"/>
                  <w:vAlign w:val="center"/>
                </w:tcPr>
                <w:p w14:paraId="0DFD3B6C">
                  <w:pPr>
                    <w:pStyle w:val="42"/>
                    <w:keepNext/>
                    <w:keepLines w:val="0"/>
                    <w:pageBreakBefore w:val="0"/>
                    <w:widowControl w:val="0"/>
                    <w:kinsoku/>
                    <w:wordWrap/>
                    <w:overflowPunct w:val="0"/>
                    <w:topLinePunct w:val="0"/>
                    <w:autoSpaceDE/>
                    <w:autoSpaceDN/>
                    <w:bidi w:val="0"/>
                    <w:adjustRightInd/>
                    <w:snapToGrid w:val="0"/>
                    <w:spacing w:before="0" w:after="0" w:line="240" w:lineRule="auto"/>
                    <w:ind w:left="0" w:leftChars="0" w:firstLine="0" w:firstLineChars="0"/>
                    <w:jc w:val="center"/>
                    <w:textAlignment w:val="auto"/>
                    <w:rPr>
                      <w:rFonts w:hint="default" w:ascii="Times New Roman" w:hAnsi="Times New Roman" w:eastAsia="宋体" w:cs="Times New Roman"/>
                      <w:b w:val="0"/>
                      <w:bCs w:val="0"/>
                      <w:color w:val="auto"/>
                      <w:szCs w:val="21"/>
                      <w:lang w:val="en-US" w:eastAsia="zh-CN" w:bidi="ar"/>
                    </w:rPr>
                  </w:pPr>
                  <w:r>
                    <w:rPr>
                      <w:rFonts w:hint="default" w:ascii="Times New Roman" w:hAnsi="Times New Roman" w:eastAsia="宋体" w:cs="Times New Roman"/>
                      <w:b w:val="0"/>
                      <w:bCs w:val="0"/>
                      <w:color w:val="auto"/>
                      <w:sz w:val="21"/>
                      <w:szCs w:val="21"/>
                      <w:lang w:val="en-US" w:eastAsia="zh-CN"/>
                    </w:rPr>
                    <w:t>252.</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lang w:val="en-US" w:eastAsia="zh-CN"/>
                    </w:rPr>
                    <w:t>23</w:t>
                  </w:r>
                  <w:r>
                    <w:rPr>
                      <w:rFonts w:hint="default" w:ascii="Times New Roman" w:hAnsi="Times New Roman" w:eastAsia="宋体" w:cs="Times New Roman"/>
                      <w:b w:val="0"/>
                      <w:bCs w:val="0"/>
                      <w:color w:val="auto"/>
                      <w:szCs w:val="21"/>
                      <w:lang w:val="en-US" w:eastAsia="zh-CN"/>
                    </w:rPr>
                    <w:t>（5000万米）</w:t>
                  </w:r>
                </w:p>
              </w:tc>
            </w:tr>
            <w:tr w14:paraId="5CE8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 w:hRule="atLeast"/>
              </w:trPr>
              <w:tc>
                <w:tcPr>
                  <w:tcW w:w="1325" w:type="pct"/>
                  <w:vMerge w:val="restart"/>
                  <w:noWrap w:val="0"/>
                  <w:vAlign w:val="center"/>
                </w:tcPr>
                <w:p w14:paraId="1A361115">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8"/>
                    </w:rPr>
                  </w:pPr>
                  <w:r>
                    <w:rPr>
                      <w:rFonts w:hint="eastAsia" w:ascii="Times New Roman" w:hAnsi="Times New Roman" w:cs="Times New Roman"/>
                      <w:color w:val="auto"/>
                      <w:szCs w:val="21"/>
                      <w:lang w:val="en-US" w:eastAsia="zh-CN"/>
                    </w:rPr>
                    <w:t>油墨</w:t>
                  </w:r>
                </w:p>
              </w:tc>
              <w:tc>
                <w:tcPr>
                  <w:tcW w:w="1211" w:type="pct"/>
                  <w:vMerge w:val="restart"/>
                  <w:noWrap/>
                  <w:vAlign w:val="center"/>
                </w:tcPr>
                <w:p w14:paraId="059A78E5">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napToGrid/>
                      <w:color w:val="auto"/>
                      <w:lang w:val="en-US"/>
                    </w:rPr>
                  </w:pPr>
                  <w:r>
                    <w:rPr>
                      <w:rFonts w:hint="eastAsia" w:cs="Times New Roman"/>
                      <w:color w:val="auto"/>
                      <w:szCs w:val="21"/>
                      <w:lang w:val="en-US" w:eastAsia="zh-CN"/>
                    </w:rPr>
                    <w:t>0.1</w:t>
                  </w:r>
                </w:p>
              </w:tc>
              <w:tc>
                <w:tcPr>
                  <w:tcW w:w="662" w:type="pct"/>
                  <w:vMerge w:val="restart"/>
                  <w:shd w:val="clear" w:color="auto" w:fill="auto"/>
                  <w:noWrap/>
                  <w:vAlign w:val="center"/>
                </w:tcPr>
                <w:p w14:paraId="1EA00061">
                  <w:pPr>
                    <w:widowControl/>
                    <w:jc w:val="center"/>
                    <w:textAlignment w:val="center"/>
                    <w:rPr>
                      <w:rFonts w:hint="eastAsia" w:eastAsia="宋体"/>
                      <w:color w:val="auto"/>
                      <w:lang w:val="en-US" w:eastAsia="zh-CN"/>
                    </w:rPr>
                  </w:pPr>
                  <w:r>
                    <w:rPr>
                      <w:rFonts w:hint="eastAsia"/>
                      <w:color w:val="auto"/>
                      <w:sz w:val="21"/>
                      <w:szCs w:val="21"/>
                      <w:lang w:val="en-US" w:eastAsia="zh-CN"/>
                    </w:rPr>
                    <w:t>废气</w:t>
                  </w:r>
                </w:p>
              </w:tc>
              <w:tc>
                <w:tcPr>
                  <w:tcW w:w="665" w:type="pct"/>
                  <w:shd w:val="clear" w:color="auto" w:fill="auto"/>
                  <w:noWrap/>
                  <w:vAlign w:val="center"/>
                </w:tcPr>
                <w:p w14:paraId="2538CB59">
                  <w:pPr>
                    <w:widowControl/>
                    <w:jc w:val="center"/>
                    <w:textAlignment w:val="center"/>
                    <w:rPr>
                      <w:rFonts w:hint="default"/>
                      <w:color w:val="auto"/>
                      <w:sz w:val="21"/>
                      <w:szCs w:val="21"/>
                      <w:lang w:val="en-US" w:eastAsia="zh-CN"/>
                    </w:rPr>
                  </w:pPr>
                  <w:r>
                    <w:rPr>
                      <w:rFonts w:hint="eastAsia"/>
                      <w:color w:val="auto"/>
                      <w:sz w:val="21"/>
                      <w:szCs w:val="21"/>
                      <w:lang w:val="en-US" w:eastAsia="zh-CN"/>
                    </w:rPr>
                    <w:t>有组织</w:t>
                  </w:r>
                </w:p>
              </w:tc>
              <w:tc>
                <w:tcPr>
                  <w:tcW w:w="1134" w:type="pct"/>
                  <w:noWrap w:val="0"/>
                  <w:vAlign w:val="center"/>
                </w:tcPr>
                <w:p w14:paraId="6A714840">
                  <w:pPr>
                    <w:widowControl/>
                    <w:jc w:val="center"/>
                    <w:textAlignment w:val="center"/>
                    <w:rPr>
                      <w:rFonts w:hint="default" w:eastAsia="宋体"/>
                      <w:color w:val="auto"/>
                      <w:lang w:val="en-US" w:eastAsia="zh-CN"/>
                    </w:rPr>
                  </w:pPr>
                  <w:r>
                    <w:rPr>
                      <w:rFonts w:hint="eastAsia"/>
                      <w:color w:val="auto"/>
                      <w:lang w:val="en-US" w:eastAsia="zh-CN"/>
                    </w:rPr>
                    <w:t>0.987</w:t>
                  </w:r>
                </w:p>
              </w:tc>
            </w:tr>
            <w:tr w14:paraId="324D3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 w:hRule="atLeast"/>
              </w:trPr>
              <w:tc>
                <w:tcPr>
                  <w:tcW w:w="1325" w:type="pct"/>
                  <w:vMerge w:val="continue"/>
                  <w:noWrap w:val="0"/>
                  <w:vAlign w:val="center"/>
                </w:tcPr>
                <w:p w14:paraId="23B9E254">
                  <w:pPr>
                    <w:widowControl/>
                    <w:jc w:val="center"/>
                    <w:textAlignment w:val="center"/>
                    <w:rPr>
                      <w:color w:val="auto"/>
                    </w:rPr>
                  </w:pPr>
                </w:p>
              </w:tc>
              <w:tc>
                <w:tcPr>
                  <w:tcW w:w="1211" w:type="pct"/>
                  <w:vMerge w:val="continue"/>
                  <w:noWrap/>
                  <w:vAlign w:val="center"/>
                </w:tcPr>
                <w:p w14:paraId="19D665CC">
                  <w:pPr>
                    <w:widowControl/>
                    <w:jc w:val="center"/>
                    <w:textAlignment w:val="center"/>
                    <w:rPr>
                      <w:color w:val="auto"/>
                    </w:rPr>
                  </w:pPr>
                </w:p>
              </w:tc>
              <w:tc>
                <w:tcPr>
                  <w:tcW w:w="662" w:type="pct"/>
                  <w:vMerge w:val="continue"/>
                  <w:shd w:val="clear" w:color="auto" w:fill="auto"/>
                  <w:noWrap/>
                  <w:vAlign w:val="center"/>
                </w:tcPr>
                <w:p w14:paraId="71F1E6B0">
                  <w:pPr>
                    <w:widowControl/>
                    <w:jc w:val="center"/>
                    <w:textAlignment w:val="center"/>
                    <w:rPr>
                      <w:rFonts w:hint="eastAsia"/>
                      <w:color w:val="auto"/>
                      <w:sz w:val="21"/>
                      <w:szCs w:val="21"/>
                      <w:lang w:val="en-US" w:eastAsia="zh-CN"/>
                    </w:rPr>
                  </w:pPr>
                </w:p>
              </w:tc>
              <w:tc>
                <w:tcPr>
                  <w:tcW w:w="665" w:type="pct"/>
                  <w:shd w:val="clear" w:color="auto" w:fill="auto"/>
                  <w:noWrap/>
                  <w:vAlign w:val="center"/>
                </w:tcPr>
                <w:p w14:paraId="5488A8D4">
                  <w:pPr>
                    <w:widowControl/>
                    <w:jc w:val="center"/>
                    <w:textAlignment w:val="center"/>
                    <w:rPr>
                      <w:rFonts w:hint="default"/>
                      <w:color w:val="auto"/>
                      <w:sz w:val="21"/>
                      <w:szCs w:val="21"/>
                      <w:lang w:val="en-US" w:eastAsia="zh-CN"/>
                    </w:rPr>
                  </w:pPr>
                  <w:r>
                    <w:rPr>
                      <w:rFonts w:hint="eastAsia"/>
                      <w:color w:val="auto"/>
                      <w:sz w:val="21"/>
                      <w:szCs w:val="21"/>
                      <w:lang w:val="en-US" w:eastAsia="zh-CN"/>
                    </w:rPr>
                    <w:t>无组织</w:t>
                  </w:r>
                </w:p>
              </w:tc>
              <w:tc>
                <w:tcPr>
                  <w:tcW w:w="1134" w:type="pct"/>
                  <w:noWrap w:val="0"/>
                  <w:vAlign w:val="center"/>
                </w:tcPr>
                <w:p w14:paraId="2018AD68">
                  <w:pPr>
                    <w:widowControl/>
                    <w:jc w:val="center"/>
                    <w:textAlignment w:val="center"/>
                    <w:rPr>
                      <w:rFonts w:hint="default"/>
                      <w:color w:val="auto"/>
                      <w:sz w:val="21"/>
                      <w:szCs w:val="21"/>
                      <w:lang w:val="en-US" w:eastAsia="zh-CN"/>
                    </w:rPr>
                  </w:pPr>
                  <w:r>
                    <w:rPr>
                      <w:rFonts w:hint="eastAsia" w:cs="Times New Roman"/>
                      <w:b w:val="0"/>
                      <w:bCs w:val="0"/>
                      <w:color w:val="auto"/>
                      <w:sz w:val="21"/>
                      <w:szCs w:val="21"/>
                      <w:vertAlign w:val="baseline"/>
                      <w:lang w:val="en-US" w:eastAsia="zh-CN"/>
                    </w:rPr>
                    <w:t>0.11</w:t>
                  </w:r>
                </w:p>
              </w:tc>
            </w:tr>
            <w:tr w14:paraId="6A66E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325" w:type="pct"/>
                  <w:noWrap w:val="0"/>
                  <w:vAlign w:val="center"/>
                </w:tcPr>
                <w:p w14:paraId="6C26ED64">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8"/>
                    </w:rPr>
                  </w:pPr>
                  <w:r>
                    <w:rPr>
                      <w:rFonts w:hint="eastAsia" w:ascii="Times New Roman" w:hAnsi="Times New Roman" w:eastAsia="宋体" w:cs="Times New Roman"/>
                      <w:color w:val="auto"/>
                      <w:szCs w:val="21"/>
                      <w:lang w:val="en-US" w:eastAsia="zh-CN"/>
                    </w:rPr>
                    <w:t>稀释剂</w:t>
                  </w:r>
                </w:p>
              </w:tc>
              <w:tc>
                <w:tcPr>
                  <w:tcW w:w="1211" w:type="pct"/>
                  <w:noWrap/>
                  <w:vAlign w:val="center"/>
                </w:tcPr>
                <w:p w14:paraId="2D3BF188">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napToGrid/>
                      <w:color w:val="auto"/>
                      <w:lang w:val="en-US"/>
                    </w:rPr>
                  </w:pPr>
                  <w:r>
                    <w:rPr>
                      <w:rFonts w:hint="eastAsia" w:cs="Times New Roman"/>
                      <w:color w:val="auto"/>
                      <w:szCs w:val="21"/>
                      <w:lang w:val="en-US" w:eastAsia="zh-CN"/>
                    </w:rPr>
                    <w:t>0.02</w:t>
                  </w:r>
                </w:p>
              </w:tc>
              <w:tc>
                <w:tcPr>
                  <w:tcW w:w="1328" w:type="pct"/>
                  <w:gridSpan w:val="2"/>
                  <w:shd w:val="clear" w:color="auto" w:fill="auto"/>
                  <w:noWrap/>
                  <w:vAlign w:val="center"/>
                </w:tcPr>
                <w:p w14:paraId="79DB0058">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废边角料</w:t>
                  </w:r>
                </w:p>
              </w:tc>
              <w:tc>
                <w:tcPr>
                  <w:tcW w:w="1134" w:type="pct"/>
                  <w:noWrap w:val="0"/>
                  <w:vAlign w:val="center"/>
                </w:tcPr>
                <w:p w14:paraId="72C65A98">
                  <w:pPr>
                    <w:widowControl/>
                    <w:jc w:val="center"/>
                    <w:textAlignment w:val="center"/>
                    <w:rPr>
                      <w:rFonts w:hint="default" w:ascii="Times New Roman" w:hAnsi="Times New Roman" w:eastAsia="宋体" w:cs="Times New Roman"/>
                      <w:color w:val="auto"/>
                      <w:szCs w:val="21"/>
                      <w:lang w:val="en-US" w:eastAsia="zh-CN" w:bidi="ar"/>
                    </w:rPr>
                  </w:pPr>
                  <w:r>
                    <w:rPr>
                      <w:rFonts w:hint="eastAsia" w:cs="Times New Roman"/>
                      <w:color w:val="auto"/>
                      <w:szCs w:val="21"/>
                      <w:lang w:val="en-US" w:eastAsia="zh-CN" w:bidi="ar"/>
                    </w:rPr>
                    <w:t>0.2</w:t>
                  </w:r>
                </w:p>
              </w:tc>
            </w:tr>
            <w:tr w14:paraId="0CEAC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 w:hRule="atLeast"/>
              </w:trPr>
              <w:tc>
                <w:tcPr>
                  <w:tcW w:w="1325" w:type="pct"/>
                  <w:noWrap w:val="0"/>
                  <w:vAlign w:val="center"/>
                </w:tcPr>
                <w:p w14:paraId="379C5DC4">
                  <w:pPr>
                    <w:pStyle w:val="9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lang w:val="en-US" w:eastAsia="zh-CN" w:bidi="ar"/>
                    </w:rPr>
                  </w:pPr>
                  <w:r>
                    <w:rPr>
                      <w:rFonts w:hint="eastAsia" w:cs="Times New Roman"/>
                      <w:color w:val="auto"/>
                      <w:szCs w:val="21"/>
                      <w:lang w:val="en-US" w:eastAsia="zh-CN"/>
                    </w:rPr>
                    <w:t>OPP</w:t>
                  </w:r>
                  <w:r>
                    <w:rPr>
                      <w:rFonts w:hint="eastAsia" w:ascii="Times New Roman" w:hAnsi="Times New Roman" w:eastAsia="宋体" w:cs="Times New Roman"/>
                      <w:color w:val="auto"/>
                      <w:szCs w:val="21"/>
                      <w:lang w:val="en-US" w:eastAsia="zh-CN"/>
                    </w:rPr>
                    <w:t>热封膜</w:t>
                  </w:r>
                </w:p>
              </w:tc>
              <w:tc>
                <w:tcPr>
                  <w:tcW w:w="1211" w:type="pct"/>
                  <w:noWrap/>
                  <w:vAlign w:val="center"/>
                </w:tcPr>
                <w:p w14:paraId="2931730A">
                  <w:pPr>
                    <w:pStyle w:val="97"/>
                    <w:adjustRightInd w:val="0"/>
                    <w:snapToGrid w:val="0"/>
                    <w:jc w:val="center"/>
                    <w:rPr>
                      <w:rFonts w:hint="default" w:ascii="Times New Roman" w:hAnsi="Times New Roman" w:eastAsia="宋体" w:cs="Times New Roman"/>
                      <w:snapToGrid/>
                      <w:color w:val="auto"/>
                      <w:lang w:val="en-US" w:eastAsia="zh-CN"/>
                    </w:rPr>
                  </w:pPr>
                  <w:r>
                    <w:rPr>
                      <w:rFonts w:hint="eastAsia" w:cs="Times New Roman"/>
                      <w:color w:val="auto"/>
                      <w:szCs w:val="21"/>
                      <w:lang w:val="en-US" w:eastAsia="zh-CN"/>
                    </w:rPr>
                    <w:t>250（5000万米）</w:t>
                  </w:r>
                </w:p>
              </w:tc>
              <w:tc>
                <w:tcPr>
                  <w:tcW w:w="1328" w:type="pct"/>
                  <w:gridSpan w:val="2"/>
                  <w:noWrap/>
                  <w:vAlign w:val="center"/>
                </w:tcPr>
                <w:p w14:paraId="50EA8A99">
                  <w:pPr>
                    <w:pStyle w:val="112"/>
                    <w:keepNext w:val="0"/>
                    <w:keepLines w:val="0"/>
                    <w:pageBreakBefore w:val="0"/>
                    <w:kinsoku/>
                    <w:wordWrap/>
                    <w:overflowPunct/>
                    <w:topLinePunct w:val="0"/>
                    <w:autoSpaceDE/>
                    <w:autoSpaceDN/>
                    <w:bidi w:val="0"/>
                    <w:adjustRightInd w:val="0"/>
                    <w:snapToGrid w:val="0"/>
                    <w:spacing w:before="0" w:beforeLines="0" w:after="0" w:afterLines="0" w:line="240" w:lineRule="auto"/>
                    <w:textAlignment w:val="auto"/>
                    <w:rPr>
                      <w:rFonts w:hint="default" w:ascii="Times New Roman" w:hAnsi="Times New Roman" w:eastAsia="宋体" w:cs="Times New Roman"/>
                      <w:color w:val="auto"/>
                      <w:sz w:val="21"/>
                      <w:lang w:val="en-US" w:eastAsia="zh-CN" w:bidi="ar"/>
                    </w:rPr>
                  </w:pPr>
                </w:p>
              </w:tc>
              <w:tc>
                <w:tcPr>
                  <w:tcW w:w="1134" w:type="pct"/>
                  <w:noWrap w:val="0"/>
                  <w:vAlign w:val="center"/>
                </w:tcPr>
                <w:p w14:paraId="714D77BA">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lang w:val="en-US" w:eastAsia="zh-CN" w:bidi="ar"/>
                    </w:rPr>
                  </w:pPr>
                </w:p>
              </w:tc>
            </w:tr>
            <w:tr w14:paraId="39D2A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325" w:type="pct"/>
                  <w:noWrap/>
                  <w:vAlign w:val="center"/>
                </w:tcPr>
                <w:p w14:paraId="6A8CABE8">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lang w:bidi="ar"/>
                    </w:rPr>
                  </w:pPr>
                  <w:r>
                    <w:rPr>
                      <w:rFonts w:hint="default" w:ascii="Times New Roman" w:hAnsi="Times New Roman" w:cs="Times New Roman"/>
                      <w:b/>
                      <w:bCs/>
                      <w:color w:val="auto"/>
                      <w:szCs w:val="21"/>
                      <w:lang w:bidi="ar"/>
                    </w:rPr>
                    <w:t>合计</w:t>
                  </w:r>
                </w:p>
              </w:tc>
              <w:tc>
                <w:tcPr>
                  <w:tcW w:w="1211" w:type="pct"/>
                  <w:noWrap/>
                  <w:vAlign w:val="center"/>
                </w:tcPr>
                <w:p w14:paraId="7509D5D4">
                  <w:pPr>
                    <w:pStyle w:val="111"/>
                    <w:keepNext w:val="0"/>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宋体" w:cs="Times New Roman"/>
                      <w:b/>
                      <w:bCs/>
                      <w:color w:val="auto"/>
                      <w:szCs w:val="21"/>
                      <w:lang w:val="en-US" w:eastAsia="zh-CN" w:bidi="ar"/>
                    </w:rPr>
                  </w:pPr>
                  <w:r>
                    <w:rPr>
                      <w:rFonts w:hint="eastAsia" w:ascii="Times New Roman" w:hAnsi="Times New Roman" w:cs="Times New Roman"/>
                      <w:b w:val="0"/>
                      <w:bCs w:val="0"/>
                      <w:color w:val="auto"/>
                      <w:szCs w:val="21"/>
                      <w:lang w:val="en-US" w:eastAsia="zh-CN" w:bidi="ar"/>
                    </w:rPr>
                    <w:t>253.52</w:t>
                  </w:r>
                </w:p>
              </w:tc>
              <w:tc>
                <w:tcPr>
                  <w:tcW w:w="1328" w:type="pct"/>
                  <w:gridSpan w:val="2"/>
                  <w:noWrap/>
                  <w:vAlign w:val="center"/>
                </w:tcPr>
                <w:p w14:paraId="7CAE3506">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lang w:bidi="ar"/>
                    </w:rPr>
                  </w:pPr>
                  <w:r>
                    <w:rPr>
                      <w:rFonts w:hint="default" w:ascii="Times New Roman" w:hAnsi="Times New Roman" w:cs="Times New Roman"/>
                      <w:b/>
                      <w:bCs/>
                      <w:color w:val="auto"/>
                      <w:szCs w:val="21"/>
                      <w:lang w:bidi="ar"/>
                    </w:rPr>
                    <w:t>合计</w:t>
                  </w:r>
                </w:p>
              </w:tc>
              <w:tc>
                <w:tcPr>
                  <w:tcW w:w="1134" w:type="pct"/>
                  <w:shd w:val="clear" w:color="auto" w:fill="auto"/>
                  <w:noWrap/>
                  <w:vAlign w:val="center"/>
                </w:tcPr>
                <w:p w14:paraId="6EF0F4BF">
                  <w:pPr>
                    <w:pStyle w:val="111"/>
                    <w:keepNext w:val="0"/>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宋体" w:cs="Times New Roman"/>
                      <w:b/>
                      <w:bCs/>
                      <w:snapToGrid w:val="0"/>
                      <w:color w:val="auto"/>
                      <w:kern w:val="2"/>
                      <w:sz w:val="21"/>
                      <w:szCs w:val="21"/>
                      <w:lang w:val="en-US" w:eastAsia="zh-CN" w:bidi="ar"/>
                    </w:rPr>
                  </w:pPr>
                  <w:r>
                    <w:rPr>
                      <w:rFonts w:hint="eastAsia" w:ascii="Times New Roman" w:hAnsi="Times New Roman" w:cs="Times New Roman"/>
                      <w:b w:val="0"/>
                      <w:bCs w:val="0"/>
                      <w:color w:val="auto"/>
                      <w:szCs w:val="21"/>
                      <w:lang w:val="en-US" w:eastAsia="zh-CN" w:bidi="ar"/>
                    </w:rPr>
                    <w:t>253.52</w:t>
                  </w:r>
                </w:p>
              </w:tc>
            </w:tr>
          </w:tbl>
          <w:p w14:paraId="51D8825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b/>
                <w:bCs/>
                <w:color w:val="FF0000"/>
                <w:kern w:val="2"/>
                <w:szCs w:val="24"/>
                <w:lang w:val="en-US" w:eastAsia="zh-CN"/>
              </w:rPr>
            </w:pPr>
            <w:r>
              <w:rPr>
                <w:rFonts w:hint="eastAsia"/>
                <w:b w:val="0"/>
                <w:bCs w:val="0"/>
                <w:color w:val="FF0000"/>
                <w:kern w:val="2"/>
                <w:sz w:val="24"/>
                <w:szCs w:val="24"/>
                <w:lang w:val="en-US" w:eastAsia="zh-CN"/>
              </w:rPr>
              <w:t>本项目水性油墨、油墨、稀释剂用量分别为3.4t/a、0.1t/a、0.02t/a，根据水性油墨、油墨、稀释剂的MSDS报告性可知，水性油墨挥发份约为29.6%、油墨挥发份约为71.1%、稀释剂挥发份为100%；水性油墨、油墨、稀释剂等物料废气挥发量分别为1.006t/a、0.071t/a、0.02t/a。废气产生、排放情况见表2-9。</w:t>
            </w:r>
          </w:p>
          <w:p w14:paraId="7970FA9B">
            <w:pPr>
              <w:pStyle w:val="7"/>
              <w:autoSpaceDE/>
              <w:autoSpaceDN/>
              <w:adjustRightInd/>
              <w:spacing w:line="240" w:lineRule="auto"/>
              <w:ind w:left="0" w:firstLine="0"/>
              <w:jc w:val="center"/>
              <w:textAlignment w:val="auto"/>
              <w:rPr>
                <w:rFonts w:hint="default"/>
                <w:b/>
                <w:bCs/>
                <w:color w:val="FF0000"/>
                <w:kern w:val="2"/>
                <w:szCs w:val="24"/>
                <w:lang w:val="en-US" w:eastAsia="zh-CN"/>
              </w:rPr>
            </w:pPr>
            <w:r>
              <w:rPr>
                <w:rFonts w:hint="default"/>
                <w:b/>
                <w:bCs/>
                <w:color w:val="FF0000"/>
                <w:kern w:val="2"/>
                <w:szCs w:val="24"/>
                <w:lang w:val="en-US" w:eastAsia="zh-CN"/>
              </w:rPr>
              <w:t>表2-</w:t>
            </w:r>
            <w:r>
              <w:rPr>
                <w:rFonts w:hint="eastAsia"/>
                <w:b/>
                <w:bCs/>
                <w:color w:val="FF0000"/>
                <w:kern w:val="2"/>
                <w:szCs w:val="24"/>
                <w:lang w:val="en-US" w:eastAsia="zh-CN"/>
              </w:rPr>
              <w:t>9</w:t>
            </w:r>
            <w:r>
              <w:rPr>
                <w:rFonts w:hint="default"/>
                <w:b/>
                <w:bCs/>
                <w:color w:val="FF0000"/>
                <w:kern w:val="2"/>
                <w:szCs w:val="24"/>
                <w:lang w:val="en-US" w:eastAsia="zh-CN"/>
              </w:rPr>
              <w:t xml:space="preserve">  项目</w:t>
            </w:r>
            <w:r>
              <w:rPr>
                <w:rFonts w:hint="eastAsia"/>
                <w:b/>
                <w:bCs/>
                <w:color w:val="FF0000"/>
                <w:kern w:val="2"/>
                <w:szCs w:val="24"/>
                <w:lang w:val="en-US" w:eastAsia="zh-CN"/>
              </w:rPr>
              <w:t>有机废气</w:t>
            </w:r>
            <w:r>
              <w:rPr>
                <w:rFonts w:hint="default"/>
                <w:b/>
                <w:bCs/>
                <w:color w:val="FF0000"/>
                <w:kern w:val="2"/>
                <w:szCs w:val="24"/>
                <w:lang w:val="en-US" w:eastAsia="zh-CN"/>
              </w:rPr>
              <w:t>平衡表</w:t>
            </w:r>
            <w:r>
              <w:rPr>
                <w:rFonts w:hint="eastAsia"/>
                <w:b/>
                <w:bCs/>
                <w:color w:val="FF0000"/>
                <w:kern w:val="2"/>
                <w:szCs w:val="24"/>
                <w:lang w:val="en-US" w:eastAsia="zh-CN"/>
              </w:rPr>
              <w:t>（</w:t>
            </w:r>
            <w:r>
              <w:rPr>
                <w:rFonts w:hint="default"/>
                <w:b/>
                <w:bCs/>
                <w:color w:val="FF0000"/>
                <w:kern w:val="2"/>
                <w:szCs w:val="24"/>
                <w:lang w:val="en-US" w:eastAsia="zh-CN"/>
              </w:rPr>
              <w:t>单位：t/a</w:t>
            </w:r>
            <w:r>
              <w:rPr>
                <w:rFonts w:hint="eastAsia"/>
                <w:b/>
                <w:bCs/>
                <w:color w:val="FF0000"/>
                <w:kern w:val="2"/>
                <w:szCs w:val="24"/>
                <w:lang w:val="en-US" w:eastAsia="zh-CN"/>
              </w:rPr>
              <w:t>）</w:t>
            </w:r>
          </w:p>
          <w:tbl>
            <w:tblPr>
              <w:tblStyle w:val="29"/>
              <w:tblW w:w="8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1"/>
              <w:gridCol w:w="1401"/>
              <w:gridCol w:w="1401"/>
              <w:gridCol w:w="1401"/>
              <w:gridCol w:w="1402"/>
              <w:gridCol w:w="1402"/>
            </w:tblGrid>
            <w:tr w14:paraId="73534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3" w:type="dxa"/>
                  <w:gridSpan w:val="3"/>
                  <w:vAlign w:val="center"/>
                </w:tcPr>
                <w:p w14:paraId="4BF9A1E1">
                  <w:pPr>
                    <w:spacing w:line="0" w:lineRule="atLeast"/>
                    <w:jc w:val="center"/>
                    <w:rPr>
                      <w:rFonts w:hint="eastAsia"/>
                      <w:color w:val="FF0000"/>
                      <w:kern w:val="0"/>
                      <w:sz w:val="24"/>
                      <w:szCs w:val="24"/>
                      <w:vertAlign w:val="baseline"/>
                      <w:lang w:val="en-US" w:eastAsia="zh-CN" w:bidi="ar"/>
                    </w:rPr>
                  </w:pPr>
                  <w:r>
                    <w:rPr>
                      <w:rFonts w:hint="eastAsia"/>
                      <w:b w:val="0"/>
                      <w:bCs/>
                      <w:color w:val="FF0000"/>
                      <w:sz w:val="21"/>
                      <w:szCs w:val="21"/>
                      <w:vertAlign w:val="baseline"/>
                      <w:lang w:val="en-US" w:eastAsia="zh-CN"/>
                    </w:rPr>
                    <w:t>进料</w:t>
                  </w:r>
                </w:p>
              </w:tc>
              <w:tc>
                <w:tcPr>
                  <w:tcW w:w="4205" w:type="dxa"/>
                  <w:gridSpan w:val="3"/>
                  <w:vAlign w:val="center"/>
                </w:tcPr>
                <w:p w14:paraId="6B202CDA">
                  <w:pPr>
                    <w:spacing w:line="0" w:lineRule="atLeast"/>
                    <w:jc w:val="center"/>
                    <w:rPr>
                      <w:rFonts w:hint="eastAsia"/>
                      <w:color w:val="FF0000"/>
                      <w:kern w:val="0"/>
                      <w:sz w:val="24"/>
                      <w:szCs w:val="24"/>
                      <w:vertAlign w:val="baseline"/>
                      <w:lang w:val="en-US" w:eastAsia="zh-CN" w:bidi="ar"/>
                    </w:rPr>
                  </w:pPr>
                  <w:r>
                    <w:rPr>
                      <w:rFonts w:hint="eastAsia"/>
                      <w:b w:val="0"/>
                      <w:bCs/>
                      <w:color w:val="FF0000"/>
                      <w:sz w:val="21"/>
                      <w:szCs w:val="21"/>
                      <w:vertAlign w:val="baseline"/>
                      <w:lang w:val="en-US" w:eastAsia="zh-CN"/>
                    </w:rPr>
                    <w:t>出料</w:t>
                  </w:r>
                </w:p>
              </w:tc>
            </w:tr>
            <w:tr w14:paraId="38825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1" w:type="dxa"/>
                  <w:vAlign w:val="center"/>
                </w:tcPr>
                <w:p w14:paraId="319C5FEA">
                  <w:pPr>
                    <w:spacing w:line="0" w:lineRule="atLeast"/>
                    <w:jc w:val="center"/>
                    <w:rPr>
                      <w:rFonts w:hint="eastAsia"/>
                      <w:color w:val="FF0000"/>
                      <w:kern w:val="0"/>
                      <w:sz w:val="24"/>
                      <w:szCs w:val="24"/>
                      <w:vertAlign w:val="baseline"/>
                      <w:lang w:val="en-US" w:eastAsia="zh-CN" w:bidi="ar"/>
                    </w:rPr>
                  </w:pPr>
                  <w:r>
                    <w:rPr>
                      <w:rFonts w:hint="eastAsia"/>
                      <w:color w:val="FF0000"/>
                      <w:sz w:val="21"/>
                      <w:szCs w:val="21"/>
                      <w:lang w:val="en-US" w:eastAsia="zh-CN"/>
                    </w:rPr>
                    <w:t>工序</w:t>
                  </w:r>
                </w:p>
              </w:tc>
              <w:tc>
                <w:tcPr>
                  <w:tcW w:w="1401" w:type="dxa"/>
                  <w:vAlign w:val="center"/>
                </w:tcPr>
                <w:p w14:paraId="5F0F59DE">
                  <w:pPr>
                    <w:spacing w:line="0" w:lineRule="atLeast"/>
                    <w:jc w:val="center"/>
                    <w:rPr>
                      <w:rFonts w:hint="eastAsia"/>
                      <w:color w:val="FF0000"/>
                      <w:kern w:val="0"/>
                      <w:sz w:val="24"/>
                      <w:szCs w:val="24"/>
                      <w:vertAlign w:val="baseline"/>
                      <w:lang w:val="en-US" w:eastAsia="zh-CN" w:bidi="ar"/>
                    </w:rPr>
                  </w:pPr>
                  <w:r>
                    <w:rPr>
                      <w:rFonts w:hint="eastAsia"/>
                      <w:color w:val="FF0000"/>
                      <w:sz w:val="21"/>
                      <w:szCs w:val="21"/>
                      <w:lang w:val="en-US" w:eastAsia="zh-CN"/>
                    </w:rPr>
                    <w:t>涂料类型</w:t>
                  </w:r>
                </w:p>
              </w:tc>
              <w:tc>
                <w:tcPr>
                  <w:tcW w:w="1401" w:type="dxa"/>
                  <w:vAlign w:val="center"/>
                </w:tcPr>
                <w:p w14:paraId="395FA30D">
                  <w:pPr>
                    <w:spacing w:line="0" w:lineRule="atLeast"/>
                    <w:jc w:val="center"/>
                    <w:rPr>
                      <w:rFonts w:hint="eastAsia"/>
                      <w:color w:val="FF0000"/>
                      <w:kern w:val="0"/>
                      <w:sz w:val="24"/>
                      <w:szCs w:val="24"/>
                      <w:vertAlign w:val="baseline"/>
                      <w:lang w:val="en-US" w:eastAsia="zh-CN" w:bidi="ar"/>
                    </w:rPr>
                  </w:pPr>
                  <w:r>
                    <w:rPr>
                      <w:rFonts w:hint="eastAsia"/>
                      <w:color w:val="FF0000"/>
                      <w:sz w:val="21"/>
                      <w:szCs w:val="21"/>
                      <w:lang w:val="en-US" w:eastAsia="zh-CN"/>
                    </w:rPr>
                    <w:t>挥发</w:t>
                  </w:r>
                </w:p>
              </w:tc>
              <w:tc>
                <w:tcPr>
                  <w:tcW w:w="2803" w:type="dxa"/>
                  <w:gridSpan w:val="2"/>
                  <w:vAlign w:val="center"/>
                </w:tcPr>
                <w:p w14:paraId="16177D12">
                  <w:pPr>
                    <w:spacing w:line="0" w:lineRule="atLeast"/>
                    <w:jc w:val="center"/>
                    <w:rPr>
                      <w:rFonts w:hint="eastAsia"/>
                      <w:color w:val="FF0000"/>
                      <w:kern w:val="0"/>
                      <w:sz w:val="24"/>
                      <w:szCs w:val="24"/>
                      <w:vertAlign w:val="baseline"/>
                      <w:lang w:val="en-US" w:eastAsia="zh-CN" w:bidi="ar"/>
                    </w:rPr>
                  </w:pPr>
                  <w:r>
                    <w:rPr>
                      <w:rFonts w:hint="eastAsia"/>
                      <w:b w:val="0"/>
                      <w:bCs/>
                      <w:color w:val="FF0000"/>
                      <w:sz w:val="21"/>
                      <w:szCs w:val="21"/>
                      <w:vertAlign w:val="baseline"/>
                      <w:lang w:val="en-US" w:eastAsia="zh-CN"/>
                    </w:rPr>
                    <w:t>工序</w:t>
                  </w:r>
                </w:p>
              </w:tc>
              <w:tc>
                <w:tcPr>
                  <w:tcW w:w="1402" w:type="dxa"/>
                  <w:vAlign w:val="center"/>
                </w:tcPr>
                <w:p w14:paraId="5EAF7546">
                  <w:pPr>
                    <w:spacing w:line="0" w:lineRule="atLeast"/>
                    <w:jc w:val="center"/>
                    <w:rPr>
                      <w:rFonts w:hint="eastAsia"/>
                      <w:color w:val="FF0000"/>
                      <w:kern w:val="0"/>
                      <w:sz w:val="24"/>
                      <w:szCs w:val="24"/>
                      <w:vertAlign w:val="baseline"/>
                      <w:lang w:val="en-US" w:eastAsia="zh-CN" w:bidi="ar"/>
                    </w:rPr>
                  </w:pPr>
                  <w:r>
                    <w:rPr>
                      <w:rFonts w:hint="eastAsia"/>
                      <w:color w:val="FF0000"/>
                      <w:sz w:val="21"/>
                      <w:szCs w:val="21"/>
                      <w:lang w:val="en-US" w:eastAsia="zh-CN"/>
                    </w:rPr>
                    <w:t>损耗</w:t>
                  </w:r>
                </w:p>
              </w:tc>
            </w:tr>
            <w:tr w14:paraId="1B30C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401" w:type="dxa"/>
                  <w:vMerge w:val="restart"/>
                  <w:vAlign w:val="center"/>
                </w:tcPr>
                <w:p w14:paraId="31AA703E">
                  <w:pPr>
                    <w:spacing w:line="0" w:lineRule="atLeast"/>
                    <w:jc w:val="center"/>
                    <w:rPr>
                      <w:rFonts w:hint="default"/>
                      <w:color w:val="FF0000"/>
                      <w:kern w:val="0"/>
                      <w:sz w:val="24"/>
                      <w:szCs w:val="24"/>
                      <w:vertAlign w:val="baseline"/>
                      <w:lang w:val="en-US" w:eastAsia="zh-CN" w:bidi="ar"/>
                    </w:rPr>
                  </w:pPr>
                  <w:r>
                    <w:rPr>
                      <w:rFonts w:hint="eastAsia"/>
                      <w:color w:val="FF0000"/>
                      <w:kern w:val="0"/>
                      <w:sz w:val="24"/>
                      <w:szCs w:val="24"/>
                      <w:vertAlign w:val="baseline"/>
                      <w:lang w:val="en-US" w:eastAsia="zh-CN" w:bidi="ar"/>
                    </w:rPr>
                    <w:t>调墨、印刷</w:t>
                  </w:r>
                </w:p>
              </w:tc>
              <w:tc>
                <w:tcPr>
                  <w:tcW w:w="1401" w:type="dxa"/>
                  <w:vMerge w:val="restart"/>
                  <w:vAlign w:val="center"/>
                </w:tcPr>
                <w:p w14:paraId="531B81EC">
                  <w:pPr>
                    <w:spacing w:line="0" w:lineRule="atLeast"/>
                    <w:jc w:val="center"/>
                    <w:rPr>
                      <w:rFonts w:hint="default"/>
                      <w:color w:val="FF0000"/>
                      <w:kern w:val="0"/>
                      <w:sz w:val="24"/>
                      <w:szCs w:val="24"/>
                      <w:vertAlign w:val="baseline"/>
                      <w:lang w:val="en-US" w:eastAsia="zh-CN" w:bidi="ar"/>
                    </w:rPr>
                  </w:pPr>
                  <w:r>
                    <w:rPr>
                      <w:rFonts w:hint="eastAsia"/>
                      <w:b w:val="0"/>
                      <w:bCs/>
                      <w:color w:val="FF0000"/>
                      <w:sz w:val="21"/>
                      <w:szCs w:val="21"/>
                      <w:vertAlign w:val="baseline"/>
                      <w:lang w:val="en-US" w:eastAsia="zh-CN"/>
                    </w:rPr>
                    <w:t>水性油墨</w:t>
                  </w:r>
                </w:p>
              </w:tc>
              <w:tc>
                <w:tcPr>
                  <w:tcW w:w="1401" w:type="dxa"/>
                  <w:vMerge w:val="restart"/>
                  <w:vAlign w:val="center"/>
                </w:tcPr>
                <w:p w14:paraId="4A18EFEB">
                  <w:pPr>
                    <w:pStyle w:val="3"/>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color w:val="FF0000"/>
                      <w:kern w:val="0"/>
                      <w:sz w:val="24"/>
                      <w:szCs w:val="24"/>
                      <w:vertAlign w:val="baseline"/>
                      <w:lang w:val="en-US" w:eastAsia="zh-CN" w:bidi="ar"/>
                    </w:rPr>
                  </w:pPr>
                  <w:r>
                    <w:rPr>
                      <w:rFonts w:hint="default" w:ascii="Times New Roman" w:hAnsi="Times New Roman" w:cs="Times New Roman"/>
                      <w:b w:val="0"/>
                      <w:bCs/>
                      <w:color w:val="FF0000"/>
                      <w:sz w:val="21"/>
                      <w:szCs w:val="21"/>
                      <w:vertAlign w:val="baseline"/>
                      <w:lang w:val="en-US" w:eastAsia="zh-CN"/>
                    </w:rPr>
                    <w:t>1.0</w:t>
                  </w:r>
                  <w:r>
                    <w:rPr>
                      <w:rFonts w:hint="eastAsia" w:cs="Times New Roman"/>
                      <w:b w:val="0"/>
                      <w:bCs/>
                      <w:color w:val="FF0000"/>
                      <w:sz w:val="21"/>
                      <w:szCs w:val="21"/>
                      <w:vertAlign w:val="baseline"/>
                      <w:lang w:val="en-US" w:eastAsia="zh-CN"/>
                    </w:rPr>
                    <w:t>06</w:t>
                  </w:r>
                </w:p>
              </w:tc>
              <w:tc>
                <w:tcPr>
                  <w:tcW w:w="1401" w:type="dxa"/>
                  <w:vMerge w:val="restart"/>
                  <w:vAlign w:val="center"/>
                </w:tcPr>
                <w:p w14:paraId="0E5CC6FF">
                  <w:pPr>
                    <w:spacing w:line="0" w:lineRule="atLeast"/>
                    <w:jc w:val="center"/>
                    <w:rPr>
                      <w:rFonts w:hint="eastAsia"/>
                      <w:color w:val="FF0000"/>
                      <w:kern w:val="0"/>
                      <w:sz w:val="24"/>
                      <w:szCs w:val="24"/>
                      <w:vertAlign w:val="baseline"/>
                      <w:lang w:val="en-US" w:eastAsia="zh-CN" w:bidi="ar"/>
                    </w:rPr>
                  </w:pPr>
                  <w:r>
                    <w:rPr>
                      <w:rFonts w:hint="eastAsia"/>
                      <w:color w:val="FF0000"/>
                      <w:kern w:val="0"/>
                      <w:sz w:val="24"/>
                      <w:szCs w:val="24"/>
                      <w:vertAlign w:val="baseline"/>
                      <w:lang w:val="en-US" w:eastAsia="zh-CN" w:bidi="ar"/>
                    </w:rPr>
                    <w:t>调墨、印刷</w:t>
                  </w:r>
                </w:p>
              </w:tc>
              <w:tc>
                <w:tcPr>
                  <w:tcW w:w="1402" w:type="dxa"/>
                  <w:vAlign w:val="center"/>
                </w:tcPr>
                <w:p w14:paraId="477C9ECB">
                  <w:pPr>
                    <w:spacing w:line="0" w:lineRule="atLeast"/>
                    <w:jc w:val="center"/>
                    <w:rPr>
                      <w:rFonts w:hint="eastAsia"/>
                      <w:color w:val="FF0000"/>
                      <w:kern w:val="0"/>
                      <w:sz w:val="24"/>
                      <w:szCs w:val="24"/>
                      <w:vertAlign w:val="baseline"/>
                      <w:lang w:val="en-US" w:eastAsia="zh-CN" w:bidi="ar"/>
                    </w:rPr>
                  </w:pPr>
                  <w:r>
                    <w:rPr>
                      <w:rFonts w:hint="eastAsia"/>
                      <w:color w:val="FF0000"/>
                      <w:sz w:val="21"/>
                      <w:szCs w:val="21"/>
                      <w:lang w:val="en-US" w:eastAsia="zh-CN"/>
                    </w:rPr>
                    <w:t>有组织排放</w:t>
                  </w:r>
                </w:p>
              </w:tc>
              <w:tc>
                <w:tcPr>
                  <w:tcW w:w="1402" w:type="dxa"/>
                  <w:vAlign w:val="center"/>
                </w:tcPr>
                <w:p w14:paraId="1E36BF97">
                  <w:pPr>
                    <w:spacing w:line="0" w:lineRule="atLeast"/>
                    <w:jc w:val="center"/>
                    <w:rPr>
                      <w:rFonts w:hint="default"/>
                      <w:color w:val="FF0000"/>
                      <w:kern w:val="0"/>
                      <w:sz w:val="24"/>
                      <w:szCs w:val="24"/>
                      <w:vertAlign w:val="baseline"/>
                      <w:lang w:val="en-US" w:eastAsia="zh-CN" w:bidi="ar"/>
                    </w:rPr>
                  </w:pPr>
                  <w:r>
                    <w:rPr>
                      <w:rFonts w:hint="eastAsia"/>
                      <w:color w:val="FF0000"/>
                      <w:sz w:val="21"/>
                      <w:szCs w:val="21"/>
                      <w:lang w:val="en-US" w:eastAsia="zh-CN"/>
                    </w:rPr>
                    <w:t>0.713</w:t>
                  </w:r>
                </w:p>
              </w:tc>
            </w:tr>
            <w:tr w14:paraId="4F8CA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01" w:type="dxa"/>
                  <w:vMerge w:val="continue"/>
                  <w:vAlign w:val="center"/>
                </w:tcPr>
                <w:p w14:paraId="377C1271">
                  <w:pPr>
                    <w:spacing w:line="0" w:lineRule="atLeast"/>
                    <w:jc w:val="center"/>
                    <w:rPr>
                      <w:rFonts w:hint="eastAsia"/>
                      <w:color w:val="FF0000"/>
                      <w:sz w:val="21"/>
                      <w:szCs w:val="21"/>
                      <w:lang w:val="en-US" w:eastAsia="zh-CN"/>
                    </w:rPr>
                  </w:pPr>
                </w:p>
              </w:tc>
              <w:tc>
                <w:tcPr>
                  <w:tcW w:w="1401" w:type="dxa"/>
                  <w:vMerge w:val="continue"/>
                  <w:vAlign w:val="center"/>
                </w:tcPr>
                <w:p w14:paraId="176BD798">
                  <w:pPr>
                    <w:spacing w:line="0" w:lineRule="atLeast"/>
                    <w:jc w:val="center"/>
                    <w:rPr>
                      <w:rFonts w:hint="eastAsia"/>
                      <w:b w:val="0"/>
                      <w:bCs/>
                      <w:color w:val="FF0000"/>
                      <w:sz w:val="21"/>
                      <w:szCs w:val="21"/>
                      <w:vertAlign w:val="baseline"/>
                      <w:lang w:val="en-US" w:eastAsia="zh-CN"/>
                    </w:rPr>
                  </w:pPr>
                </w:p>
              </w:tc>
              <w:tc>
                <w:tcPr>
                  <w:tcW w:w="1401" w:type="dxa"/>
                  <w:vMerge w:val="continue"/>
                  <w:vAlign w:val="center"/>
                </w:tcPr>
                <w:p w14:paraId="36D8A380">
                  <w:pPr>
                    <w:pStyle w:val="3"/>
                    <w:pageBreakBefore w:val="0"/>
                    <w:kinsoku/>
                    <w:wordWrap/>
                    <w:overflowPunct/>
                    <w:topLinePunct w:val="0"/>
                    <w:autoSpaceDE/>
                    <w:autoSpaceDN/>
                    <w:bidi w:val="0"/>
                    <w:spacing w:before="0" w:after="0" w:line="240" w:lineRule="auto"/>
                    <w:ind w:left="0" w:leftChars="0" w:right="0" w:rightChars="0"/>
                    <w:jc w:val="center"/>
                    <w:rPr>
                      <w:rFonts w:hint="eastAsia"/>
                      <w:b w:val="0"/>
                      <w:bCs/>
                      <w:color w:val="FF0000"/>
                      <w:sz w:val="21"/>
                      <w:szCs w:val="21"/>
                      <w:vertAlign w:val="baseline"/>
                      <w:lang w:val="en-US" w:eastAsia="zh-CN"/>
                    </w:rPr>
                  </w:pPr>
                </w:p>
              </w:tc>
              <w:tc>
                <w:tcPr>
                  <w:tcW w:w="1401" w:type="dxa"/>
                  <w:vMerge w:val="continue"/>
                  <w:vAlign w:val="center"/>
                </w:tcPr>
                <w:p w14:paraId="5D8176F2">
                  <w:pPr>
                    <w:spacing w:line="0" w:lineRule="atLeast"/>
                    <w:jc w:val="center"/>
                    <w:rPr>
                      <w:rFonts w:hint="eastAsia"/>
                      <w:color w:val="FF0000"/>
                      <w:sz w:val="21"/>
                      <w:szCs w:val="21"/>
                      <w:lang w:val="en-US" w:eastAsia="zh-CN"/>
                    </w:rPr>
                  </w:pPr>
                </w:p>
              </w:tc>
              <w:tc>
                <w:tcPr>
                  <w:tcW w:w="1402" w:type="dxa"/>
                  <w:vAlign w:val="center"/>
                </w:tcPr>
                <w:p w14:paraId="7DCEC495">
                  <w:pPr>
                    <w:spacing w:line="0" w:lineRule="atLeast"/>
                    <w:jc w:val="center"/>
                    <w:rPr>
                      <w:rFonts w:hint="default"/>
                      <w:color w:val="FF0000"/>
                      <w:sz w:val="21"/>
                      <w:szCs w:val="21"/>
                      <w:lang w:val="en-US" w:eastAsia="zh-CN"/>
                    </w:rPr>
                  </w:pPr>
                  <w:r>
                    <w:rPr>
                      <w:rFonts w:hint="eastAsia"/>
                      <w:color w:val="FF0000"/>
                      <w:sz w:val="21"/>
                      <w:szCs w:val="21"/>
                      <w:lang w:val="en-US" w:eastAsia="zh-CN"/>
                    </w:rPr>
                    <w:t>无组织排放</w:t>
                  </w:r>
                </w:p>
              </w:tc>
              <w:tc>
                <w:tcPr>
                  <w:tcW w:w="1402" w:type="dxa"/>
                  <w:vAlign w:val="center"/>
                </w:tcPr>
                <w:p w14:paraId="6A34254E">
                  <w:pPr>
                    <w:spacing w:line="0" w:lineRule="atLeast"/>
                    <w:jc w:val="center"/>
                    <w:rPr>
                      <w:rFonts w:hint="default"/>
                      <w:color w:val="FF0000"/>
                      <w:sz w:val="21"/>
                      <w:szCs w:val="21"/>
                      <w:lang w:val="en-US" w:eastAsia="zh-CN"/>
                    </w:rPr>
                  </w:pPr>
                  <w:r>
                    <w:rPr>
                      <w:rFonts w:hint="eastAsia"/>
                      <w:color w:val="FF0000"/>
                      <w:sz w:val="21"/>
                      <w:szCs w:val="21"/>
                      <w:lang w:val="en-US" w:eastAsia="zh-CN"/>
                    </w:rPr>
                    <w:t>0.11</w:t>
                  </w:r>
                </w:p>
              </w:tc>
            </w:tr>
            <w:tr w14:paraId="17FA5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1" w:type="dxa"/>
                  <w:vMerge w:val="continue"/>
                  <w:vAlign w:val="center"/>
                </w:tcPr>
                <w:p w14:paraId="7484ACBA">
                  <w:pPr>
                    <w:spacing w:line="0" w:lineRule="atLeast"/>
                    <w:jc w:val="center"/>
                    <w:rPr>
                      <w:rFonts w:hint="eastAsia"/>
                      <w:color w:val="FF0000"/>
                      <w:kern w:val="0"/>
                      <w:sz w:val="24"/>
                      <w:szCs w:val="24"/>
                      <w:vertAlign w:val="baseline"/>
                      <w:lang w:val="en-US" w:eastAsia="zh-CN" w:bidi="ar"/>
                    </w:rPr>
                  </w:pPr>
                </w:p>
              </w:tc>
              <w:tc>
                <w:tcPr>
                  <w:tcW w:w="1401" w:type="dxa"/>
                  <w:vAlign w:val="center"/>
                </w:tcPr>
                <w:p w14:paraId="2DF399D1">
                  <w:pPr>
                    <w:spacing w:line="0" w:lineRule="atLeast"/>
                    <w:jc w:val="center"/>
                    <w:rPr>
                      <w:rFonts w:hint="eastAsia"/>
                      <w:color w:val="FF0000"/>
                      <w:kern w:val="0"/>
                      <w:sz w:val="24"/>
                      <w:szCs w:val="24"/>
                      <w:vertAlign w:val="baseline"/>
                      <w:lang w:val="en-US" w:eastAsia="zh-CN" w:bidi="ar"/>
                    </w:rPr>
                  </w:pPr>
                  <w:r>
                    <w:rPr>
                      <w:rFonts w:hint="eastAsia"/>
                      <w:b w:val="0"/>
                      <w:bCs/>
                      <w:color w:val="FF0000"/>
                      <w:sz w:val="21"/>
                      <w:szCs w:val="21"/>
                      <w:vertAlign w:val="baseline"/>
                      <w:lang w:val="en-US" w:eastAsia="zh-CN"/>
                    </w:rPr>
                    <w:t>油墨</w:t>
                  </w:r>
                </w:p>
              </w:tc>
              <w:tc>
                <w:tcPr>
                  <w:tcW w:w="1401" w:type="dxa"/>
                  <w:vAlign w:val="center"/>
                </w:tcPr>
                <w:p w14:paraId="30CF3AEA">
                  <w:pPr>
                    <w:pStyle w:val="3"/>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color w:val="FF0000"/>
                      <w:kern w:val="0"/>
                      <w:sz w:val="24"/>
                      <w:szCs w:val="24"/>
                      <w:vertAlign w:val="baseline"/>
                      <w:lang w:val="en-US" w:eastAsia="zh-CN" w:bidi="ar"/>
                    </w:rPr>
                  </w:pPr>
                  <w:r>
                    <w:rPr>
                      <w:rFonts w:hint="default" w:ascii="Times New Roman" w:hAnsi="Times New Roman" w:cs="Times New Roman"/>
                      <w:b w:val="0"/>
                      <w:bCs/>
                      <w:color w:val="FF0000"/>
                      <w:sz w:val="21"/>
                      <w:szCs w:val="21"/>
                      <w:vertAlign w:val="baseline"/>
                      <w:lang w:val="en-US" w:eastAsia="zh-CN"/>
                    </w:rPr>
                    <w:t>0.</w:t>
                  </w:r>
                  <w:r>
                    <w:rPr>
                      <w:rFonts w:hint="eastAsia" w:cs="Times New Roman"/>
                      <w:b w:val="0"/>
                      <w:bCs/>
                      <w:color w:val="FF0000"/>
                      <w:sz w:val="21"/>
                      <w:szCs w:val="21"/>
                      <w:vertAlign w:val="baseline"/>
                      <w:lang w:val="en-US" w:eastAsia="zh-CN"/>
                    </w:rPr>
                    <w:t>071</w:t>
                  </w:r>
                </w:p>
              </w:tc>
              <w:tc>
                <w:tcPr>
                  <w:tcW w:w="1401" w:type="dxa"/>
                  <w:vMerge w:val="continue"/>
                  <w:vAlign w:val="center"/>
                </w:tcPr>
                <w:p w14:paraId="48D401A2">
                  <w:pPr>
                    <w:spacing w:line="0" w:lineRule="atLeast"/>
                    <w:jc w:val="center"/>
                    <w:rPr>
                      <w:rFonts w:hint="eastAsia"/>
                      <w:color w:val="FF0000"/>
                      <w:kern w:val="0"/>
                      <w:sz w:val="24"/>
                      <w:szCs w:val="24"/>
                      <w:vertAlign w:val="baseline"/>
                      <w:lang w:val="en-US" w:eastAsia="zh-CN" w:bidi="ar"/>
                    </w:rPr>
                  </w:pPr>
                </w:p>
              </w:tc>
              <w:tc>
                <w:tcPr>
                  <w:tcW w:w="1402" w:type="dxa"/>
                  <w:vMerge w:val="restart"/>
                  <w:vAlign w:val="center"/>
                </w:tcPr>
                <w:p w14:paraId="322FB10D">
                  <w:pPr>
                    <w:spacing w:line="0" w:lineRule="atLeast"/>
                    <w:jc w:val="center"/>
                    <w:rPr>
                      <w:rFonts w:hint="eastAsia"/>
                      <w:color w:val="FF0000"/>
                      <w:kern w:val="0"/>
                      <w:sz w:val="24"/>
                      <w:szCs w:val="24"/>
                      <w:vertAlign w:val="baseline"/>
                      <w:lang w:val="en-US" w:eastAsia="zh-CN" w:bidi="ar"/>
                    </w:rPr>
                  </w:pPr>
                  <w:r>
                    <w:rPr>
                      <w:rFonts w:hint="eastAsia"/>
                      <w:b w:val="0"/>
                      <w:bCs/>
                      <w:color w:val="FF0000"/>
                      <w:sz w:val="21"/>
                      <w:szCs w:val="21"/>
                      <w:vertAlign w:val="baseline"/>
                      <w:lang w:val="en-US" w:eastAsia="zh-CN"/>
                    </w:rPr>
                    <w:t>废气治理措施收集</w:t>
                  </w:r>
                </w:p>
              </w:tc>
              <w:tc>
                <w:tcPr>
                  <w:tcW w:w="1402" w:type="dxa"/>
                  <w:vMerge w:val="restart"/>
                  <w:vAlign w:val="center"/>
                </w:tcPr>
                <w:p w14:paraId="21B1983B">
                  <w:pPr>
                    <w:spacing w:line="0" w:lineRule="atLeast"/>
                    <w:jc w:val="center"/>
                    <w:rPr>
                      <w:rFonts w:hint="default"/>
                      <w:color w:val="FF0000"/>
                      <w:kern w:val="0"/>
                      <w:sz w:val="24"/>
                      <w:szCs w:val="24"/>
                      <w:vertAlign w:val="baseline"/>
                      <w:lang w:val="en-US" w:eastAsia="zh-CN" w:bidi="ar"/>
                    </w:rPr>
                  </w:pPr>
                  <w:r>
                    <w:rPr>
                      <w:rFonts w:hint="eastAsia"/>
                      <w:color w:val="FF0000"/>
                      <w:sz w:val="21"/>
                      <w:szCs w:val="21"/>
                      <w:lang w:val="en-US" w:eastAsia="zh-CN"/>
                    </w:rPr>
                    <w:t>0.274</w:t>
                  </w:r>
                </w:p>
              </w:tc>
            </w:tr>
            <w:tr w14:paraId="2A191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1" w:type="dxa"/>
                  <w:vMerge w:val="continue"/>
                  <w:vAlign w:val="center"/>
                </w:tcPr>
                <w:p w14:paraId="6E493F49">
                  <w:pPr>
                    <w:spacing w:line="0" w:lineRule="atLeast"/>
                    <w:jc w:val="center"/>
                    <w:rPr>
                      <w:rFonts w:hint="eastAsia"/>
                      <w:color w:val="FF0000"/>
                      <w:kern w:val="0"/>
                      <w:sz w:val="24"/>
                      <w:szCs w:val="24"/>
                      <w:vertAlign w:val="baseline"/>
                      <w:lang w:val="en-US" w:eastAsia="zh-CN" w:bidi="ar"/>
                    </w:rPr>
                  </w:pPr>
                </w:p>
              </w:tc>
              <w:tc>
                <w:tcPr>
                  <w:tcW w:w="1401" w:type="dxa"/>
                  <w:vAlign w:val="center"/>
                </w:tcPr>
                <w:p w14:paraId="2537AF4D">
                  <w:pPr>
                    <w:spacing w:line="0" w:lineRule="atLeast"/>
                    <w:jc w:val="center"/>
                    <w:rPr>
                      <w:rFonts w:hint="eastAsia"/>
                      <w:color w:val="FF0000"/>
                      <w:kern w:val="0"/>
                      <w:sz w:val="24"/>
                      <w:szCs w:val="24"/>
                      <w:vertAlign w:val="baseline"/>
                      <w:lang w:val="en-US" w:eastAsia="zh-CN" w:bidi="ar"/>
                    </w:rPr>
                  </w:pPr>
                  <w:r>
                    <w:rPr>
                      <w:rFonts w:hint="eastAsia"/>
                      <w:color w:val="FF0000"/>
                      <w:sz w:val="21"/>
                      <w:szCs w:val="21"/>
                      <w:lang w:val="en-US" w:eastAsia="zh-CN"/>
                    </w:rPr>
                    <w:t>稀释剂</w:t>
                  </w:r>
                </w:p>
              </w:tc>
              <w:tc>
                <w:tcPr>
                  <w:tcW w:w="1401" w:type="dxa"/>
                  <w:vAlign w:val="center"/>
                </w:tcPr>
                <w:p w14:paraId="1888F05C">
                  <w:pPr>
                    <w:pStyle w:val="3"/>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color w:val="FF0000"/>
                      <w:kern w:val="0"/>
                      <w:sz w:val="24"/>
                      <w:szCs w:val="24"/>
                      <w:vertAlign w:val="baseline"/>
                      <w:lang w:val="en-US" w:eastAsia="zh-CN" w:bidi="ar"/>
                    </w:rPr>
                  </w:pPr>
                  <w:r>
                    <w:rPr>
                      <w:rFonts w:hint="default" w:ascii="Times New Roman" w:hAnsi="Times New Roman" w:cs="Times New Roman"/>
                      <w:b w:val="0"/>
                      <w:bCs/>
                      <w:color w:val="FF0000"/>
                      <w:sz w:val="21"/>
                      <w:szCs w:val="21"/>
                      <w:vertAlign w:val="baseline"/>
                      <w:lang w:val="en-US" w:eastAsia="zh-CN"/>
                    </w:rPr>
                    <w:t>0.0</w:t>
                  </w:r>
                  <w:r>
                    <w:rPr>
                      <w:rFonts w:hint="eastAsia" w:cs="Times New Roman"/>
                      <w:b w:val="0"/>
                      <w:bCs/>
                      <w:color w:val="FF0000"/>
                      <w:sz w:val="21"/>
                      <w:szCs w:val="21"/>
                      <w:vertAlign w:val="baseline"/>
                      <w:lang w:val="en-US" w:eastAsia="zh-CN"/>
                    </w:rPr>
                    <w:t>2</w:t>
                  </w:r>
                </w:p>
              </w:tc>
              <w:tc>
                <w:tcPr>
                  <w:tcW w:w="1401" w:type="dxa"/>
                  <w:vMerge w:val="continue"/>
                  <w:vAlign w:val="center"/>
                </w:tcPr>
                <w:p w14:paraId="15FBDFF4">
                  <w:pPr>
                    <w:spacing w:line="0" w:lineRule="atLeast"/>
                    <w:jc w:val="center"/>
                    <w:rPr>
                      <w:rFonts w:hint="eastAsia"/>
                      <w:color w:val="FF0000"/>
                      <w:kern w:val="0"/>
                      <w:sz w:val="24"/>
                      <w:szCs w:val="24"/>
                      <w:vertAlign w:val="baseline"/>
                      <w:lang w:val="en-US" w:eastAsia="zh-CN" w:bidi="ar"/>
                    </w:rPr>
                  </w:pPr>
                </w:p>
              </w:tc>
              <w:tc>
                <w:tcPr>
                  <w:tcW w:w="1402" w:type="dxa"/>
                  <w:vMerge w:val="continue"/>
                  <w:vAlign w:val="center"/>
                </w:tcPr>
                <w:p w14:paraId="59079C79">
                  <w:pPr>
                    <w:spacing w:line="0" w:lineRule="atLeast"/>
                    <w:jc w:val="center"/>
                    <w:rPr>
                      <w:rFonts w:hint="eastAsia"/>
                      <w:color w:val="FF0000"/>
                      <w:kern w:val="0"/>
                      <w:sz w:val="24"/>
                      <w:szCs w:val="24"/>
                      <w:vertAlign w:val="baseline"/>
                      <w:lang w:val="en-US" w:eastAsia="zh-CN" w:bidi="ar"/>
                    </w:rPr>
                  </w:pPr>
                </w:p>
              </w:tc>
              <w:tc>
                <w:tcPr>
                  <w:tcW w:w="1402" w:type="dxa"/>
                  <w:vMerge w:val="continue"/>
                  <w:vAlign w:val="center"/>
                </w:tcPr>
                <w:p w14:paraId="2336CE92">
                  <w:pPr>
                    <w:spacing w:line="0" w:lineRule="atLeast"/>
                    <w:jc w:val="center"/>
                    <w:rPr>
                      <w:rFonts w:hint="eastAsia"/>
                      <w:color w:val="FF0000"/>
                      <w:kern w:val="0"/>
                      <w:sz w:val="24"/>
                      <w:szCs w:val="24"/>
                      <w:vertAlign w:val="baseline"/>
                      <w:lang w:val="en-US" w:eastAsia="zh-CN" w:bidi="ar"/>
                    </w:rPr>
                  </w:pPr>
                </w:p>
              </w:tc>
            </w:tr>
            <w:tr w14:paraId="2A151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2802" w:type="dxa"/>
                  <w:gridSpan w:val="2"/>
                  <w:vAlign w:val="center"/>
                </w:tcPr>
                <w:p w14:paraId="452D5FC9">
                  <w:pPr>
                    <w:spacing w:line="0" w:lineRule="atLeast"/>
                    <w:jc w:val="center"/>
                    <w:rPr>
                      <w:rFonts w:hint="eastAsia"/>
                      <w:color w:val="FF0000"/>
                      <w:sz w:val="21"/>
                      <w:szCs w:val="21"/>
                      <w:lang w:val="en-US" w:eastAsia="zh-CN"/>
                    </w:rPr>
                  </w:pPr>
                  <w:r>
                    <w:rPr>
                      <w:rFonts w:hint="eastAsia"/>
                      <w:color w:val="FF0000"/>
                      <w:sz w:val="21"/>
                      <w:szCs w:val="21"/>
                      <w:lang w:val="en-US" w:eastAsia="zh-CN"/>
                    </w:rPr>
                    <w:t>合计</w:t>
                  </w:r>
                </w:p>
              </w:tc>
              <w:tc>
                <w:tcPr>
                  <w:tcW w:w="1401" w:type="dxa"/>
                  <w:vAlign w:val="center"/>
                </w:tcPr>
                <w:p w14:paraId="1710910F">
                  <w:pPr>
                    <w:pStyle w:val="3"/>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b w:val="0"/>
                      <w:bCs/>
                      <w:color w:val="FF0000"/>
                      <w:sz w:val="21"/>
                      <w:szCs w:val="21"/>
                      <w:vertAlign w:val="baseline"/>
                      <w:lang w:val="en-US" w:eastAsia="zh-CN"/>
                    </w:rPr>
                  </w:pPr>
                  <w:r>
                    <w:rPr>
                      <w:rFonts w:hint="default" w:ascii="Times New Roman" w:hAnsi="Times New Roman" w:cs="Times New Roman"/>
                      <w:b w:val="0"/>
                      <w:bCs/>
                      <w:color w:val="FF0000"/>
                      <w:sz w:val="21"/>
                      <w:szCs w:val="21"/>
                      <w:vertAlign w:val="baseline"/>
                      <w:lang w:val="en-US" w:eastAsia="zh-CN"/>
                    </w:rPr>
                    <w:t>1.</w:t>
                  </w:r>
                  <w:r>
                    <w:rPr>
                      <w:rFonts w:hint="eastAsia" w:cs="Times New Roman"/>
                      <w:b w:val="0"/>
                      <w:bCs/>
                      <w:color w:val="FF0000"/>
                      <w:sz w:val="21"/>
                      <w:szCs w:val="21"/>
                      <w:vertAlign w:val="baseline"/>
                      <w:lang w:val="en-US" w:eastAsia="zh-CN"/>
                    </w:rPr>
                    <w:t>097</w:t>
                  </w:r>
                </w:p>
              </w:tc>
              <w:tc>
                <w:tcPr>
                  <w:tcW w:w="2803" w:type="dxa"/>
                  <w:gridSpan w:val="2"/>
                  <w:vAlign w:val="center"/>
                </w:tcPr>
                <w:p w14:paraId="5AF0AB06">
                  <w:pPr>
                    <w:spacing w:line="0" w:lineRule="atLeast"/>
                    <w:jc w:val="center"/>
                    <w:rPr>
                      <w:rFonts w:hint="eastAsia"/>
                      <w:color w:val="FF0000"/>
                      <w:sz w:val="21"/>
                      <w:szCs w:val="21"/>
                      <w:lang w:val="en-US" w:eastAsia="zh-CN"/>
                    </w:rPr>
                  </w:pPr>
                  <w:r>
                    <w:rPr>
                      <w:rFonts w:hint="eastAsia"/>
                      <w:color w:val="FF0000"/>
                      <w:sz w:val="21"/>
                      <w:szCs w:val="21"/>
                      <w:lang w:val="en-US" w:eastAsia="zh-CN"/>
                    </w:rPr>
                    <w:t>合计</w:t>
                  </w:r>
                </w:p>
              </w:tc>
              <w:tc>
                <w:tcPr>
                  <w:tcW w:w="1402" w:type="dxa"/>
                  <w:vAlign w:val="center"/>
                </w:tcPr>
                <w:p w14:paraId="4C3F162D">
                  <w:pPr>
                    <w:pStyle w:val="3"/>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color w:val="FF0000"/>
                      <w:sz w:val="21"/>
                      <w:szCs w:val="21"/>
                      <w:lang w:val="en-US" w:eastAsia="zh-CN"/>
                    </w:rPr>
                  </w:pPr>
                  <w:r>
                    <w:rPr>
                      <w:rFonts w:hint="default" w:ascii="Times New Roman" w:hAnsi="Times New Roman" w:cs="Times New Roman"/>
                      <w:b w:val="0"/>
                      <w:bCs/>
                      <w:color w:val="FF0000"/>
                      <w:sz w:val="21"/>
                      <w:szCs w:val="21"/>
                      <w:vertAlign w:val="baseline"/>
                      <w:lang w:val="en-US" w:eastAsia="zh-CN"/>
                    </w:rPr>
                    <w:t>1.</w:t>
                  </w:r>
                  <w:r>
                    <w:rPr>
                      <w:rFonts w:hint="eastAsia" w:cs="Times New Roman"/>
                      <w:b w:val="0"/>
                      <w:bCs/>
                      <w:color w:val="FF0000"/>
                      <w:sz w:val="21"/>
                      <w:szCs w:val="21"/>
                      <w:vertAlign w:val="baseline"/>
                      <w:lang w:val="en-US" w:eastAsia="zh-CN"/>
                    </w:rPr>
                    <w:t>097</w:t>
                  </w:r>
                </w:p>
              </w:tc>
            </w:tr>
          </w:tbl>
          <w:p w14:paraId="039008D5">
            <w:pPr>
              <w:pStyle w:val="3"/>
              <w:tabs>
                <w:tab w:val="left" w:pos="362"/>
              </w:tabs>
              <w:spacing w:before="0" w:after="0" w:line="360" w:lineRule="auto"/>
              <w:ind w:firstLine="482" w:firstLineChars="200"/>
              <w:rPr>
                <w:rFonts w:ascii="宋体" w:hAnsi="宋体" w:cs="宋体"/>
                <w:color w:val="auto"/>
                <w:sz w:val="24"/>
                <w:szCs w:val="24"/>
              </w:rPr>
            </w:pPr>
            <w:r>
              <w:rPr>
                <w:rFonts w:hint="eastAsia"/>
                <w:color w:val="auto"/>
                <w:kern w:val="0"/>
                <w:sz w:val="24"/>
                <w:szCs w:val="24"/>
                <w:lang w:val="en-US" w:eastAsia="zh-CN" w:bidi="ar"/>
              </w:rPr>
              <w:t>七</w:t>
            </w:r>
            <w:r>
              <w:rPr>
                <w:rFonts w:hint="eastAsia"/>
                <w:color w:val="auto"/>
                <w:kern w:val="0"/>
                <w:sz w:val="24"/>
                <w:szCs w:val="24"/>
                <w:lang w:bidi="ar"/>
              </w:rPr>
              <w:t>、</w:t>
            </w:r>
            <w:r>
              <w:rPr>
                <w:rFonts w:hint="eastAsia" w:ascii="宋体" w:hAnsi="宋体" w:cs="宋体"/>
                <w:color w:val="auto"/>
                <w:sz w:val="24"/>
                <w:szCs w:val="24"/>
              </w:rPr>
              <w:t>劳动定员及工作制度</w:t>
            </w:r>
          </w:p>
          <w:p w14:paraId="683C7EAD">
            <w:pPr>
              <w:spacing w:line="360" w:lineRule="auto"/>
              <w:ind w:firstLine="480" w:firstLineChars="200"/>
              <w:rPr>
                <w:rFonts w:hint="default" w:ascii="Times New Roman" w:hAnsi="Times New Roman" w:eastAsia="宋体" w:cs="Times New Roman"/>
                <w:color w:val="auto"/>
                <w:sz w:val="24"/>
                <w:szCs w:val="24"/>
                <w:lang w:eastAsia="zh-CN"/>
              </w:rPr>
            </w:pPr>
            <w:r>
              <w:rPr>
                <w:rFonts w:hint="eastAsia" w:cs="Times New Roman"/>
                <w:color w:val="auto"/>
                <w:spacing w:val="0"/>
                <w:w w:val="100"/>
                <w:kern w:val="0"/>
                <w:position w:val="0"/>
                <w:sz w:val="24"/>
                <w:szCs w:val="24"/>
                <w:lang w:val="en-US" w:eastAsia="zh-CN"/>
              </w:rPr>
              <w:t>项目人员配给为13人，厂内不安排食宿，</w:t>
            </w:r>
            <w:r>
              <w:rPr>
                <w:rFonts w:hint="default" w:ascii="Times New Roman" w:hAnsi="Times New Roman" w:cs="Times New Roman"/>
                <w:color w:val="auto"/>
                <w:sz w:val="24"/>
                <w:szCs w:val="24"/>
              </w:rPr>
              <w:t>年</w:t>
            </w:r>
            <w:r>
              <w:rPr>
                <w:rFonts w:hint="eastAsia" w:cs="Times New Roman"/>
                <w:color w:val="auto"/>
                <w:sz w:val="24"/>
                <w:szCs w:val="24"/>
                <w:lang w:val="en-US" w:eastAsia="zh-CN"/>
              </w:rPr>
              <w:t>生产310</w:t>
            </w:r>
            <w:r>
              <w:rPr>
                <w:rFonts w:hint="default" w:ascii="Times New Roman" w:hAnsi="Times New Roman" w:cs="Times New Roman"/>
                <w:color w:val="auto"/>
                <w:sz w:val="24"/>
                <w:szCs w:val="24"/>
              </w:rPr>
              <w:t>天</w:t>
            </w:r>
            <w:r>
              <w:rPr>
                <w:rFonts w:hint="default" w:ascii="Times New Roman" w:hAnsi="Times New Roman" w:cs="Times New Roman"/>
                <w:color w:val="auto"/>
                <w:sz w:val="24"/>
                <w:szCs w:val="24"/>
                <w:lang w:eastAsia="zh-CN"/>
              </w:rPr>
              <w:t>，</w:t>
            </w:r>
            <w:r>
              <w:rPr>
                <w:rFonts w:hint="eastAsia" w:cs="Times New Roman"/>
                <w:color w:val="auto"/>
                <w:sz w:val="24"/>
                <w:szCs w:val="24"/>
                <w:lang w:val="en-US" w:eastAsia="zh-CN"/>
              </w:rPr>
              <w:t>1班制，</w:t>
            </w:r>
            <w:r>
              <w:rPr>
                <w:rFonts w:hint="default" w:ascii="Times New Roman" w:hAnsi="Times New Roman" w:eastAsia="宋体" w:cs="Times New Roman"/>
                <w:color w:val="auto"/>
                <w:sz w:val="24"/>
                <w:szCs w:val="24"/>
                <w:lang w:bidi="ar"/>
              </w:rPr>
              <w:t>每天</w:t>
            </w:r>
            <w:r>
              <w:rPr>
                <w:rFonts w:hint="eastAsia" w:cs="Times New Roman"/>
                <w:color w:val="auto"/>
                <w:sz w:val="24"/>
                <w:szCs w:val="24"/>
                <w:lang w:val="en-US" w:eastAsia="zh-CN" w:bidi="ar"/>
              </w:rPr>
              <w:t>生产10</w:t>
            </w:r>
            <w:r>
              <w:rPr>
                <w:rFonts w:hint="default" w:ascii="Times New Roman" w:hAnsi="Times New Roman" w:eastAsia="宋体" w:cs="Times New Roman"/>
                <w:color w:val="auto"/>
                <w:sz w:val="24"/>
                <w:szCs w:val="24"/>
                <w:lang w:bidi="ar"/>
              </w:rPr>
              <w:t>小时</w:t>
            </w:r>
            <w:r>
              <w:rPr>
                <w:rFonts w:hint="default" w:ascii="Times New Roman" w:hAnsi="Times New Roman" w:eastAsia="宋体" w:cs="Times New Roman"/>
                <w:color w:val="auto"/>
                <w:sz w:val="24"/>
                <w:szCs w:val="24"/>
                <w:lang w:eastAsia="zh-CN" w:bidi="ar"/>
              </w:rPr>
              <w:t>。</w:t>
            </w:r>
          </w:p>
          <w:p w14:paraId="125E4514">
            <w:pPr>
              <w:pStyle w:val="16"/>
              <w:spacing w:line="360" w:lineRule="auto"/>
              <w:ind w:firstLine="482" w:firstLineChars="200"/>
              <w:rPr>
                <w:rFonts w:ascii="Times New Roman" w:hAnsi="Times New Roman"/>
                <w:b/>
                <w:bCs/>
                <w:color w:val="auto"/>
                <w:kern w:val="0"/>
                <w:sz w:val="24"/>
                <w:szCs w:val="24"/>
                <w:lang w:bidi="ar"/>
              </w:rPr>
            </w:pPr>
            <w:r>
              <w:rPr>
                <w:rFonts w:hint="eastAsia" w:ascii="Times New Roman" w:hAnsi="Times New Roman"/>
                <w:b/>
                <w:bCs/>
                <w:color w:val="auto"/>
                <w:kern w:val="0"/>
                <w:sz w:val="24"/>
                <w:szCs w:val="24"/>
                <w:lang w:val="en-US" w:eastAsia="zh-CN" w:bidi="ar"/>
              </w:rPr>
              <w:t>八</w:t>
            </w:r>
            <w:r>
              <w:rPr>
                <w:rFonts w:hint="eastAsia" w:ascii="Times New Roman" w:hAnsi="Times New Roman"/>
                <w:b/>
                <w:bCs/>
                <w:color w:val="auto"/>
                <w:kern w:val="0"/>
                <w:sz w:val="24"/>
                <w:szCs w:val="24"/>
                <w:lang w:bidi="ar"/>
              </w:rPr>
              <w:t>、公用工程</w:t>
            </w:r>
          </w:p>
          <w:p w14:paraId="5D95D273">
            <w:pPr>
              <w:tabs>
                <w:tab w:val="left" w:pos="3102"/>
              </w:tabs>
              <w:spacing w:line="360" w:lineRule="auto"/>
              <w:ind w:firstLine="480" w:firstLineChars="200"/>
              <w:rPr>
                <w:bCs/>
                <w:color w:val="auto"/>
                <w:sz w:val="24"/>
                <w:szCs w:val="24"/>
                <w:lang w:bidi="ar"/>
              </w:rPr>
            </w:pPr>
            <w:r>
              <w:rPr>
                <w:rFonts w:hint="eastAsia" w:ascii="宋体" w:hAnsi="宋体" w:cs="宋体"/>
                <w:bCs/>
                <w:color w:val="auto"/>
                <w:sz w:val="24"/>
                <w:szCs w:val="24"/>
                <w:lang w:bidi="ar"/>
              </w:rPr>
              <w:t>①</w:t>
            </w:r>
            <w:r>
              <w:rPr>
                <w:rFonts w:hint="eastAsia" w:ascii="宋体" w:hAnsi="宋体" w:cs="宋体"/>
                <w:bCs/>
                <w:color w:val="auto"/>
                <w:sz w:val="24"/>
                <w:szCs w:val="24"/>
                <w:lang w:val="en-US" w:eastAsia="zh-CN" w:bidi="ar"/>
              </w:rPr>
              <w:t>供</w:t>
            </w:r>
            <w:r>
              <w:rPr>
                <w:bCs/>
                <w:color w:val="auto"/>
                <w:sz w:val="24"/>
                <w:szCs w:val="24"/>
                <w:lang w:bidi="ar"/>
              </w:rPr>
              <w:t>水：本项目用水</w:t>
            </w:r>
            <w:r>
              <w:rPr>
                <w:rFonts w:hint="default" w:ascii="Times New Roman" w:hAnsi="Times New Roman" w:eastAsia="宋体" w:cs="Times New Roman"/>
                <w:color w:val="auto"/>
                <w:kern w:val="0"/>
                <w:sz w:val="24"/>
                <w:szCs w:val="24"/>
                <w:highlight w:val="none"/>
                <w:lang w:val="en-US" w:eastAsia="zh-CN"/>
              </w:rPr>
              <w:t>由</w:t>
            </w:r>
            <w:r>
              <w:rPr>
                <w:rFonts w:hint="eastAsia" w:cs="Times New Roman"/>
                <w:color w:val="auto"/>
                <w:kern w:val="0"/>
                <w:sz w:val="24"/>
                <w:szCs w:val="24"/>
                <w:highlight w:val="none"/>
                <w:lang w:val="en-US" w:eastAsia="zh-CN"/>
              </w:rPr>
              <w:t>市政</w:t>
            </w:r>
            <w:r>
              <w:rPr>
                <w:rFonts w:hint="default" w:ascii="Times New Roman" w:hAnsi="Times New Roman" w:eastAsia="宋体" w:cs="Times New Roman"/>
                <w:color w:val="auto"/>
                <w:kern w:val="0"/>
                <w:sz w:val="24"/>
                <w:szCs w:val="24"/>
                <w:highlight w:val="none"/>
                <w:lang w:val="en-US" w:eastAsia="zh-CN"/>
              </w:rPr>
              <w:t>管网供给</w:t>
            </w:r>
            <w:r>
              <w:rPr>
                <w:bCs/>
                <w:color w:val="auto"/>
                <w:sz w:val="24"/>
                <w:szCs w:val="24"/>
                <w:lang w:bidi="ar"/>
              </w:rPr>
              <w:t>。</w:t>
            </w:r>
          </w:p>
          <w:p w14:paraId="48B7BD8F">
            <w:pPr>
              <w:tabs>
                <w:tab w:val="left" w:pos="3102"/>
              </w:tabs>
              <w:spacing w:line="360" w:lineRule="auto"/>
              <w:ind w:firstLine="480" w:firstLineChars="200"/>
              <w:rPr>
                <w:rFonts w:hint="default"/>
                <w:bCs/>
                <w:color w:val="auto"/>
                <w:sz w:val="24"/>
                <w:szCs w:val="24"/>
                <w:lang w:val="en-US" w:bidi="ar"/>
              </w:rPr>
            </w:pPr>
            <w:r>
              <w:rPr>
                <w:rFonts w:hint="eastAsia" w:ascii="宋体" w:hAnsi="宋体" w:cs="宋体"/>
                <w:bCs/>
                <w:color w:val="auto"/>
                <w:sz w:val="24"/>
                <w:szCs w:val="24"/>
                <w:lang w:bidi="ar"/>
              </w:rPr>
              <w:t>②</w:t>
            </w:r>
            <w:r>
              <w:rPr>
                <w:rFonts w:hint="eastAsia" w:ascii="Times New Roman" w:hAnsi="Times New Roman"/>
                <w:color w:val="auto"/>
                <w:kern w:val="0"/>
                <w:sz w:val="24"/>
                <w:szCs w:val="24"/>
                <w:lang w:bidi="ar"/>
              </w:rPr>
              <w:t>供电：</w:t>
            </w:r>
            <w:r>
              <w:rPr>
                <w:rFonts w:hint="eastAsia"/>
                <w:color w:val="auto"/>
                <w:kern w:val="0"/>
                <w:sz w:val="24"/>
                <w:szCs w:val="24"/>
                <w:lang w:val="en-US" w:eastAsia="zh-CN" w:bidi="ar"/>
              </w:rPr>
              <w:t>本</w:t>
            </w:r>
            <w:r>
              <w:rPr>
                <w:rFonts w:hint="eastAsia" w:ascii="Times New Roman" w:hAnsi="Times New Roman"/>
                <w:color w:val="auto"/>
                <w:kern w:val="0"/>
                <w:sz w:val="24"/>
                <w:szCs w:val="24"/>
                <w:lang w:bidi="ar"/>
              </w:rPr>
              <w:t>项目</w:t>
            </w:r>
            <w:r>
              <w:rPr>
                <w:rFonts w:hint="eastAsia"/>
                <w:color w:val="auto"/>
                <w:kern w:val="0"/>
                <w:sz w:val="24"/>
                <w:szCs w:val="24"/>
                <w:lang w:val="en-US" w:eastAsia="zh-CN" w:bidi="ar"/>
              </w:rPr>
              <w:t>用电</w:t>
            </w:r>
            <w:r>
              <w:rPr>
                <w:rFonts w:hint="eastAsia" w:ascii="Times New Roman" w:hAnsi="Times New Roman"/>
                <w:color w:val="auto"/>
                <w:kern w:val="0"/>
                <w:sz w:val="24"/>
                <w:szCs w:val="24"/>
                <w:lang w:bidi="ar"/>
              </w:rPr>
              <w:t>由市政</w:t>
            </w:r>
            <w:r>
              <w:rPr>
                <w:rFonts w:hint="eastAsia"/>
                <w:color w:val="auto"/>
                <w:kern w:val="0"/>
                <w:sz w:val="24"/>
                <w:szCs w:val="24"/>
                <w:lang w:val="en-US" w:eastAsia="zh-CN" w:bidi="ar"/>
              </w:rPr>
              <w:t>电网供给。</w:t>
            </w:r>
          </w:p>
          <w:p w14:paraId="4448E090">
            <w:pPr>
              <w:spacing w:line="360" w:lineRule="auto"/>
              <w:ind w:firstLine="480" w:firstLineChars="200"/>
              <w:rPr>
                <w:rFonts w:hint="eastAsia" w:eastAsia="宋体"/>
                <w:bCs/>
                <w:color w:val="auto"/>
                <w:lang w:eastAsia="zh-CN"/>
              </w:rPr>
            </w:pPr>
            <w:r>
              <w:rPr>
                <w:rFonts w:hint="eastAsia" w:ascii="宋体" w:hAnsi="宋体" w:eastAsia="宋体" w:cs="宋体"/>
                <w:bCs/>
                <w:color w:val="auto"/>
                <w:sz w:val="24"/>
                <w:szCs w:val="24"/>
                <w:lang w:bidi="ar"/>
              </w:rPr>
              <w:t>③</w:t>
            </w:r>
            <w:r>
              <w:rPr>
                <w:bCs/>
                <w:color w:val="auto"/>
                <w:sz w:val="24"/>
                <w:szCs w:val="24"/>
                <w:lang w:bidi="ar"/>
              </w:rPr>
              <w:t>排水：</w:t>
            </w:r>
            <w:r>
              <w:rPr>
                <w:rFonts w:hint="default" w:ascii="Times New Roman" w:hAnsi="Times New Roman" w:cs="Times New Roman"/>
                <w:b w:val="0"/>
                <w:bCs/>
                <w:color w:val="auto"/>
                <w:sz w:val="24"/>
                <w:szCs w:val="24"/>
                <w:lang w:val="en-US" w:eastAsia="zh-CN"/>
              </w:rPr>
              <w:t>排水体制为雨、污分流</w:t>
            </w:r>
            <w:r>
              <w:rPr>
                <w:rFonts w:hint="default"/>
                <w:b w:val="0"/>
                <w:bCs/>
                <w:color w:val="auto"/>
                <w:sz w:val="24"/>
                <w:szCs w:val="24"/>
                <w:lang w:val="en-US" w:eastAsia="zh-CN"/>
              </w:rPr>
              <w:t>制</w:t>
            </w:r>
            <w:r>
              <w:rPr>
                <w:rFonts w:hint="eastAsia"/>
                <w:b w:val="0"/>
                <w:bCs/>
                <w:color w:val="auto"/>
                <w:sz w:val="24"/>
                <w:szCs w:val="24"/>
                <w:lang w:val="en-US" w:eastAsia="zh-CN"/>
              </w:rPr>
              <w:t>，</w:t>
            </w:r>
            <w:r>
              <w:rPr>
                <w:rFonts w:hint="eastAsia"/>
                <w:color w:val="auto"/>
                <w:sz w:val="24"/>
                <w:szCs w:val="24"/>
                <w:lang w:val="en-US" w:eastAsia="zh-CN"/>
              </w:rPr>
              <w:t>初期</w:t>
            </w:r>
            <w:r>
              <w:rPr>
                <w:color w:val="auto"/>
                <w:sz w:val="24"/>
                <w:szCs w:val="24"/>
              </w:rPr>
              <w:t>雨水</w:t>
            </w:r>
            <w:r>
              <w:rPr>
                <w:rFonts w:hint="eastAsia"/>
                <w:color w:val="auto"/>
                <w:sz w:val="24"/>
                <w:szCs w:val="24"/>
                <w:lang w:val="en-US" w:eastAsia="zh-CN"/>
              </w:rPr>
              <w:t>经</w:t>
            </w:r>
            <w:r>
              <w:rPr>
                <w:color w:val="auto"/>
                <w:sz w:val="24"/>
                <w:szCs w:val="24"/>
              </w:rPr>
              <w:t>雨水</w:t>
            </w:r>
            <w:r>
              <w:rPr>
                <w:rFonts w:hint="eastAsia"/>
                <w:color w:val="auto"/>
                <w:sz w:val="24"/>
                <w:szCs w:val="24"/>
                <w:lang w:val="en-US" w:eastAsia="zh-CN"/>
              </w:rPr>
              <w:t>管道</w:t>
            </w:r>
            <w:r>
              <w:rPr>
                <w:color w:val="auto"/>
                <w:sz w:val="24"/>
                <w:szCs w:val="24"/>
              </w:rPr>
              <w:t>排入</w:t>
            </w:r>
            <w:r>
              <w:rPr>
                <w:rFonts w:hint="eastAsia"/>
                <w:color w:val="auto"/>
                <w:sz w:val="24"/>
                <w:szCs w:val="24"/>
                <w:lang w:val="en-US" w:eastAsia="zh-CN"/>
              </w:rPr>
              <w:t>周边林地</w:t>
            </w:r>
            <w:r>
              <w:rPr>
                <w:rFonts w:hint="eastAsia"/>
                <w:color w:val="auto"/>
                <w:sz w:val="24"/>
                <w:szCs w:val="24"/>
              </w:rPr>
              <w:t>；</w:t>
            </w:r>
            <w:r>
              <w:rPr>
                <w:rFonts w:hint="eastAsia"/>
                <w:color w:val="auto"/>
                <w:sz w:val="24"/>
                <w:szCs w:val="24"/>
                <w:lang w:bidi="ar"/>
              </w:rPr>
              <w:t>生活污水</w:t>
            </w:r>
            <w:r>
              <w:rPr>
                <w:rFonts w:hint="eastAsia"/>
                <w:color w:val="auto"/>
                <w:sz w:val="24"/>
                <w:szCs w:val="24"/>
                <w:lang w:val="en-US" w:eastAsia="zh-CN" w:bidi="ar"/>
              </w:rPr>
              <w:t>经</w:t>
            </w:r>
            <w:r>
              <w:rPr>
                <w:rFonts w:hint="eastAsia"/>
                <w:color w:val="auto"/>
                <w:sz w:val="24"/>
                <w:szCs w:val="24"/>
                <w:lang w:bidi="ar"/>
              </w:rPr>
              <w:t>化粪池</w:t>
            </w:r>
            <w:r>
              <w:rPr>
                <w:rFonts w:hint="eastAsia"/>
                <w:color w:val="auto"/>
                <w:sz w:val="24"/>
                <w:szCs w:val="24"/>
                <w:lang w:val="en-US" w:eastAsia="zh-CN" w:bidi="ar"/>
              </w:rPr>
              <w:t>预</w:t>
            </w:r>
            <w:r>
              <w:rPr>
                <w:rFonts w:hint="eastAsia"/>
                <w:color w:val="auto"/>
                <w:sz w:val="24"/>
                <w:szCs w:val="24"/>
                <w:lang w:bidi="ar"/>
              </w:rPr>
              <w:t>处理</w:t>
            </w:r>
            <w:r>
              <w:rPr>
                <w:rFonts w:hint="eastAsia"/>
                <w:color w:val="auto"/>
                <w:sz w:val="24"/>
                <w:szCs w:val="24"/>
                <w:lang w:val="en-US" w:eastAsia="zh-CN" w:bidi="ar"/>
              </w:rPr>
              <w:t>后</w:t>
            </w:r>
            <w:r>
              <w:rPr>
                <w:rFonts w:hint="eastAsia"/>
                <w:color w:val="auto"/>
                <w:sz w:val="24"/>
                <w:szCs w:val="24"/>
              </w:rPr>
              <w:t>用于周边</w:t>
            </w:r>
            <w:r>
              <w:rPr>
                <w:rFonts w:hint="eastAsia"/>
                <w:color w:val="auto"/>
                <w:sz w:val="24"/>
                <w:szCs w:val="24"/>
                <w:lang w:val="en-US" w:eastAsia="zh-CN"/>
              </w:rPr>
              <w:t>林地施肥</w:t>
            </w:r>
            <w:r>
              <w:rPr>
                <w:rFonts w:hint="eastAsia"/>
                <w:color w:val="auto"/>
                <w:sz w:val="24"/>
                <w:szCs w:val="24"/>
              </w:rPr>
              <w:t>，不外排</w:t>
            </w:r>
            <w:r>
              <w:rPr>
                <w:rFonts w:hint="eastAsia"/>
                <w:color w:val="auto"/>
                <w:sz w:val="24"/>
                <w:szCs w:val="24"/>
                <w:lang w:eastAsia="zh-CN"/>
              </w:rPr>
              <w:t>。</w:t>
            </w:r>
          </w:p>
          <w:p w14:paraId="5B104F07">
            <w:pPr>
              <w:pStyle w:val="3"/>
              <w:spacing w:before="0" w:after="0" w:line="360" w:lineRule="auto"/>
              <w:ind w:firstLine="482" w:firstLineChars="200"/>
              <w:rPr>
                <w:color w:val="auto"/>
                <w:kern w:val="0"/>
                <w:sz w:val="24"/>
                <w:szCs w:val="24"/>
                <w:lang w:bidi="ar"/>
              </w:rPr>
            </w:pPr>
            <w:r>
              <w:rPr>
                <w:rFonts w:hint="eastAsia"/>
                <w:color w:val="auto"/>
                <w:kern w:val="0"/>
                <w:sz w:val="24"/>
                <w:szCs w:val="24"/>
                <w:lang w:val="en-US" w:eastAsia="zh-CN" w:bidi="ar"/>
              </w:rPr>
              <w:t>九</w:t>
            </w:r>
            <w:r>
              <w:rPr>
                <w:rFonts w:hint="eastAsia"/>
                <w:color w:val="auto"/>
                <w:kern w:val="0"/>
                <w:sz w:val="24"/>
                <w:szCs w:val="24"/>
                <w:lang w:bidi="ar"/>
              </w:rPr>
              <w:t>、水量平衡</w:t>
            </w:r>
          </w:p>
          <w:p w14:paraId="16E24FA9">
            <w:pPr>
              <w:tabs>
                <w:tab w:val="left" w:pos="950"/>
              </w:tabs>
              <w:spacing w:line="360" w:lineRule="auto"/>
              <w:ind w:firstLine="480"/>
              <w:rPr>
                <w:color w:val="auto"/>
              </w:rPr>
            </w:pPr>
            <w:r>
              <w:rPr>
                <w:rFonts w:hint="eastAsia"/>
                <w:color w:val="auto"/>
                <w:sz w:val="24"/>
              </w:rPr>
              <w:t>（1）</w:t>
            </w:r>
            <w:r>
              <w:rPr>
                <w:color w:val="auto"/>
                <w:sz w:val="24"/>
              </w:rPr>
              <w:t>生活污水</w:t>
            </w:r>
          </w:p>
          <w:p w14:paraId="7F056956">
            <w:pPr>
              <w:keepNext w:val="0"/>
              <w:keepLines w:val="0"/>
              <w:suppressLineNumbers w:val="0"/>
              <w:adjustRightInd w:val="0"/>
              <w:snapToGrid w:val="0"/>
              <w:spacing w:before="0" w:beforeAutospacing="0" w:after="0" w:afterAutospacing="0" w:line="360" w:lineRule="auto"/>
              <w:ind w:left="0" w:leftChars="0" w:right="0" w:firstLine="480" w:firstLineChars="200"/>
              <w:jc w:val="both"/>
              <w:rPr>
                <w:rFonts w:hint="default" w:ascii="Times New Roman" w:hAnsi="Times New Roman" w:cs="Times New Roman"/>
                <w:color w:val="FF0000"/>
                <w:sz w:val="24"/>
                <w:highlight w:val="none"/>
                <w:lang w:val="en-US" w:eastAsia="zh-CN"/>
              </w:rPr>
            </w:pPr>
            <w:r>
              <w:rPr>
                <w:rFonts w:hint="default" w:ascii="Times New Roman" w:hAnsi="Times New Roman" w:cs="Times New Roman"/>
                <w:color w:val="FF0000"/>
                <w:sz w:val="24"/>
                <w:highlight w:val="none"/>
              </w:rPr>
              <w:t>项目劳动定员为</w:t>
            </w:r>
            <w:r>
              <w:rPr>
                <w:rFonts w:hint="default" w:ascii="Times New Roman" w:hAnsi="Times New Roman" w:cs="Times New Roman"/>
                <w:color w:val="FF0000"/>
                <w:sz w:val="24"/>
                <w:highlight w:val="none"/>
                <w:lang w:val="en-US" w:eastAsia="zh-CN"/>
              </w:rPr>
              <w:t>1</w:t>
            </w:r>
            <w:r>
              <w:rPr>
                <w:rFonts w:hint="eastAsia" w:cs="Times New Roman"/>
                <w:color w:val="FF0000"/>
                <w:sz w:val="24"/>
                <w:highlight w:val="none"/>
                <w:lang w:val="en-US" w:eastAsia="zh-CN"/>
              </w:rPr>
              <w:t>3</w:t>
            </w:r>
            <w:r>
              <w:rPr>
                <w:rFonts w:hint="default" w:ascii="Times New Roman" w:hAnsi="Times New Roman" w:cs="Times New Roman"/>
                <w:color w:val="FF0000"/>
                <w:sz w:val="24"/>
                <w:highlight w:val="none"/>
              </w:rPr>
              <w:t>人，项目年工</w:t>
            </w:r>
            <w:r>
              <w:rPr>
                <w:rFonts w:hint="default" w:ascii="Times New Roman" w:hAnsi="Times New Roman" w:cs="Times New Roman"/>
                <w:color w:val="FF0000"/>
                <w:sz w:val="24"/>
                <w:szCs w:val="24"/>
                <w:lang w:val="en-US" w:eastAsia="zh-CN"/>
              </w:rPr>
              <w:t>作3</w:t>
            </w:r>
            <w:r>
              <w:rPr>
                <w:rFonts w:hint="eastAsia" w:cs="Times New Roman"/>
                <w:color w:val="FF0000"/>
                <w:sz w:val="24"/>
                <w:szCs w:val="24"/>
                <w:lang w:val="en-US" w:eastAsia="zh-CN"/>
              </w:rPr>
              <w:t>1</w:t>
            </w:r>
            <w:r>
              <w:rPr>
                <w:rFonts w:hint="default" w:ascii="Times New Roman" w:hAnsi="Times New Roman" w:cs="Times New Roman"/>
                <w:color w:val="FF0000"/>
                <w:sz w:val="24"/>
                <w:szCs w:val="24"/>
                <w:lang w:val="en-US" w:eastAsia="zh-CN"/>
              </w:rPr>
              <w:t>0天</w:t>
            </w:r>
            <w:r>
              <w:rPr>
                <w:rFonts w:hint="eastAsia" w:cs="Times New Roman"/>
                <w:color w:val="FF0000"/>
                <w:sz w:val="24"/>
                <w:szCs w:val="24"/>
                <w:lang w:val="en-US" w:eastAsia="zh-CN"/>
              </w:rPr>
              <w:t>，</w:t>
            </w:r>
            <w:r>
              <w:rPr>
                <w:rFonts w:hint="eastAsia" w:cs="Times New Roman"/>
                <w:color w:val="FF0000"/>
                <w:sz w:val="24"/>
                <w:highlight w:val="none"/>
                <w:lang w:val="en-US" w:eastAsia="zh-CN"/>
              </w:rPr>
              <w:t>一班制</w:t>
            </w:r>
            <w:r>
              <w:rPr>
                <w:rFonts w:hint="default" w:ascii="Times New Roman" w:hAnsi="Times New Roman" w:cs="Times New Roman"/>
                <w:color w:val="FF0000"/>
                <w:sz w:val="24"/>
                <w:szCs w:val="24"/>
                <w:lang w:val="en-US" w:eastAsia="zh-CN"/>
              </w:rPr>
              <w:t>，厂内无住宿。参照</w:t>
            </w:r>
            <w:r>
              <w:rPr>
                <w:rFonts w:hint="eastAsia" w:cs="Times New Roman"/>
                <w:color w:val="FF0000"/>
                <w:sz w:val="24"/>
                <w:szCs w:val="24"/>
                <w:lang w:val="en-US" w:eastAsia="zh-CN"/>
              </w:rPr>
              <w:t>《</w:t>
            </w:r>
            <w:r>
              <w:rPr>
                <w:rFonts w:hint="default" w:ascii="Times New Roman" w:hAnsi="Times New Roman" w:cs="Times New Roman"/>
                <w:color w:val="FF0000"/>
                <w:sz w:val="24"/>
                <w:szCs w:val="24"/>
                <w:lang w:val="en-US" w:eastAsia="zh-CN"/>
              </w:rPr>
              <w:t>建筑给水排水设计标准</w:t>
            </w:r>
            <w:r>
              <w:rPr>
                <w:rFonts w:hint="eastAsia" w:cs="Times New Roman"/>
                <w:color w:val="FF0000"/>
                <w:sz w:val="24"/>
                <w:szCs w:val="24"/>
                <w:lang w:val="en-US" w:eastAsia="zh-CN"/>
              </w:rPr>
              <w:t>》（</w:t>
            </w:r>
            <w:r>
              <w:rPr>
                <w:rFonts w:hint="default" w:ascii="Times New Roman" w:hAnsi="Times New Roman" w:cs="Times New Roman"/>
                <w:color w:val="FF0000"/>
                <w:sz w:val="24"/>
                <w:szCs w:val="24"/>
                <w:lang w:val="en-US" w:eastAsia="zh-CN"/>
              </w:rPr>
              <w:t>GB50015-2019</w:t>
            </w:r>
            <w:r>
              <w:rPr>
                <w:rFonts w:hint="eastAsia" w:cs="Times New Roman"/>
                <w:color w:val="FF0000"/>
                <w:sz w:val="24"/>
                <w:szCs w:val="24"/>
                <w:lang w:val="en-US" w:eastAsia="zh-CN"/>
              </w:rPr>
              <w:t>）表3.2.2中办公用水定额，每人每班最高用水量为30~50L/天（本项目员工每日用水量按最大50L计）。</w:t>
            </w:r>
            <w:r>
              <w:rPr>
                <w:rFonts w:hint="default" w:ascii="Times New Roman" w:hAnsi="Times New Roman" w:cs="Times New Roman"/>
                <w:color w:val="FF0000"/>
                <w:sz w:val="24"/>
                <w:highlight w:val="none"/>
              </w:rPr>
              <w:t>故项目生活用水量为</w:t>
            </w:r>
            <w:r>
              <w:rPr>
                <w:rFonts w:hint="eastAsia" w:cs="Times New Roman"/>
                <w:color w:val="FF0000"/>
                <w:sz w:val="24"/>
                <w:highlight w:val="none"/>
                <w:lang w:val="en-US" w:eastAsia="zh-CN"/>
              </w:rPr>
              <w:t>201.5</w:t>
            </w:r>
            <w:r>
              <w:rPr>
                <w:rFonts w:hint="default" w:ascii="Times New Roman" w:hAnsi="Times New Roman" w:cs="Times New Roman"/>
                <w:color w:val="FF0000"/>
                <w:sz w:val="24"/>
                <w:highlight w:val="none"/>
              </w:rPr>
              <w:t>m</w:t>
            </w:r>
            <w:r>
              <w:rPr>
                <w:rFonts w:hint="default" w:ascii="Times New Roman" w:hAnsi="Times New Roman" w:cs="Times New Roman"/>
                <w:color w:val="FF0000"/>
                <w:sz w:val="24"/>
                <w:highlight w:val="none"/>
                <w:vertAlign w:val="superscript"/>
              </w:rPr>
              <w:t>3</w:t>
            </w:r>
            <w:r>
              <w:rPr>
                <w:rFonts w:hint="default" w:ascii="Times New Roman" w:hAnsi="Times New Roman" w:cs="Times New Roman"/>
                <w:color w:val="FF0000"/>
                <w:sz w:val="24"/>
                <w:highlight w:val="none"/>
              </w:rPr>
              <w:t>/a（</w:t>
            </w:r>
            <w:r>
              <w:rPr>
                <w:rFonts w:hint="eastAsia" w:cs="Times New Roman"/>
                <w:color w:val="FF0000"/>
                <w:sz w:val="24"/>
                <w:highlight w:val="none"/>
                <w:lang w:val="en-US" w:eastAsia="zh-CN"/>
              </w:rPr>
              <w:t>0.65</w:t>
            </w:r>
            <w:r>
              <w:rPr>
                <w:rFonts w:hint="default" w:ascii="Times New Roman" w:hAnsi="Times New Roman" w:cs="Times New Roman"/>
                <w:color w:val="FF0000"/>
                <w:sz w:val="24"/>
                <w:highlight w:val="none"/>
              </w:rPr>
              <w:t>m</w:t>
            </w:r>
            <w:r>
              <w:rPr>
                <w:rFonts w:hint="default" w:ascii="Times New Roman" w:hAnsi="Times New Roman" w:cs="Times New Roman"/>
                <w:color w:val="FF0000"/>
                <w:sz w:val="24"/>
                <w:highlight w:val="none"/>
                <w:vertAlign w:val="superscript"/>
              </w:rPr>
              <w:t>3</w:t>
            </w:r>
            <w:r>
              <w:rPr>
                <w:rFonts w:hint="default" w:ascii="Times New Roman" w:hAnsi="Times New Roman" w:cs="Times New Roman"/>
                <w:color w:val="FF0000"/>
                <w:sz w:val="24"/>
                <w:highlight w:val="none"/>
              </w:rPr>
              <w:t>/d），排污系数按0.8计，则生活污水排放量为</w:t>
            </w:r>
            <w:r>
              <w:rPr>
                <w:rFonts w:hint="eastAsia" w:cs="Times New Roman"/>
                <w:color w:val="FF0000"/>
                <w:sz w:val="24"/>
                <w:highlight w:val="none"/>
                <w:lang w:val="en-US" w:eastAsia="zh-CN"/>
              </w:rPr>
              <w:t>161.2</w:t>
            </w:r>
            <w:r>
              <w:rPr>
                <w:rFonts w:hint="default" w:ascii="Times New Roman" w:hAnsi="Times New Roman" w:cs="Times New Roman"/>
                <w:color w:val="FF0000"/>
                <w:sz w:val="24"/>
                <w:highlight w:val="none"/>
              </w:rPr>
              <w:t>m</w:t>
            </w:r>
            <w:r>
              <w:rPr>
                <w:rFonts w:hint="default" w:ascii="Times New Roman" w:hAnsi="Times New Roman" w:cs="Times New Roman"/>
                <w:color w:val="FF0000"/>
                <w:sz w:val="24"/>
                <w:highlight w:val="none"/>
                <w:vertAlign w:val="superscript"/>
              </w:rPr>
              <w:t>3</w:t>
            </w:r>
            <w:r>
              <w:rPr>
                <w:rFonts w:hint="default" w:ascii="Times New Roman" w:hAnsi="Times New Roman" w:cs="Times New Roman"/>
                <w:color w:val="FF0000"/>
                <w:sz w:val="24"/>
                <w:highlight w:val="none"/>
              </w:rPr>
              <w:t>/a（</w:t>
            </w:r>
            <w:r>
              <w:rPr>
                <w:rFonts w:hint="eastAsia" w:ascii="Times New Roman" w:hAnsi="Times New Roman" w:cs="Times New Roman"/>
                <w:color w:val="FF0000"/>
                <w:sz w:val="24"/>
                <w:highlight w:val="none"/>
                <w:lang w:val="en-US" w:eastAsia="zh-CN"/>
              </w:rPr>
              <w:t>0.</w:t>
            </w:r>
            <w:r>
              <w:rPr>
                <w:rFonts w:hint="eastAsia" w:cs="Times New Roman"/>
                <w:color w:val="FF0000"/>
                <w:sz w:val="24"/>
                <w:highlight w:val="none"/>
                <w:lang w:val="en-US" w:eastAsia="zh-CN"/>
              </w:rPr>
              <w:t>52</w:t>
            </w:r>
            <w:r>
              <w:rPr>
                <w:rFonts w:hint="default" w:ascii="Times New Roman" w:hAnsi="Times New Roman" w:cs="Times New Roman"/>
                <w:color w:val="FF0000"/>
                <w:sz w:val="24"/>
                <w:highlight w:val="none"/>
                <w:lang w:val="en-US" w:eastAsia="zh-CN"/>
              </w:rPr>
              <w:t>m</w:t>
            </w:r>
            <w:r>
              <w:rPr>
                <w:rFonts w:hint="default" w:ascii="Times New Roman" w:hAnsi="Times New Roman" w:cs="Times New Roman"/>
                <w:color w:val="FF0000"/>
                <w:sz w:val="24"/>
                <w:highlight w:val="none"/>
                <w:vertAlign w:val="superscript"/>
              </w:rPr>
              <w:t>3</w:t>
            </w:r>
            <w:r>
              <w:rPr>
                <w:rFonts w:hint="default" w:ascii="Times New Roman" w:hAnsi="Times New Roman" w:cs="Times New Roman"/>
                <w:color w:val="FF0000"/>
                <w:sz w:val="24"/>
                <w:highlight w:val="none"/>
              </w:rPr>
              <w:t>/d）。</w:t>
            </w:r>
          </w:p>
          <w:p w14:paraId="58F2EAE1">
            <w:pPr>
              <w:pStyle w:val="16"/>
              <w:spacing w:line="360" w:lineRule="auto"/>
              <w:rPr>
                <w:rFonts w:hint="eastAsia" w:ascii="Times New Roman" w:hAnsi="Times New Roman" w:eastAsia="宋体"/>
                <w:color w:val="auto"/>
                <w:kern w:val="0"/>
                <w:sz w:val="24"/>
                <w:szCs w:val="24"/>
                <w:lang w:eastAsia="zh-CN" w:bidi="ar"/>
              </w:rPr>
            </w:pPr>
            <w:r>
              <w:rPr>
                <w:color w:val="auto"/>
              </w:rPr>
              <w:drawing>
                <wp:inline distT="0" distB="0" distL="114300" distR="114300">
                  <wp:extent cx="5405120" cy="1177290"/>
                  <wp:effectExtent l="0" t="0" r="5080" b="3810"/>
                  <wp:docPr id="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pic:cNvPicPr>
                            <a:picLocks noChangeAspect="1"/>
                          </pic:cNvPicPr>
                        </pic:nvPicPr>
                        <pic:blipFill>
                          <a:blip r:embed="rId14"/>
                          <a:stretch>
                            <a:fillRect/>
                          </a:stretch>
                        </pic:blipFill>
                        <pic:spPr>
                          <a:xfrm>
                            <a:off x="0" y="0"/>
                            <a:ext cx="5405120" cy="1177290"/>
                          </a:xfrm>
                          <a:prstGeom prst="rect">
                            <a:avLst/>
                          </a:prstGeom>
                          <a:noFill/>
                          <a:ln>
                            <a:noFill/>
                          </a:ln>
                        </pic:spPr>
                      </pic:pic>
                    </a:graphicData>
                  </a:graphic>
                </wp:inline>
              </w:drawing>
            </w:r>
          </w:p>
          <w:p w14:paraId="7CB77C9B">
            <w:pPr>
              <w:pStyle w:val="16"/>
              <w:spacing w:line="360" w:lineRule="auto"/>
              <w:jc w:val="center"/>
              <w:rPr>
                <w:color w:val="auto"/>
              </w:rPr>
            </w:pPr>
            <w:r>
              <w:rPr>
                <w:rFonts w:hint="eastAsia"/>
                <w:b/>
                <w:bCs/>
                <w:color w:val="auto"/>
                <w:sz w:val="24"/>
                <w:szCs w:val="24"/>
              </w:rPr>
              <w:t>图</w:t>
            </w:r>
            <w:r>
              <w:rPr>
                <w:rFonts w:ascii="Times New Roman" w:hAnsi="Times New Roman"/>
                <w:b/>
                <w:bCs/>
                <w:color w:val="auto"/>
                <w:sz w:val="24"/>
                <w:szCs w:val="24"/>
              </w:rPr>
              <w:t>2-</w:t>
            </w:r>
            <w:r>
              <w:rPr>
                <w:rFonts w:hint="eastAsia" w:ascii="Times New Roman" w:hAnsi="Times New Roman"/>
                <w:b/>
                <w:bCs/>
                <w:color w:val="auto"/>
                <w:sz w:val="24"/>
                <w:szCs w:val="24"/>
              </w:rPr>
              <w:t xml:space="preserve">1  </w:t>
            </w:r>
            <w:r>
              <w:rPr>
                <w:rFonts w:hint="eastAsia" w:hAnsi="宋体" w:cs="宋体"/>
                <w:b/>
                <w:bCs/>
                <w:color w:val="auto"/>
                <w:sz w:val="24"/>
                <w:szCs w:val="24"/>
              </w:rPr>
              <w:t>项目水平衡图</w:t>
            </w:r>
            <w:r>
              <w:rPr>
                <w:rFonts w:hint="default" w:ascii="Times New Roman" w:hAnsi="Times New Roman" w:cs="Times New Roman"/>
                <w:b/>
                <w:bCs/>
                <w:color w:val="auto"/>
                <w:sz w:val="24"/>
                <w:szCs w:val="24"/>
              </w:rPr>
              <w:t>（</w:t>
            </w:r>
            <w:r>
              <w:rPr>
                <w:rFonts w:hint="default" w:ascii="Times New Roman" w:hAnsi="Times New Roman" w:cs="Times New Roman"/>
                <w:b/>
                <w:bCs/>
                <w:color w:val="auto"/>
                <w:sz w:val="24"/>
                <w:szCs w:val="24"/>
                <w:lang w:val="en-US" w:eastAsia="zh-CN"/>
              </w:rPr>
              <w:t>m</w:t>
            </w:r>
            <w:r>
              <w:rPr>
                <w:rFonts w:hint="default" w:ascii="Times New Roman" w:hAnsi="Times New Roman" w:cs="Times New Roman"/>
                <w:b/>
                <w:bCs/>
                <w:color w:val="auto"/>
                <w:sz w:val="24"/>
                <w:szCs w:val="24"/>
                <w:vertAlign w:val="superscript"/>
                <w:lang w:val="en-US" w:eastAsia="zh-CN"/>
              </w:rPr>
              <w:t>3</w:t>
            </w:r>
            <w:r>
              <w:rPr>
                <w:rFonts w:hint="default" w:ascii="Times New Roman" w:hAnsi="Times New Roman" w:cs="Times New Roman"/>
                <w:b/>
                <w:bCs/>
                <w:color w:val="auto"/>
                <w:sz w:val="24"/>
                <w:szCs w:val="24"/>
              </w:rPr>
              <w:t>/d）</w:t>
            </w:r>
          </w:p>
        </w:tc>
      </w:tr>
      <w:tr w14:paraId="0CC988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1" w:type="dxa"/>
            <w:vAlign w:val="center"/>
          </w:tcPr>
          <w:p w14:paraId="2C4093CF">
            <w:pPr>
              <w:pStyle w:val="24"/>
              <w:adjustRightInd w:val="0"/>
              <w:snapToGrid w:val="0"/>
              <w:spacing w:before="0" w:beforeAutospacing="0" w:after="0" w:afterAutospacing="0"/>
              <w:jc w:val="center"/>
              <w:rPr>
                <w:rFonts w:cs="宋体"/>
                <w:color w:val="auto"/>
                <w:sz w:val="21"/>
                <w:szCs w:val="21"/>
                <w:highlight w:val="none"/>
              </w:rPr>
            </w:pPr>
            <w:r>
              <w:rPr>
                <w:rFonts w:hint="eastAsia" w:cs="宋体"/>
                <w:color w:val="auto"/>
                <w:sz w:val="21"/>
                <w:szCs w:val="21"/>
                <w:highlight w:val="none"/>
              </w:rPr>
              <w:t>工艺流程和产排污环节</w:t>
            </w:r>
          </w:p>
        </w:tc>
        <w:tc>
          <w:tcPr>
            <w:tcW w:w="8503" w:type="dxa"/>
            <w:vAlign w:val="top"/>
          </w:tcPr>
          <w:p w14:paraId="19BF21B1">
            <w:pPr>
              <w:keepNext w:val="0"/>
              <w:keepLines w:val="0"/>
              <w:widowControl/>
              <w:suppressLineNumbers w:val="0"/>
              <w:overflowPunct w:val="0"/>
              <w:topLinePunct/>
              <w:autoSpaceDE w:val="0"/>
              <w:snapToGrid w:val="0"/>
              <w:spacing w:before="0" w:beforeAutospacing="0" w:after="0" w:afterAutospacing="0" w:line="360" w:lineRule="auto"/>
              <w:ind w:left="0" w:leftChars="0" w:right="0" w:firstLine="0" w:firstLineChars="0"/>
              <w:rPr>
                <w:rFonts w:hint="default" w:ascii="Times New Roman" w:hAnsi="Times New Roman" w:cs="Times New Roman"/>
                <w:b/>
                <w:color w:val="auto"/>
                <w:sz w:val="28"/>
                <w:szCs w:val="28"/>
                <w:highlight w:val="none"/>
              </w:rPr>
            </w:pPr>
            <w:r>
              <w:rPr>
                <w:rFonts w:hint="default" w:ascii="Times New Roman" w:hAnsi="Times New Roman" w:cs="Times New Roman"/>
                <w:b/>
                <w:color w:val="auto"/>
                <w:sz w:val="24"/>
                <w:szCs w:val="24"/>
                <w:highlight w:val="none"/>
              </w:rPr>
              <w:t>工艺流程简述（图示）：</w:t>
            </w:r>
          </w:p>
          <w:p w14:paraId="4FFC3D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lang w:val="en-US" w:eastAsia="zh-CN"/>
              </w:rPr>
              <w:t>1、</w:t>
            </w:r>
            <w:r>
              <w:rPr>
                <w:rFonts w:hint="default" w:ascii="Times New Roman" w:hAnsi="Times New Roman" w:cs="Times New Roman"/>
                <w:b/>
                <w:bCs/>
                <w:color w:val="auto"/>
                <w:sz w:val="24"/>
                <w:szCs w:val="24"/>
                <w:highlight w:val="none"/>
              </w:rPr>
              <w:t>施工期</w:t>
            </w:r>
          </w:p>
          <w:p w14:paraId="43A9EB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b/>
                <w:bCs/>
                <w:color w:val="auto"/>
                <w:spacing w:val="0"/>
                <w:kern w:val="2"/>
                <w:sz w:val="24"/>
                <w:szCs w:val="24"/>
                <w:highlight w:val="none"/>
                <w:lang w:val="en-US" w:eastAsia="zh-CN" w:bidi="ar-SA"/>
              </w:rPr>
            </w:pPr>
            <w:r>
              <w:rPr>
                <w:rFonts w:hint="default" w:ascii="Times New Roman" w:hAnsi="Times New Roman" w:cs="Times New Roman"/>
                <w:color w:val="auto"/>
                <w:sz w:val="24"/>
                <w:szCs w:val="24"/>
                <w:highlight w:val="none"/>
                <w:lang w:val="en-US" w:eastAsia="zh-CN"/>
              </w:rPr>
              <w:t>本项目</w:t>
            </w:r>
            <w:r>
              <w:rPr>
                <w:rFonts w:hint="eastAsia" w:ascii="Times New Roman" w:hAnsi="Times New Roman" w:cs="Times New Roman"/>
                <w:color w:val="auto"/>
                <w:sz w:val="24"/>
                <w:szCs w:val="24"/>
                <w:highlight w:val="none"/>
                <w:lang w:val="en-US" w:eastAsia="zh-CN"/>
              </w:rPr>
              <w:t>为</w:t>
            </w:r>
            <w:r>
              <w:rPr>
                <w:rFonts w:hint="eastAsia" w:cs="Times New Roman"/>
                <w:color w:val="auto"/>
                <w:sz w:val="24"/>
                <w:szCs w:val="24"/>
                <w:highlight w:val="none"/>
                <w:lang w:val="en-US" w:eastAsia="zh-CN"/>
              </w:rPr>
              <w:t>新建</w:t>
            </w:r>
            <w:r>
              <w:rPr>
                <w:rFonts w:hint="eastAsia" w:ascii="Times New Roman" w:hAnsi="Times New Roman" w:cs="Times New Roman"/>
                <w:color w:val="auto"/>
                <w:sz w:val="24"/>
                <w:szCs w:val="24"/>
                <w:highlight w:val="none"/>
                <w:lang w:val="en-US" w:eastAsia="zh-CN"/>
              </w:rPr>
              <w:t>项目，</w:t>
            </w:r>
            <w:r>
              <w:rPr>
                <w:rFonts w:hint="eastAsia" w:cs="Times New Roman"/>
                <w:color w:val="auto"/>
                <w:sz w:val="24"/>
                <w:szCs w:val="24"/>
                <w:lang w:val="en-US" w:eastAsia="zh-CN"/>
              </w:rPr>
              <w:t>租用</w:t>
            </w:r>
            <w:r>
              <w:rPr>
                <w:rFonts w:hint="eastAsia"/>
                <w:color w:val="auto"/>
                <w:sz w:val="24"/>
                <w:lang w:val="en-US" w:eastAsia="zh-CN"/>
              </w:rPr>
              <w:t>高安市凯吉纸箱包装有限公司</w:t>
            </w:r>
            <w:r>
              <w:rPr>
                <w:rFonts w:hint="eastAsia" w:cs="Times New Roman"/>
                <w:color w:val="auto"/>
                <w:sz w:val="24"/>
                <w:szCs w:val="24"/>
                <w:lang w:val="en-US" w:eastAsia="zh-CN"/>
              </w:rPr>
              <w:t>闲置厂房进行建设，所租用厂房主体已建成，施工期主要为厂房改造、装修、设备与生产线安装调试，</w:t>
            </w:r>
            <w:r>
              <w:rPr>
                <w:rFonts w:hint="default" w:ascii="Times New Roman" w:hAnsi="Times New Roman" w:cs="Times New Roman"/>
                <w:color w:val="auto"/>
                <w:sz w:val="24"/>
                <w:szCs w:val="24"/>
                <w:lang w:val="en-US" w:eastAsia="zh-CN"/>
              </w:rPr>
              <w:t>产污</w:t>
            </w:r>
            <w:r>
              <w:rPr>
                <w:rFonts w:hint="eastAsia" w:cs="Times New Roman"/>
                <w:color w:val="auto"/>
                <w:sz w:val="24"/>
                <w:szCs w:val="24"/>
                <w:lang w:val="en-US" w:eastAsia="zh-CN"/>
              </w:rPr>
              <w:t>主要为施工过程中产生的噪声、建筑垃圾、扬尘、装修废气以及少量的废水，</w:t>
            </w:r>
            <w:r>
              <w:rPr>
                <w:rFonts w:hint="default" w:ascii="Times New Roman" w:hAnsi="Times New Roman" w:cs="Times New Roman"/>
                <w:color w:val="auto"/>
                <w:sz w:val="24"/>
                <w:szCs w:val="24"/>
                <w:lang w:val="en-US" w:eastAsia="zh-CN"/>
              </w:rPr>
              <w:t>施工流程及产污环节如下图2-</w:t>
            </w:r>
            <w:r>
              <w:rPr>
                <w:rFonts w:hint="eastAsia" w:cs="Times New Roman"/>
                <w:color w:val="auto"/>
                <w:sz w:val="24"/>
                <w:szCs w:val="24"/>
                <w:lang w:val="en-US" w:eastAsia="zh-CN"/>
              </w:rPr>
              <w:t>2</w:t>
            </w:r>
            <w:r>
              <w:rPr>
                <w:rFonts w:hint="default" w:ascii="Times New Roman" w:hAnsi="Times New Roman" w:cs="Times New Roman"/>
                <w:color w:val="auto"/>
                <w:sz w:val="24"/>
                <w:szCs w:val="24"/>
                <w:lang w:val="en-US" w:eastAsia="zh-CN"/>
              </w:rPr>
              <w:t>。</w:t>
            </w:r>
            <w:r>
              <w:rPr>
                <w:color w:val="auto"/>
              </w:rPr>
              <w:drawing>
                <wp:inline distT="0" distB="0" distL="114300" distR="114300">
                  <wp:extent cx="5168900" cy="1865630"/>
                  <wp:effectExtent l="0" t="0" r="12700" b="1270"/>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15"/>
                          <a:stretch>
                            <a:fillRect/>
                          </a:stretch>
                        </pic:blipFill>
                        <pic:spPr>
                          <a:xfrm>
                            <a:off x="0" y="0"/>
                            <a:ext cx="5168900" cy="1865630"/>
                          </a:xfrm>
                          <a:prstGeom prst="rect">
                            <a:avLst/>
                          </a:prstGeom>
                          <a:noFill/>
                          <a:ln>
                            <a:noFill/>
                          </a:ln>
                        </pic:spPr>
                      </pic:pic>
                    </a:graphicData>
                  </a:graphic>
                </wp:inline>
              </w:drawing>
            </w:r>
          </w:p>
          <w:p w14:paraId="1F278EAF">
            <w:pPr>
              <w:pStyle w:val="4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bCs/>
                <w:color w:val="auto"/>
                <w:spacing w:val="0"/>
                <w:kern w:val="2"/>
                <w:sz w:val="24"/>
                <w:szCs w:val="24"/>
                <w:highlight w:val="none"/>
                <w:lang w:val="en-US" w:eastAsia="zh-CN" w:bidi="ar-SA"/>
              </w:rPr>
            </w:pPr>
            <w:r>
              <w:rPr>
                <w:rFonts w:hint="default" w:ascii="Times New Roman" w:hAnsi="Times New Roman" w:eastAsia="宋体" w:cs="Times New Roman"/>
                <w:b/>
                <w:bCs/>
                <w:color w:val="auto"/>
                <w:spacing w:val="0"/>
                <w:kern w:val="2"/>
                <w:sz w:val="24"/>
                <w:szCs w:val="24"/>
                <w:highlight w:val="none"/>
                <w:lang w:val="en-US" w:eastAsia="zh-CN" w:bidi="ar-SA"/>
              </w:rPr>
              <w:t>图2-</w:t>
            </w:r>
            <w:r>
              <w:rPr>
                <w:rFonts w:hint="eastAsia" w:ascii="Times New Roman" w:cs="Times New Roman"/>
                <w:b/>
                <w:bCs/>
                <w:color w:val="auto"/>
                <w:spacing w:val="0"/>
                <w:kern w:val="2"/>
                <w:sz w:val="24"/>
                <w:szCs w:val="24"/>
                <w:highlight w:val="none"/>
                <w:lang w:val="en-US" w:eastAsia="zh-CN" w:bidi="ar-SA"/>
              </w:rPr>
              <w:t>2</w:t>
            </w:r>
            <w:r>
              <w:rPr>
                <w:rFonts w:hint="default" w:ascii="Times New Roman" w:hAnsi="Times New Roman" w:eastAsia="宋体" w:cs="Times New Roman"/>
                <w:b/>
                <w:bCs/>
                <w:color w:val="auto"/>
                <w:spacing w:val="0"/>
                <w:kern w:val="2"/>
                <w:sz w:val="24"/>
                <w:szCs w:val="24"/>
                <w:highlight w:val="none"/>
                <w:lang w:val="en-US" w:eastAsia="zh-CN" w:bidi="ar-SA"/>
              </w:rPr>
              <w:t xml:space="preserve"> 施工期产污流程图</w:t>
            </w:r>
          </w:p>
          <w:p w14:paraId="27FCD1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textAlignment w:val="auto"/>
              <w:rPr>
                <w:rFonts w:hint="default"/>
                <w:color w:val="auto"/>
                <w:sz w:val="24"/>
                <w:highlight w:val="none"/>
              </w:rPr>
            </w:pPr>
            <w:r>
              <w:rPr>
                <w:rFonts w:hint="default"/>
                <w:color w:val="auto"/>
                <w:sz w:val="24"/>
                <w:highlight w:val="none"/>
              </w:rPr>
              <w:t>工艺流程简述：</w:t>
            </w:r>
          </w:p>
          <w:p w14:paraId="4F7431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textAlignment w:val="auto"/>
              <w:rPr>
                <w:rFonts w:hint="default"/>
                <w:color w:val="auto"/>
                <w:sz w:val="24"/>
                <w:highlight w:val="none"/>
              </w:rPr>
            </w:pPr>
            <w:r>
              <w:rPr>
                <w:rFonts w:hint="default"/>
                <w:color w:val="auto"/>
                <w:sz w:val="24"/>
                <w:highlight w:val="none"/>
              </w:rPr>
              <w:t>本项目为</w:t>
            </w:r>
            <w:r>
              <w:rPr>
                <w:rFonts w:hint="eastAsia"/>
                <w:color w:val="auto"/>
                <w:sz w:val="24"/>
                <w:highlight w:val="none"/>
                <w:lang w:val="en-US" w:eastAsia="zh-CN"/>
              </w:rPr>
              <w:t>新建</w:t>
            </w:r>
            <w:r>
              <w:rPr>
                <w:rFonts w:hint="default"/>
                <w:color w:val="auto"/>
                <w:sz w:val="24"/>
                <w:highlight w:val="none"/>
              </w:rPr>
              <w:t>项目，建设施工期间将产生噪声、扬尘、废气、固体废弃物、施工废水及生活污水等污染物。施工期的环境影响为阶段性影响，工程建设完成后，其产生的环境影响也会随着施工期的结束而消失。</w:t>
            </w:r>
          </w:p>
          <w:p w14:paraId="0BA8B6B7">
            <w:pPr>
              <w:adjustRightInd w:val="0"/>
              <w:snapToGrid w:val="0"/>
              <w:spacing w:line="360" w:lineRule="auto"/>
              <w:ind w:firstLine="482" w:firstLineChars="200"/>
              <w:rPr>
                <w:b/>
                <w:bCs/>
                <w:color w:val="auto"/>
                <w:sz w:val="24"/>
                <w:highlight w:val="none"/>
              </w:rPr>
            </w:pPr>
            <w:r>
              <w:rPr>
                <w:rFonts w:hint="eastAsia"/>
                <w:b/>
                <w:bCs/>
                <w:color w:val="auto"/>
                <w:sz w:val="24"/>
                <w:highlight w:val="none"/>
                <w:lang w:val="en-US" w:eastAsia="zh-CN"/>
              </w:rPr>
              <w:t>2</w:t>
            </w:r>
            <w:r>
              <w:rPr>
                <w:rFonts w:hint="eastAsia"/>
                <w:b/>
                <w:bCs/>
                <w:color w:val="auto"/>
                <w:sz w:val="24"/>
                <w:highlight w:val="none"/>
              </w:rPr>
              <w:t>、</w:t>
            </w:r>
            <w:r>
              <w:rPr>
                <w:b/>
                <w:bCs/>
                <w:color w:val="auto"/>
                <w:sz w:val="24"/>
                <w:highlight w:val="none"/>
              </w:rPr>
              <w:t>运营期工艺流程及产污环节</w:t>
            </w:r>
          </w:p>
          <w:p w14:paraId="7143FC94">
            <w:pPr>
              <w:adjustRightInd w:val="0"/>
              <w:snapToGrid w:val="0"/>
              <w:spacing w:line="360" w:lineRule="auto"/>
              <w:jc w:val="center"/>
              <w:rPr>
                <w:rFonts w:hint="eastAsia" w:ascii="宋体" w:hAnsi="宋体" w:eastAsia="宋体" w:cs="宋体"/>
                <w:b/>
                <w:bCs/>
                <w:color w:val="auto"/>
                <w:kern w:val="0"/>
                <w:szCs w:val="21"/>
                <w:highlight w:val="none"/>
                <w:lang w:eastAsia="zh-CN" w:bidi="ar"/>
              </w:rPr>
            </w:pPr>
            <w:r>
              <w:rPr>
                <w:color w:val="auto"/>
              </w:rPr>
              <w:drawing>
                <wp:inline distT="0" distB="0" distL="114300" distR="114300">
                  <wp:extent cx="5395595" cy="3962400"/>
                  <wp:effectExtent l="0" t="0" r="14605" b="0"/>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pic:cNvPicPr>
                        </pic:nvPicPr>
                        <pic:blipFill>
                          <a:blip r:embed="rId16"/>
                          <a:stretch>
                            <a:fillRect/>
                          </a:stretch>
                        </pic:blipFill>
                        <pic:spPr>
                          <a:xfrm>
                            <a:off x="0" y="0"/>
                            <a:ext cx="5395595" cy="3962400"/>
                          </a:xfrm>
                          <a:prstGeom prst="rect">
                            <a:avLst/>
                          </a:prstGeom>
                          <a:noFill/>
                          <a:ln>
                            <a:noFill/>
                          </a:ln>
                        </pic:spPr>
                      </pic:pic>
                    </a:graphicData>
                  </a:graphic>
                </wp:inline>
              </w:drawing>
            </w:r>
          </w:p>
          <w:p w14:paraId="75A15637">
            <w:pPr>
              <w:adjustRightInd w:val="0"/>
              <w:snapToGrid w:val="0"/>
              <w:spacing w:line="360" w:lineRule="auto"/>
              <w:jc w:val="center"/>
              <w:rPr>
                <w:b/>
                <w:bCs/>
                <w:color w:val="auto"/>
                <w:sz w:val="24"/>
                <w:szCs w:val="24"/>
                <w:highlight w:val="none"/>
              </w:rPr>
            </w:pPr>
            <w:r>
              <w:rPr>
                <w:rFonts w:hint="eastAsia"/>
                <w:b/>
                <w:bCs/>
                <w:color w:val="auto"/>
                <w:sz w:val="24"/>
                <w:szCs w:val="24"/>
                <w:highlight w:val="none"/>
              </w:rPr>
              <w:t>图2-</w:t>
            </w:r>
            <w:r>
              <w:rPr>
                <w:rFonts w:hint="eastAsia"/>
                <w:b/>
                <w:bCs/>
                <w:color w:val="auto"/>
                <w:sz w:val="24"/>
                <w:szCs w:val="24"/>
                <w:highlight w:val="none"/>
                <w:lang w:val="en-US" w:eastAsia="zh-CN"/>
              </w:rPr>
              <w:t>3</w:t>
            </w:r>
            <w:r>
              <w:rPr>
                <w:rFonts w:hint="eastAsia"/>
                <w:b/>
                <w:bCs/>
                <w:color w:val="auto"/>
                <w:sz w:val="24"/>
                <w:szCs w:val="24"/>
                <w:highlight w:val="none"/>
              </w:rPr>
              <w:t xml:space="preserve">  </w:t>
            </w:r>
            <w:r>
              <w:rPr>
                <w:rFonts w:hint="default" w:ascii="Times New Roman" w:hAnsi="Times New Roman" w:cs="Times New Roman"/>
                <w:b/>
                <w:bCs/>
                <w:color w:val="auto"/>
                <w:sz w:val="24"/>
                <w:szCs w:val="24"/>
                <w:highlight w:val="none"/>
                <w:lang w:val="en-US" w:eastAsia="zh-CN"/>
              </w:rPr>
              <w:t>工艺流程及排污情况</w:t>
            </w:r>
          </w:p>
          <w:p w14:paraId="7E9F69A1">
            <w:pPr>
              <w:spacing w:line="360" w:lineRule="auto"/>
              <w:ind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工艺流程简单说明：</w:t>
            </w:r>
          </w:p>
          <w:p w14:paraId="1D61CA77">
            <w:pPr>
              <w:numPr>
                <w:ilvl w:val="0"/>
                <w:numId w:val="0"/>
              </w:numPr>
              <w:spacing w:line="360" w:lineRule="auto"/>
              <w:ind w:firstLine="482" w:firstLineChars="200"/>
              <w:jc w:val="left"/>
              <w:rPr>
                <w:rFonts w:hint="default" w:cs="Times New Roman"/>
                <w:b/>
                <w:bCs/>
                <w:color w:val="auto"/>
                <w:sz w:val="24"/>
                <w:highlight w:val="none"/>
                <w:lang w:val="en-US" w:eastAsia="zh-CN"/>
              </w:rPr>
            </w:pPr>
            <w:r>
              <w:rPr>
                <w:rFonts w:hint="eastAsia" w:cs="Times New Roman"/>
                <w:b/>
                <w:bCs/>
                <w:color w:val="auto"/>
                <w:sz w:val="24"/>
                <w:highlight w:val="none"/>
                <w:lang w:val="en-US" w:eastAsia="zh-CN"/>
              </w:rPr>
              <w:t>调墨：</w:t>
            </w:r>
          </w:p>
          <w:p w14:paraId="70E20694">
            <w:pPr>
              <w:pStyle w:val="13"/>
              <w:spacing w:before="0" w:after="0" w:line="360" w:lineRule="auto"/>
              <w:ind w:right="0" w:firstLine="480" w:firstLineChars="200"/>
              <w:rPr>
                <w:rFonts w:hint="default" w:cs="Times New Roman"/>
                <w:b/>
                <w:bCs/>
                <w:color w:val="auto"/>
                <w:sz w:val="24"/>
                <w:highlight w:val="none"/>
                <w:lang w:val="en-US" w:eastAsia="zh-CN"/>
              </w:rPr>
            </w:pPr>
            <w:r>
              <w:rPr>
                <w:rFonts w:hint="eastAsia" w:cs="Times New Roman"/>
                <w:b w:val="0"/>
                <w:bCs w:val="0"/>
                <w:color w:val="auto"/>
                <w:sz w:val="24"/>
                <w:highlight w:val="none"/>
                <w:lang w:val="en-US" w:eastAsia="zh-CN"/>
              </w:rPr>
              <w:t>项目主要涂料为水性油墨、油墨。水性油墨可直接使用，由于部分客户对印刷色彩要求更高，因此项目生产过程中需要使用一定量的油墨用以提升产品品质，油墨需要与稀释剂进行调配后才可用于生产（调配比例为5：1）。该过程会产生G1-1（调墨废气</w:t>
            </w:r>
            <w:r>
              <w:rPr>
                <w:rFonts w:hint="default" w:ascii="Times New Roman" w:hAnsi="Times New Roman" w:cs="Times New Roman"/>
                <w:bCs/>
                <w:color w:val="auto"/>
                <w:sz w:val="24"/>
                <w:szCs w:val="24"/>
                <w:vertAlign w:val="baseline"/>
                <w:lang w:val="en-US" w:eastAsia="zh-CN"/>
              </w:rPr>
              <w:t>NMHC</w:t>
            </w:r>
            <w:r>
              <w:rPr>
                <w:rFonts w:hint="eastAsia" w:cs="Times New Roman"/>
                <w:b w:val="0"/>
                <w:bCs w:val="0"/>
                <w:color w:val="auto"/>
                <w:sz w:val="24"/>
                <w:highlight w:val="none"/>
                <w:lang w:val="en-US" w:eastAsia="zh-CN"/>
              </w:rPr>
              <w:t>）、S1-1（废包装桶）。</w:t>
            </w:r>
          </w:p>
          <w:p w14:paraId="7017FCEC">
            <w:pPr>
              <w:numPr>
                <w:ilvl w:val="0"/>
                <w:numId w:val="0"/>
              </w:numPr>
              <w:spacing w:line="360" w:lineRule="auto"/>
              <w:ind w:firstLine="482" w:firstLineChars="200"/>
              <w:jc w:val="left"/>
              <w:rPr>
                <w:rFonts w:hint="default" w:cs="Times New Roman"/>
                <w:b/>
                <w:bCs/>
                <w:color w:val="auto"/>
                <w:sz w:val="24"/>
                <w:highlight w:val="none"/>
                <w:lang w:val="en-US" w:eastAsia="zh-CN"/>
              </w:rPr>
            </w:pPr>
            <w:r>
              <w:rPr>
                <w:rFonts w:hint="eastAsia" w:cs="Times New Roman"/>
                <w:b/>
                <w:bCs/>
                <w:color w:val="auto"/>
                <w:sz w:val="24"/>
                <w:highlight w:val="none"/>
                <w:lang w:val="en-US" w:eastAsia="zh-CN"/>
              </w:rPr>
              <w:t>印刷：</w:t>
            </w:r>
          </w:p>
          <w:p w14:paraId="01949C59">
            <w:pPr>
              <w:pStyle w:val="13"/>
              <w:spacing w:before="0" w:after="0" w:line="360" w:lineRule="auto"/>
              <w:ind w:right="0" w:firstLine="480" w:firstLineChars="200"/>
              <w:rPr>
                <w:rFonts w:hint="default" w:cs="Times New Roman"/>
                <w:b w:val="0"/>
                <w:bCs w:val="0"/>
                <w:color w:val="auto"/>
                <w:sz w:val="24"/>
                <w:highlight w:val="none"/>
                <w:lang w:val="en-US" w:eastAsia="zh-CN"/>
              </w:rPr>
            </w:pPr>
            <w:r>
              <w:rPr>
                <w:rFonts w:hint="eastAsia" w:cs="Times New Roman"/>
                <w:b w:val="0"/>
                <w:bCs w:val="0"/>
                <w:color w:val="auto"/>
                <w:sz w:val="24"/>
                <w:highlight w:val="none"/>
                <w:lang w:val="en-US" w:eastAsia="zh-CN"/>
              </w:rPr>
              <w:t>将印刷机的凹版安装好后，再将OPP热封膜由人工移至印刷机，涂料通过密闭料桶转移至印刷机辊道下方料槽中，利用辊道将所需图案印刷到OPP热封膜的离型层表面上，印刷面积约为物料面积的8%。由于项目仅生产一种款式的产品、印刷同一款颜色的涂料，因此生产过程中无需更换印刷凹版。涂料印刷机自带烘干（电加热烘干，烘干温度约为45</w:t>
            </w:r>
            <w:r>
              <w:rPr>
                <w:rFonts w:hint="default" w:ascii="Times New Roman" w:hAnsi="Times New Roman" w:cs="Times New Roman"/>
                <w:b w:val="0"/>
                <w:bCs w:val="0"/>
                <w:color w:val="auto"/>
                <w:sz w:val="24"/>
                <w:highlight w:val="none"/>
                <w:lang w:val="en-US" w:eastAsia="zh-CN"/>
              </w:rPr>
              <w:t>℃</w:t>
            </w:r>
            <w:r>
              <w:rPr>
                <w:rFonts w:hint="eastAsia" w:ascii="Times New Roman" w:hAnsi="Times New Roman"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，印刷好的热封膜收卷后存入物料缓冲间内等待分切加工。该过程会产生G1-2（印刷废气</w:t>
            </w:r>
            <w:r>
              <w:rPr>
                <w:rFonts w:hint="default" w:ascii="Times New Roman" w:hAnsi="Times New Roman" w:cs="Times New Roman"/>
                <w:bCs/>
                <w:color w:val="auto"/>
                <w:sz w:val="24"/>
                <w:szCs w:val="24"/>
                <w:vertAlign w:val="baseline"/>
                <w:lang w:val="en-US" w:eastAsia="zh-CN"/>
              </w:rPr>
              <w:t>NMHC</w:t>
            </w:r>
            <w:r>
              <w:rPr>
                <w:rFonts w:hint="eastAsia" w:cs="Times New Roman"/>
                <w:b w:val="0"/>
                <w:bCs w:val="0"/>
                <w:color w:val="auto"/>
                <w:sz w:val="24"/>
                <w:highlight w:val="none"/>
                <w:lang w:val="en-US" w:eastAsia="zh-CN"/>
              </w:rPr>
              <w:t>）以及定期更换下来的S1-2（废印刷机凹版）。</w:t>
            </w:r>
          </w:p>
          <w:p w14:paraId="440811F8">
            <w:pPr>
              <w:pStyle w:val="13"/>
              <w:spacing w:before="0" w:after="0" w:line="360" w:lineRule="auto"/>
              <w:ind w:right="0" w:firstLine="482" w:firstLineChars="200"/>
              <w:rPr>
                <w:rFonts w:hint="default" w:ascii="Times New Roman" w:hAnsi="Times New Roman" w:cs="Times New Roman"/>
                <w:b/>
                <w:bCs/>
                <w:color w:val="auto"/>
                <w:sz w:val="24"/>
                <w:szCs w:val="24"/>
                <w:lang w:val="en-US" w:eastAsia="zh-CN"/>
              </w:rPr>
            </w:pPr>
            <w:r>
              <w:rPr>
                <w:rFonts w:hint="eastAsia" w:cs="Times New Roman"/>
                <w:b/>
                <w:bCs/>
                <w:color w:val="auto"/>
                <w:sz w:val="24"/>
                <w:szCs w:val="24"/>
                <w:lang w:val="en-US" w:eastAsia="zh-CN"/>
              </w:rPr>
              <w:t>分切</w:t>
            </w:r>
            <w:r>
              <w:rPr>
                <w:rFonts w:hint="default" w:ascii="Times New Roman" w:hAnsi="Times New Roman" w:cs="Times New Roman"/>
                <w:b/>
                <w:bCs/>
                <w:color w:val="auto"/>
                <w:sz w:val="24"/>
                <w:szCs w:val="24"/>
                <w:lang w:val="en-US" w:eastAsia="zh-CN"/>
              </w:rPr>
              <w:t>：</w:t>
            </w:r>
          </w:p>
          <w:p w14:paraId="21AF91E5">
            <w:pPr>
              <w:pStyle w:val="13"/>
              <w:spacing w:before="0" w:after="0" w:line="360" w:lineRule="auto"/>
              <w:ind w:right="0" w:firstLine="480" w:firstLineChars="200"/>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highlight w:val="none"/>
                <w:lang w:val="en-US" w:eastAsia="zh-CN"/>
              </w:rPr>
              <w:t>印刷好的热封膜由人工运至分切车间内进行分切，</w:t>
            </w:r>
            <w:r>
              <w:rPr>
                <w:rFonts w:hint="eastAsia" w:cs="Times New Roman"/>
                <w:b w:val="0"/>
                <w:bCs w:val="0"/>
                <w:color w:val="auto"/>
                <w:sz w:val="24"/>
                <w:highlight w:val="none"/>
                <w:lang w:val="en-US" w:eastAsia="zh-CN"/>
              </w:rPr>
              <w:t>印刷好的</w:t>
            </w:r>
            <w:r>
              <w:rPr>
                <w:rFonts w:hint="default" w:ascii="Times New Roman" w:hAnsi="Times New Roman" w:cs="Times New Roman"/>
                <w:b w:val="0"/>
                <w:bCs w:val="0"/>
                <w:color w:val="auto"/>
                <w:sz w:val="24"/>
                <w:highlight w:val="none"/>
                <w:lang w:val="en-US" w:eastAsia="zh-CN"/>
              </w:rPr>
              <w:t>热封膜由分切机分切成</w:t>
            </w:r>
            <w:r>
              <w:rPr>
                <w:rFonts w:hint="eastAsia" w:cs="Times New Roman"/>
                <w:b w:val="0"/>
                <w:bCs w:val="0"/>
                <w:color w:val="auto"/>
                <w:sz w:val="24"/>
                <w:highlight w:val="none"/>
                <w:lang w:val="en-US" w:eastAsia="zh-CN"/>
              </w:rPr>
              <w:t>2</w:t>
            </w:r>
            <w:r>
              <w:rPr>
                <w:rFonts w:hint="default" w:ascii="Times New Roman" w:hAnsi="Times New Roman" w:cs="Times New Roman"/>
                <w:b w:val="0"/>
                <w:bCs w:val="0"/>
                <w:color w:val="auto"/>
                <w:sz w:val="24"/>
                <w:highlight w:val="none"/>
                <w:lang w:val="en-US" w:eastAsia="zh-CN"/>
              </w:rPr>
              <w:t>00mm×</w:t>
            </w:r>
            <w:r>
              <w:rPr>
                <w:rFonts w:hint="eastAsia" w:cs="Times New Roman"/>
                <w:b w:val="0"/>
                <w:bCs w:val="0"/>
                <w:color w:val="auto"/>
                <w:sz w:val="24"/>
                <w:highlight w:val="none"/>
                <w:lang w:val="en-US" w:eastAsia="zh-CN"/>
              </w:rPr>
              <w:t>50</w:t>
            </w:r>
            <w:r>
              <w:rPr>
                <w:rFonts w:hint="default" w:ascii="Times New Roman" w:hAnsi="Times New Roman" w:cs="Times New Roman"/>
                <w:b w:val="0"/>
                <w:bCs w:val="0"/>
                <w:color w:val="auto"/>
                <w:sz w:val="24"/>
                <w:highlight w:val="none"/>
                <w:lang w:val="en-US" w:eastAsia="zh-CN"/>
              </w:rPr>
              <w:t>0mm规格</w:t>
            </w:r>
            <w:r>
              <w:rPr>
                <w:rFonts w:hint="eastAsia" w:cs="Times New Roman"/>
                <w:b w:val="0"/>
                <w:bCs w:val="0"/>
                <w:color w:val="auto"/>
                <w:sz w:val="24"/>
                <w:highlight w:val="none"/>
                <w:lang w:val="en-US" w:eastAsia="zh-CN"/>
              </w:rPr>
              <w:t>的热封膜，分切完成的热封膜落入分切机下方的装料槽内，等待人工进行打包</w:t>
            </w:r>
            <w:r>
              <w:rPr>
                <w:rFonts w:hint="eastAsia" w:ascii="Times New Roman" w:hAnsi="Times New Roman" w:cs="Times New Roman"/>
                <w:b w:val="0"/>
                <w:bCs w:val="0"/>
                <w:color w:val="auto"/>
                <w:sz w:val="24"/>
                <w:szCs w:val="24"/>
                <w:lang w:val="en-US" w:eastAsia="zh-CN"/>
              </w:rPr>
              <w:t>。</w:t>
            </w:r>
            <w:r>
              <w:rPr>
                <w:rFonts w:hint="eastAsia" w:cs="Times New Roman"/>
                <w:b w:val="0"/>
                <w:bCs w:val="0"/>
                <w:color w:val="auto"/>
                <w:sz w:val="24"/>
                <w:szCs w:val="24"/>
                <w:lang w:val="en-US" w:eastAsia="zh-CN"/>
              </w:rPr>
              <w:t>该过程产生S1-3（废边角料）。</w:t>
            </w:r>
          </w:p>
          <w:p w14:paraId="43750C00">
            <w:pPr>
              <w:pStyle w:val="13"/>
              <w:spacing w:before="0" w:after="0" w:line="360" w:lineRule="auto"/>
              <w:ind w:right="0" w:firstLine="482" w:firstLineChars="200"/>
              <w:rPr>
                <w:rFonts w:hint="default" w:ascii="Times New Roman" w:hAnsi="Times New Roman" w:cs="Times New Roman"/>
                <w:b/>
                <w:bCs/>
                <w:color w:val="auto"/>
                <w:sz w:val="24"/>
                <w:szCs w:val="24"/>
                <w:lang w:val="en-US" w:eastAsia="zh-CN"/>
              </w:rPr>
            </w:pPr>
            <w:r>
              <w:rPr>
                <w:rFonts w:hint="eastAsia" w:cs="Times New Roman"/>
                <w:b/>
                <w:bCs/>
                <w:color w:val="auto"/>
                <w:sz w:val="24"/>
                <w:szCs w:val="24"/>
                <w:lang w:val="en-US" w:eastAsia="zh-CN"/>
              </w:rPr>
              <w:t>打包</w:t>
            </w:r>
            <w:r>
              <w:rPr>
                <w:rFonts w:hint="default" w:ascii="Times New Roman" w:hAnsi="Times New Roman" w:cs="Times New Roman"/>
                <w:b/>
                <w:bCs/>
                <w:color w:val="auto"/>
                <w:sz w:val="24"/>
                <w:szCs w:val="24"/>
                <w:lang w:val="en-US" w:eastAsia="zh-CN"/>
              </w:rPr>
              <w:t>：</w:t>
            </w:r>
          </w:p>
          <w:p w14:paraId="4BB48664">
            <w:pPr>
              <w:pStyle w:val="13"/>
              <w:spacing w:before="0" w:after="0" w:line="360" w:lineRule="auto"/>
              <w:ind w:right="0" w:firstLine="480" w:firstLineChars="200"/>
              <w:rPr>
                <w:rFonts w:hint="default" w:ascii="Times New Roman" w:hAnsi="Times New Roman" w:cs="Times New Roman"/>
                <w:b w:val="0"/>
                <w:bCs w:val="0"/>
                <w:color w:val="auto"/>
                <w:sz w:val="24"/>
                <w:szCs w:val="24"/>
                <w:lang w:val="en-US" w:eastAsia="zh-CN"/>
              </w:rPr>
            </w:pPr>
            <w:r>
              <w:rPr>
                <w:rFonts w:hint="eastAsia" w:cs="Times New Roman"/>
                <w:b w:val="0"/>
                <w:bCs w:val="0"/>
                <w:color w:val="auto"/>
                <w:sz w:val="24"/>
                <w:highlight w:val="none"/>
                <w:lang w:val="en-US" w:eastAsia="zh-CN"/>
              </w:rPr>
              <w:t>分切完成的热封膜落入料槽后，经人工进行收集打包。</w:t>
            </w:r>
          </w:p>
          <w:p w14:paraId="54DD81E9">
            <w:pPr>
              <w:spacing w:line="360" w:lineRule="auto"/>
              <w:ind w:firstLine="482" w:firstLineChars="200"/>
              <w:rPr>
                <w:rFonts w:ascii="宋体" w:hAnsi="宋体" w:cs="宋体"/>
                <w:color w:val="auto"/>
                <w:sz w:val="24"/>
                <w:highlight w:val="none"/>
              </w:rPr>
            </w:pPr>
            <w:r>
              <w:rPr>
                <w:rFonts w:hint="default" w:ascii="Times New Roman" w:hAnsi="Times New Roman" w:cs="Times New Roman"/>
                <w:b/>
                <w:bCs/>
                <w:color w:val="auto"/>
                <w:sz w:val="24"/>
                <w:highlight w:val="none"/>
                <w:lang w:val="en-US" w:eastAsia="zh-CN"/>
              </w:rPr>
              <w:t>3</w:t>
            </w:r>
            <w:r>
              <w:rPr>
                <w:rFonts w:hint="default" w:ascii="Times New Roman" w:hAnsi="Times New Roman" w:cs="Times New Roman"/>
                <w:b/>
                <w:bCs/>
                <w:color w:val="auto"/>
                <w:sz w:val="24"/>
                <w:highlight w:val="none"/>
              </w:rPr>
              <w:t>、</w:t>
            </w:r>
            <w:r>
              <w:rPr>
                <w:rFonts w:hint="eastAsia" w:ascii="宋体" w:hAnsi="宋体" w:cs="宋体"/>
                <w:b/>
                <w:bCs/>
                <w:color w:val="auto"/>
                <w:sz w:val="24"/>
                <w:highlight w:val="none"/>
              </w:rPr>
              <w:t>产污环节分析</w:t>
            </w:r>
          </w:p>
          <w:p w14:paraId="7CCDA6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8" w:lineRule="auto"/>
              <w:ind w:left="0" w:leftChars="0" w:right="0" w:rightChars="0" w:firstLine="480" w:firstLineChars="200"/>
              <w:jc w:val="both"/>
              <w:textAlignment w:val="auto"/>
              <w:outlineLvl w:val="9"/>
              <w:rPr>
                <w:rFonts w:hint="default" w:ascii="Times New Roman" w:hAnsi="Times New Roman" w:cs="Times New Roman"/>
                <w:color w:val="auto"/>
                <w:sz w:val="24"/>
                <w:szCs w:val="24"/>
                <w:highlight w:val="none"/>
                <w:shd w:val="clear" w:color="auto" w:fill="auto"/>
                <w:lang w:val="en-US" w:eastAsia="zh-CN"/>
              </w:rPr>
            </w:pPr>
            <w:r>
              <w:rPr>
                <w:rFonts w:hint="default" w:ascii="Times New Roman" w:hAnsi="Times New Roman" w:cs="Times New Roman"/>
                <w:color w:val="auto"/>
                <w:sz w:val="24"/>
                <w:szCs w:val="24"/>
                <w:highlight w:val="none"/>
                <w:shd w:val="clear" w:color="auto" w:fill="auto"/>
                <w:lang w:val="en-US" w:eastAsia="zh-CN"/>
              </w:rPr>
              <w:t>根据项目生产工艺流程分析，生产过程中产生的主要污染物有：</w:t>
            </w:r>
            <w:r>
              <w:rPr>
                <w:rFonts w:hint="eastAsia" w:cs="Times New Roman"/>
                <w:color w:val="auto"/>
                <w:sz w:val="24"/>
                <w:szCs w:val="24"/>
                <w:highlight w:val="none"/>
                <w:shd w:val="clear" w:color="auto" w:fill="auto"/>
                <w:lang w:val="en-US" w:eastAsia="zh-CN"/>
              </w:rPr>
              <w:t>废气、废水、噪声、固废。</w:t>
            </w:r>
          </w:p>
          <w:p w14:paraId="570642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8" w:lineRule="auto"/>
              <w:ind w:left="0" w:leftChars="0" w:right="0" w:rightChars="0" w:firstLine="480" w:firstLineChars="200"/>
              <w:jc w:val="both"/>
              <w:textAlignment w:val="auto"/>
              <w:outlineLvl w:val="9"/>
              <w:rPr>
                <w:rFonts w:hint="eastAsia" w:cs="Times New Roman"/>
                <w:color w:val="auto"/>
                <w:sz w:val="24"/>
                <w:szCs w:val="24"/>
                <w:highlight w:val="none"/>
                <w:shd w:val="clear" w:color="auto" w:fill="auto"/>
                <w:lang w:val="en-US" w:eastAsia="zh-CN"/>
              </w:rPr>
            </w:pPr>
            <w:r>
              <w:rPr>
                <w:rFonts w:hint="default" w:ascii="Times New Roman" w:hAnsi="Times New Roman" w:cs="Times New Roman"/>
                <w:color w:val="auto"/>
                <w:sz w:val="24"/>
                <w:szCs w:val="24"/>
                <w:highlight w:val="none"/>
                <w:shd w:val="clear" w:color="auto" w:fill="auto"/>
                <w:lang w:val="en-US" w:eastAsia="zh-CN"/>
              </w:rPr>
              <w:t>废气：废气主要为</w:t>
            </w:r>
            <w:r>
              <w:rPr>
                <w:rFonts w:hint="eastAsia" w:cs="Times New Roman"/>
                <w:color w:val="auto"/>
                <w:sz w:val="24"/>
                <w:szCs w:val="24"/>
                <w:highlight w:val="none"/>
                <w:shd w:val="clear" w:color="auto" w:fill="auto"/>
                <w:lang w:val="en-US" w:eastAsia="zh-CN"/>
              </w:rPr>
              <w:t>调墨、印刷过程中产生的废气</w:t>
            </w:r>
            <w:r>
              <w:rPr>
                <w:rFonts w:hint="default" w:ascii="Times New Roman" w:hAnsi="Times New Roman" w:cs="Times New Roman"/>
                <w:bCs/>
                <w:color w:val="auto"/>
                <w:sz w:val="24"/>
                <w:szCs w:val="24"/>
                <w:vertAlign w:val="baseline"/>
                <w:lang w:val="en-US" w:eastAsia="zh-CN"/>
              </w:rPr>
              <w:t>NMHC</w:t>
            </w:r>
            <w:r>
              <w:rPr>
                <w:rFonts w:hint="eastAsia" w:cs="Times New Roman"/>
                <w:color w:val="auto"/>
                <w:sz w:val="24"/>
                <w:szCs w:val="24"/>
                <w:highlight w:val="none"/>
                <w:shd w:val="clear" w:color="auto" w:fill="auto"/>
                <w:lang w:val="en-US" w:eastAsia="zh-CN"/>
              </w:rPr>
              <w:t>。</w:t>
            </w:r>
          </w:p>
          <w:p w14:paraId="5DE917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8" w:lineRule="auto"/>
              <w:ind w:left="0" w:leftChars="0" w:right="0" w:rightChars="0" w:firstLine="480" w:firstLineChars="200"/>
              <w:jc w:val="both"/>
              <w:textAlignment w:val="auto"/>
              <w:outlineLvl w:val="9"/>
              <w:rPr>
                <w:rFonts w:hint="default" w:ascii="Times New Roman" w:hAnsi="Times New Roman" w:cs="Times New Roman"/>
                <w:color w:val="auto"/>
                <w:sz w:val="24"/>
                <w:szCs w:val="24"/>
                <w:highlight w:val="none"/>
                <w:shd w:val="clear" w:color="auto" w:fill="auto"/>
                <w:lang w:val="en-US" w:eastAsia="zh-CN"/>
              </w:rPr>
            </w:pPr>
            <w:r>
              <w:rPr>
                <w:rFonts w:hint="eastAsia" w:cs="Times New Roman"/>
                <w:color w:val="auto"/>
                <w:sz w:val="24"/>
                <w:szCs w:val="24"/>
                <w:highlight w:val="none"/>
                <w:shd w:val="clear" w:color="auto" w:fill="auto"/>
                <w:lang w:val="en-US" w:eastAsia="zh-CN"/>
              </w:rPr>
              <w:t>废水：</w:t>
            </w:r>
            <w:r>
              <w:rPr>
                <w:rFonts w:hint="eastAsia" w:ascii="宋体" w:hAnsi="宋体" w:cs="宋体"/>
                <w:color w:val="auto"/>
                <w:sz w:val="24"/>
                <w:highlight w:val="none"/>
              </w:rPr>
              <w:t>项目废水主要为员工生活</w:t>
            </w:r>
            <w:r>
              <w:rPr>
                <w:rFonts w:hint="eastAsia" w:ascii="宋体" w:hAnsi="宋体" w:cs="宋体"/>
                <w:color w:val="auto"/>
                <w:sz w:val="24"/>
                <w:highlight w:val="none"/>
                <w:lang w:val="en-US" w:eastAsia="zh-CN"/>
              </w:rPr>
              <w:t>过程中产生的生活污水</w:t>
            </w:r>
            <w:r>
              <w:rPr>
                <w:rFonts w:hint="eastAsia" w:cs="Times New Roman"/>
                <w:color w:val="auto"/>
                <w:sz w:val="24"/>
                <w:szCs w:val="24"/>
                <w:highlight w:val="none"/>
                <w:shd w:val="clear" w:color="auto" w:fill="auto"/>
                <w:lang w:val="en-US" w:eastAsia="zh-CN"/>
              </w:rPr>
              <w:t>。</w:t>
            </w:r>
          </w:p>
          <w:p w14:paraId="73D376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8" w:lineRule="auto"/>
              <w:ind w:left="0" w:right="0" w:firstLine="480" w:firstLineChars="200"/>
              <w:textAlignment w:val="auto"/>
              <w:rPr>
                <w:rFonts w:hint="default" w:ascii="Times New Roman" w:hAnsi="Times New Roman" w:cs="Times New Roman"/>
                <w:color w:val="auto"/>
                <w:sz w:val="24"/>
                <w:szCs w:val="24"/>
                <w:highlight w:val="none"/>
                <w:shd w:val="clear" w:color="auto" w:fill="auto"/>
                <w:lang w:val="en-US" w:eastAsia="zh-CN"/>
              </w:rPr>
            </w:pPr>
            <w:r>
              <w:rPr>
                <w:rFonts w:hint="default" w:ascii="Times New Roman" w:hAnsi="Times New Roman" w:cs="Times New Roman"/>
                <w:color w:val="auto"/>
                <w:sz w:val="24"/>
                <w:szCs w:val="24"/>
                <w:highlight w:val="none"/>
                <w:shd w:val="clear" w:color="auto" w:fill="auto"/>
                <w:lang w:val="en-US" w:eastAsia="zh-CN"/>
              </w:rPr>
              <w:t>噪声：设备运转过程产生的机械噪声。</w:t>
            </w:r>
          </w:p>
          <w:p w14:paraId="5538D0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8" w:lineRule="auto"/>
              <w:ind w:left="0" w:leftChars="0" w:right="0" w:rightChars="0" w:firstLine="480" w:firstLineChars="200"/>
              <w:jc w:val="both"/>
              <w:textAlignment w:val="auto"/>
              <w:outlineLvl w:val="9"/>
              <w:rPr>
                <w:b w:val="0"/>
                <w:bCs w:val="0"/>
                <w:color w:val="auto"/>
                <w:kern w:val="2"/>
                <w:szCs w:val="24"/>
                <w:highlight w:val="none"/>
              </w:rPr>
            </w:pPr>
            <w:r>
              <w:rPr>
                <w:rFonts w:hint="default" w:ascii="Times New Roman" w:hAnsi="Times New Roman" w:cs="Times New Roman"/>
                <w:color w:val="auto"/>
                <w:sz w:val="24"/>
                <w:szCs w:val="24"/>
                <w:highlight w:val="none"/>
                <w:shd w:val="clear" w:color="auto" w:fill="auto"/>
                <w:lang w:val="en-US" w:eastAsia="zh-CN"/>
              </w:rPr>
              <w:t>固废：项目固</w:t>
            </w:r>
            <w:r>
              <w:rPr>
                <w:rFonts w:hint="eastAsia" w:cs="Times New Roman"/>
                <w:color w:val="auto"/>
                <w:sz w:val="24"/>
                <w:szCs w:val="24"/>
                <w:highlight w:val="none"/>
                <w:shd w:val="clear" w:color="auto" w:fill="auto"/>
                <w:lang w:val="en-US" w:eastAsia="zh-CN"/>
              </w:rPr>
              <w:t>体</w:t>
            </w:r>
            <w:r>
              <w:rPr>
                <w:rFonts w:hint="default" w:ascii="Times New Roman" w:hAnsi="Times New Roman" w:cs="Times New Roman"/>
                <w:color w:val="auto"/>
                <w:sz w:val="24"/>
                <w:szCs w:val="24"/>
                <w:highlight w:val="none"/>
                <w:shd w:val="clear" w:color="auto" w:fill="auto"/>
                <w:lang w:val="en-US" w:eastAsia="zh-CN"/>
              </w:rPr>
              <w:t>废</w:t>
            </w:r>
            <w:r>
              <w:rPr>
                <w:rFonts w:hint="eastAsia" w:cs="Times New Roman"/>
                <w:color w:val="auto"/>
                <w:sz w:val="24"/>
                <w:szCs w:val="24"/>
                <w:highlight w:val="none"/>
                <w:shd w:val="clear" w:color="auto" w:fill="auto"/>
                <w:lang w:val="en-US" w:eastAsia="zh-CN"/>
              </w:rPr>
              <w:t>物</w:t>
            </w:r>
            <w:r>
              <w:rPr>
                <w:rFonts w:hint="default" w:ascii="Times New Roman" w:hAnsi="Times New Roman" w:cs="Times New Roman"/>
                <w:color w:val="auto"/>
                <w:sz w:val="24"/>
                <w:szCs w:val="24"/>
                <w:highlight w:val="none"/>
                <w:shd w:val="clear" w:color="auto" w:fill="auto"/>
                <w:lang w:val="en-US" w:eastAsia="zh-CN"/>
              </w:rPr>
              <w:t>包括一般</w:t>
            </w:r>
            <w:r>
              <w:rPr>
                <w:rFonts w:hint="eastAsia" w:ascii="Times New Roman" w:hAnsi="Times New Roman" w:cs="Times New Roman"/>
                <w:color w:val="auto"/>
                <w:sz w:val="24"/>
                <w:szCs w:val="24"/>
                <w:highlight w:val="none"/>
                <w:shd w:val="clear" w:color="auto" w:fill="auto"/>
                <w:lang w:val="en-US" w:eastAsia="zh-CN"/>
              </w:rPr>
              <w:t>固体废物、危险废物</w:t>
            </w:r>
            <w:r>
              <w:rPr>
                <w:rFonts w:hint="default" w:ascii="Times New Roman" w:hAnsi="Times New Roman" w:cs="Times New Roman"/>
                <w:color w:val="auto"/>
                <w:sz w:val="24"/>
                <w:szCs w:val="24"/>
                <w:highlight w:val="none"/>
                <w:shd w:val="clear" w:color="auto" w:fill="auto"/>
                <w:lang w:val="en-US" w:eastAsia="zh-CN"/>
              </w:rPr>
              <w:t>和</w:t>
            </w:r>
            <w:r>
              <w:rPr>
                <w:rFonts w:hint="eastAsia" w:cs="Times New Roman"/>
                <w:color w:val="auto"/>
                <w:sz w:val="24"/>
                <w:szCs w:val="24"/>
                <w:highlight w:val="none"/>
                <w:shd w:val="clear" w:color="auto" w:fill="auto"/>
                <w:lang w:val="en-US" w:eastAsia="zh-CN"/>
              </w:rPr>
              <w:t>员工</w:t>
            </w:r>
            <w:r>
              <w:rPr>
                <w:rFonts w:hint="default" w:ascii="Times New Roman" w:hAnsi="Times New Roman" w:cs="Times New Roman"/>
                <w:color w:val="auto"/>
                <w:sz w:val="24"/>
                <w:szCs w:val="24"/>
                <w:highlight w:val="none"/>
                <w:shd w:val="clear" w:color="auto" w:fill="auto"/>
                <w:lang w:val="en-US" w:eastAsia="zh-CN"/>
              </w:rPr>
              <w:t>生活垃圾。一般</w:t>
            </w:r>
            <w:r>
              <w:rPr>
                <w:rFonts w:hint="eastAsia" w:cs="Times New Roman"/>
                <w:color w:val="auto"/>
                <w:sz w:val="24"/>
                <w:szCs w:val="24"/>
                <w:highlight w:val="none"/>
                <w:shd w:val="clear" w:color="auto" w:fill="auto"/>
                <w:lang w:val="en-US" w:eastAsia="zh-CN"/>
              </w:rPr>
              <w:t>固体废物</w:t>
            </w:r>
            <w:r>
              <w:rPr>
                <w:rFonts w:hint="eastAsia" w:ascii="Times New Roman" w:hAnsi="Times New Roman" w:cs="Times New Roman"/>
                <w:color w:val="auto"/>
                <w:sz w:val="24"/>
                <w:szCs w:val="24"/>
                <w:highlight w:val="none"/>
                <w:shd w:val="clear" w:color="auto" w:fill="auto"/>
                <w:lang w:val="en-US" w:eastAsia="zh-CN"/>
              </w:rPr>
              <w:t>为废</w:t>
            </w:r>
            <w:r>
              <w:rPr>
                <w:rFonts w:hint="eastAsia" w:cs="Times New Roman"/>
                <w:color w:val="auto"/>
                <w:sz w:val="24"/>
                <w:szCs w:val="24"/>
                <w:highlight w:val="none"/>
                <w:shd w:val="clear" w:color="auto" w:fill="auto"/>
                <w:lang w:val="en-US" w:eastAsia="zh-CN"/>
              </w:rPr>
              <w:t>包装材料</w:t>
            </w:r>
            <w:r>
              <w:rPr>
                <w:rFonts w:hint="eastAsia" w:ascii="Times New Roman" w:hAnsi="Times New Roman" w:cs="Times New Roman"/>
                <w:color w:val="auto"/>
                <w:sz w:val="24"/>
                <w:szCs w:val="24"/>
                <w:highlight w:val="none"/>
                <w:shd w:val="clear" w:color="auto" w:fill="auto"/>
                <w:lang w:val="en-US" w:eastAsia="zh-CN"/>
              </w:rPr>
              <w:t>、</w:t>
            </w:r>
            <w:r>
              <w:rPr>
                <w:rFonts w:hint="eastAsia" w:cs="Times New Roman"/>
                <w:color w:val="auto"/>
                <w:sz w:val="24"/>
                <w:szCs w:val="24"/>
                <w:highlight w:val="none"/>
                <w:shd w:val="clear" w:color="auto" w:fill="auto"/>
                <w:lang w:val="en-US" w:eastAsia="zh-CN"/>
              </w:rPr>
              <w:t>废边角料；</w:t>
            </w:r>
            <w:r>
              <w:rPr>
                <w:rFonts w:hint="default" w:ascii="Times New Roman" w:hAnsi="Times New Roman" w:cs="Times New Roman"/>
                <w:color w:val="auto"/>
                <w:sz w:val="24"/>
                <w:szCs w:val="24"/>
                <w:highlight w:val="none"/>
                <w:shd w:val="clear" w:color="auto" w:fill="auto"/>
                <w:lang w:val="en-US" w:eastAsia="zh-CN"/>
              </w:rPr>
              <w:t>危险废物</w:t>
            </w:r>
            <w:r>
              <w:rPr>
                <w:rFonts w:hint="eastAsia" w:cs="Times New Roman"/>
                <w:color w:val="auto"/>
                <w:sz w:val="24"/>
                <w:szCs w:val="24"/>
                <w:highlight w:val="none"/>
                <w:shd w:val="clear" w:color="auto" w:fill="auto"/>
                <w:lang w:val="en-US" w:eastAsia="zh-CN"/>
              </w:rPr>
              <w:t>为废活性炭</w:t>
            </w:r>
            <w:r>
              <w:rPr>
                <w:rFonts w:hint="default" w:ascii="Times New Roman" w:hAnsi="Times New Roman" w:cs="Times New Roman"/>
                <w:color w:val="auto"/>
                <w:sz w:val="24"/>
                <w:szCs w:val="24"/>
                <w:highlight w:val="none"/>
                <w:shd w:val="clear" w:color="auto" w:fill="auto"/>
                <w:lang w:val="en-US" w:eastAsia="zh-CN"/>
              </w:rPr>
              <w:t>、</w:t>
            </w:r>
            <w:r>
              <w:rPr>
                <w:rFonts w:hint="eastAsia" w:cs="Times New Roman"/>
                <w:color w:val="auto"/>
                <w:sz w:val="24"/>
                <w:szCs w:val="24"/>
                <w:highlight w:val="none"/>
                <w:shd w:val="clear" w:color="auto" w:fill="auto"/>
                <w:lang w:val="en-US" w:eastAsia="zh-CN"/>
              </w:rPr>
              <w:t>废包装桶、废润滑油、废印刷机凹版、废润滑油桶、废劳保用品</w:t>
            </w:r>
            <w:r>
              <w:rPr>
                <w:rFonts w:hint="default" w:ascii="Times New Roman" w:hAnsi="Times New Roman" w:cs="Times New Roman"/>
                <w:color w:val="auto"/>
                <w:sz w:val="24"/>
                <w:szCs w:val="24"/>
                <w:highlight w:val="none"/>
                <w:shd w:val="clear" w:color="auto" w:fill="auto"/>
                <w:lang w:val="en-US" w:eastAsia="zh-CN"/>
              </w:rPr>
              <w:t>。</w:t>
            </w:r>
          </w:p>
          <w:p w14:paraId="4E7899CE">
            <w:pPr>
              <w:pStyle w:val="7"/>
              <w:autoSpaceDE/>
              <w:autoSpaceDN/>
              <w:adjustRightInd/>
              <w:spacing w:line="240" w:lineRule="auto"/>
              <w:ind w:left="0" w:firstLine="0"/>
              <w:jc w:val="center"/>
              <w:textAlignment w:val="auto"/>
              <w:rPr>
                <w:b/>
                <w:bCs/>
                <w:color w:val="auto"/>
                <w:kern w:val="2"/>
                <w:szCs w:val="24"/>
                <w:highlight w:val="none"/>
              </w:rPr>
            </w:pPr>
            <w:r>
              <w:rPr>
                <w:b/>
                <w:bCs/>
                <w:color w:val="auto"/>
                <w:kern w:val="2"/>
                <w:szCs w:val="24"/>
                <w:highlight w:val="none"/>
              </w:rPr>
              <w:t>表2-</w:t>
            </w:r>
            <w:r>
              <w:rPr>
                <w:rFonts w:hint="eastAsia"/>
                <w:b/>
                <w:bCs/>
                <w:color w:val="auto"/>
                <w:kern w:val="2"/>
                <w:szCs w:val="24"/>
                <w:highlight w:val="none"/>
                <w:lang w:val="en-US" w:eastAsia="zh-CN"/>
              </w:rPr>
              <w:t>9</w:t>
            </w:r>
            <w:r>
              <w:rPr>
                <w:b/>
                <w:bCs/>
                <w:color w:val="auto"/>
                <w:kern w:val="2"/>
                <w:szCs w:val="24"/>
                <w:highlight w:val="none"/>
              </w:rPr>
              <w:t xml:space="preserve">  产污情况表</w:t>
            </w:r>
          </w:p>
          <w:tbl>
            <w:tblPr>
              <w:tblStyle w:val="28"/>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5"/>
              <w:gridCol w:w="892"/>
              <w:gridCol w:w="1163"/>
              <w:gridCol w:w="1684"/>
              <w:gridCol w:w="1757"/>
              <w:gridCol w:w="2349"/>
            </w:tblGrid>
            <w:tr w14:paraId="1AD57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866" w:type="pct"/>
                  <w:gridSpan w:val="2"/>
                  <w:noWrap w:val="0"/>
                  <w:vAlign w:val="center"/>
                </w:tcPr>
                <w:p w14:paraId="4CF174DE">
                  <w:pPr>
                    <w:adjustRightInd w:val="0"/>
                    <w:snapToGrid w:val="0"/>
                    <w:jc w:val="center"/>
                    <w:rPr>
                      <w:b/>
                      <w:bCs/>
                      <w:color w:val="auto"/>
                      <w:sz w:val="21"/>
                      <w:szCs w:val="21"/>
                    </w:rPr>
                  </w:pPr>
                  <w:r>
                    <w:rPr>
                      <w:b/>
                      <w:bCs/>
                      <w:color w:val="auto"/>
                      <w:sz w:val="21"/>
                      <w:szCs w:val="21"/>
                    </w:rPr>
                    <w:t>主要污染源</w:t>
                  </w:r>
                </w:p>
              </w:tc>
              <w:tc>
                <w:tcPr>
                  <w:tcW w:w="1692" w:type="pct"/>
                  <w:gridSpan w:val="2"/>
                  <w:noWrap w:val="0"/>
                  <w:vAlign w:val="center"/>
                </w:tcPr>
                <w:p w14:paraId="55EA45B1">
                  <w:pPr>
                    <w:adjustRightInd w:val="0"/>
                    <w:snapToGrid w:val="0"/>
                    <w:jc w:val="center"/>
                    <w:rPr>
                      <w:b/>
                      <w:bCs/>
                      <w:color w:val="auto"/>
                      <w:sz w:val="21"/>
                      <w:szCs w:val="21"/>
                    </w:rPr>
                  </w:pPr>
                  <w:r>
                    <w:rPr>
                      <w:b/>
                      <w:bCs/>
                      <w:color w:val="auto"/>
                      <w:sz w:val="21"/>
                      <w:szCs w:val="21"/>
                    </w:rPr>
                    <w:t>来源</w:t>
                  </w:r>
                </w:p>
              </w:tc>
              <w:tc>
                <w:tcPr>
                  <w:tcW w:w="1044" w:type="pct"/>
                  <w:noWrap w:val="0"/>
                  <w:vAlign w:val="center"/>
                </w:tcPr>
                <w:p w14:paraId="13EB1442">
                  <w:pPr>
                    <w:adjustRightInd w:val="0"/>
                    <w:snapToGrid w:val="0"/>
                    <w:jc w:val="center"/>
                    <w:rPr>
                      <w:b/>
                      <w:bCs/>
                      <w:color w:val="auto"/>
                      <w:sz w:val="21"/>
                      <w:szCs w:val="21"/>
                    </w:rPr>
                  </w:pPr>
                  <w:r>
                    <w:rPr>
                      <w:b/>
                      <w:bCs/>
                      <w:color w:val="auto"/>
                      <w:sz w:val="21"/>
                      <w:szCs w:val="21"/>
                    </w:rPr>
                    <w:t>污染物名称</w:t>
                  </w:r>
                </w:p>
              </w:tc>
              <w:tc>
                <w:tcPr>
                  <w:tcW w:w="1396" w:type="pct"/>
                  <w:noWrap w:val="0"/>
                  <w:vAlign w:val="center"/>
                </w:tcPr>
                <w:p w14:paraId="6D370422">
                  <w:pPr>
                    <w:adjustRightInd w:val="0"/>
                    <w:snapToGrid w:val="0"/>
                    <w:jc w:val="center"/>
                    <w:rPr>
                      <w:b/>
                      <w:bCs/>
                      <w:color w:val="auto"/>
                      <w:sz w:val="21"/>
                      <w:szCs w:val="21"/>
                    </w:rPr>
                  </w:pPr>
                  <w:r>
                    <w:rPr>
                      <w:b/>
                      <w:bCs/>
                      <w:color w:val="auto"/>
                      <w:sz w:val="21"/>
                      <w:szCs w:val="21"/>
                    </w:rPr>
                    <w:t>排放方式</w:t>
                  </w:r>
                </w:p>
              </w:tc>
            </w:tr>
            <w:tr w14:paraId="04CB0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336" w:type="pct"/>
                  <w:vMerge w:val="restart"/>
                  <w:noWrap w:val="0"/>
                  <w:vAlign w:val="center"/>
                </w:tcPr>
                <w:p w14:paraId="50F9EE58">
                  <w:pPr>
                    <w:jc w:val="center"/>
                    <w:rPr>
                      <w:color w:val="auto"/>
                      <w:sz w:val="21"/>
                      <w:szCs w:val="21"/>
                    </w:rPr>
                  </w:pPr>
                  <w:r>
                    <w:rPr>
                      <w:color w:val="auto"/>
                      <w:sz w:val="21"/>
                      <w:szCs w:val="21"/>
                    </w:rPr>
                    <w:t>营运期</w:t>
                  </w:r>
                </w:p>
              </w:tc>
              <w:tc>
                <w:tcPr>
                  <w:tcW w:w="530" w:type="pct"/>
                  <w:vMerge w:val="restart"/>
                  <w:noWrap w:val="0"/>
                  <w:vAlign w:val="center"/>
                </w:tcPr>
                <w:p w14:paraId="67554C09">
                  <w:pPr>
                    <w:adjustRightInd w:val="0"/>
                    <w:snapToGrid w:val="0"/>
                    <w:jc w:val="center"/>
                    <w:rPr>
                      <w:bCs/>
                      <w:color w:val="auto"/>
                      <w:sz w:val="21"/>
                      <w:szCs w:val="21"/>
                    </w:rPr>
                  </w:pPr>
                  <w:r>
                    <w:rPr>
                      <w:bCs/>
                      <w:color w:val="auto"/>
                      <w:sz w:val="21"/>
                      <w:szCs w:val="21"/>
                    </w:rPr>
                    <w:t>废气</w:t>
                  </w:r>
                </w:p>
              </w:tc>
              <w:tc>
                <w:tcPr>
                  <w:tcW w:w="691" w:type="pct"/>
                  <w:vMerge w:val="restart"/>
                  <w:noWrap w:val="0"/>
                  <w:vAlign w:val="center"/>
                </w:tcPr>
                <w:p w14:paraId="7ABE12C9">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olor w:val="auto"/>
                      <w:sz w:val="21"/>
                      <w:szCs w:val="21"/>
                      <w:lang w:val="en-US" w:eastAsia="zh-CN"/>
                    </w:rPr>
                  </w:pPr>
                  <w:r>
                    <w:rPr>
                      <w:rFonts w:hint="eastAsia"/>
                      <w:color w:val="auto"/>
                      <w:sz w:val="21"/>
                      <w:szCs w:val="21"/>
                      <w:lang w:val="en-US" w:eastAsia="zh-CN"/>
                    </w:rPr>
                    <w:t>彩印车间</w:t>
                  </w:r>
                </w:p>
              </w:tc>
              <w:tc>
                <w:tcPr>
                  <w:tcW w:w="1000" w:type="pct"/>
                  <w:noWrap w:val="0"/>
                  <w:vAlign w:val="center"/>
                </w:tcPr>
                <w:p w14:paraId="24F13927">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调墨废气</w:t>
                  </w:r>
                </w:p>
              </w:tc>
              <w:tc>
                <w:tcPr>
                  <w:tcW w:w="1044" w:type="pct"/>
                  <w:vMerge w:val="restart"/>
                  <w:noWrap w:val="0"/>
                  <w:vAlign w:val="center"/>
                </w:tcPr>
                <w:p w14:paraId="0E8E1847">
                  <w:pPr>
                    <w:adjustRightInd w:val="0"/>
                    <w:snapToGrid w:val="0"/>
                    <w:jc w:val="center"/>
                    <w:rPr>
                      <w:rFonts w:hint="default" w:eastAsia="宋体"/>
                      <w:bCs/>
                      <w:color w:val="auto"/>
                      <w:sz w:val="21"/>
                      <w:szCs w:val="21"/>
                      <w:vertAlign w:val="subscript"/>
                      <w:lang w:val="en-US" w:eastAsia="zh-CN"/>
                    </w:rPr>
                  </w:pPr>
                  <w:r>
                    <w:rPr>
                      <w:rFonts w:hint="default" w:ascii="Times New Roman" w:hAnsi="Times New Roman" w:cs="Times New Roman"/>
                      <w:bCs/>
                      <w:color w:val="auto"/>
                      <w:sz w:val="21"/>
                      <w:szCs w:val="21"/>
                      <w:vertAlign w:val="baseline"/>
                      <w:lang w:val="en-US" w:eastAsia="zh-CN"/>
                    </w:rPr>
                    <w:t>NMHC</w:t>
                  </w:r>
                </w:p>
              </w:tc>
              <w:tc>
                <w:tcPr>
                  <w:tcW w:w="1396" w:type="pct"/>
                  <w:vMerge w:val="restart"/>
                  <w:noWrap w:val="0"/>
                  <w:vAlign w:val="center"/>
                </w:tcPr>
                <w:p w14:paraId="042EA60A">
                  <w:pPr>
                    <w:adjustRightInd w:val="0"/>
                    <w:snapToGrid w:val="0"/>
                    <w:jc w:val="center"/>
                    <w:rPr>
                      <w:rFonts w:hint="eastAsia"/>
                      <w:bCs/>
                      <w:color w:val="auto"/>
                      <w:sz w:val="21"/>
                      <w:szCs w:val="21"/>
                    </w:rPr>
                  </w:pPr>
                  <w:r>
                    <w:rPr>
                      <w:rFonts w:hint="eastAsia"/>
                      <w:color w:val="auto"/>
                      <w:sz w:val="21"/>
                      <w:szCs w:val="21"/>
                      <w:lang w:val="en-US" w:eastAsia="zh-CN"/>
                    </w:rPr>
                    <w:t>负压收集后经一套“二级活性炭吸附”</w:t>
                  </w:r>
                  <w:r>
                    <w:rPr>
                      <w:rFonts w:hint="eastAsia" w:ascii="Times New Roman" w:hAnsi="Times New Roman" w:cs="Times New Roman"/>
                      <w:b w:val="0"/>
                      <w:bCs w:val="0"/>
                      <w:color w:val="auto"/>
                      <w:sz w:val="21"/>
                      <w:szCs w:val="21"/>
                      <w:highlight w:val="none"/>
                      <w:lang w:val="en-US" w:eastAsia="zh-CN"/>
                    </w:rPr>
                    <w:t>装置</w:t>
                  </w:r>
                  <w:r>
                    <w:rPr>
                      <w:rFonts w:hint="eastAsia"/>
                      <w:color w:val="auto"/>
                      <w:sz w:val="21"/>
                      <w:szCs w:val="21"/>
                    </w:rPr>
                    <w:t>处理</w:t>
                  </w:r>
                  <w:r>
                    <w:rPr>
                      <w:rFonts w:hint="eastAsia"/>
                      <w:color w:val="auto"/>
                      <w:sz w:val="21"/>
                      <w:szCs w:val="21"/>
                      <w:lang w:val="en-US" w:eastAsia="zh-CN"/>
                    </w:rPr>
                    <w:t>达标后通过</w:t>
                  </w:r>
                  <w:r>
                    <w:rPr>
                      <w:color w:val="auto"/>
                      <w:sz w:val="21"/>
                      <w:szCs w:val="21"/>
                    </w:rPr>
                    <w:t xml:space="preserve">15m </w:t>
                  </w:r>
                  <w:r>
                    <w:rPr>
                      <w:rFonts w:hint="eastAsia"/>
                      <w:color w:val="auto"/>
                      <w:sz w:val="21"/>
                      <w:szCs w:val="21"/>
                    </w:rPr>
                    <w:t>高排气筒（</w:t>
                  </w:r>
                  <w:r>
                    <w:rPr>
                      <w:color w:val="auto"/>
                      <w:sz w:val="21"/>
                      <w:szCs w:val="21"/>
                    </w:rPr>
                    <w:t>DA00</w:t>
                  </w:r>
                  <w:r>
                    <w:rPr>
                      <w:rFonts w:hint="eastAsia"/>
                      <w:color w:val="auto"/>
                      <w:sz w:val="21"/>
                      <w:szCs w:val="21"/>
                      <w:lang w:val="en-US" w:eastAsia="zh-CN"/>
                    </w:rPr>
                    <w:t>1</w:t>
                  </w:r>
                  <w:r>
                    <w:rPr>
                      <w:rFonts w:hint="eastAsia"/>
                      <w:color w:val="auto"/>
                      <w:sz w:val="21"/>
                      <w:szCs w:val="21"/>
                    </w:rPr>
                    <w:t>）排放</w:t>
                  </w:r>
                </w:p>
              </w:tc>
            </w:tr>
            <w:tr w14:paraId="27BA0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6" w:type="pct"/>
                  <w:vMerge w:val="continue"/>
                  <w:noWrap w:val="0"/>
                  <w:vAlign w:val="center"/>
                </w:tcPr>
                <w:p w14:paraId="4695A448">
                  <w:pPr>
                    <w:jc w:val="center"/>
                    <w:rPr>
                      <w:color w:val="auto"/>
                      <w:sz w:val="21"/>
                      <w:szCs w:val="21"/>
                    </w:rPr>
                  </w:pPr>
                </w:p>
              </w:tc>
              <w:tc>
                <w:tcPr>
                  <w:tcW w:w="530" w:type="pct"/>
                  <w:vMerge w:val="continue"/>
                  <w:noWrap w:val="0"/>
                  <w:vAlign w:val="center"/>
                </w:tcPr>
                <w:p w14:paraId="00AE8D58">
                  <w:pPr>
                    <w:adjustRightInd w:val="0"/>
                    <w:snapToGrid w:val="0"/>
                    <w:jc w:val="center"/>
                    <w:rPr>
                      <w:bCs/>
                      <w:color w:val="auto"/>
                      <w:sz w:val="21"/>
                      <w:szCs w:val="21"/>
                    </w:rPr>
                  </w:pPr>
                </w:p>
              </w:tc>
              <w:tc>
                <w:tcPr>
                  <w:tcW w:w="691" w:type="pct"/>
                  <w:vMerge w:val="continue"/>
                  <w:noWrap w:val="0"/>
                  <w:vAlign w:val="center"/>
                </w:tcPr>
                <w:p w14:paraId="23E08764">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olor w:val="auto"/>
                      <w:sz w:val="21"/>
                      <w:szCs w:val="21"/>
                      <w:lang w:val="en-US" w:eastAsia="zh-CN"/>
                    </w:rPr>
                  </w:pPr>
                </w:p>
              </w:tc>
              <w:tc>
                <w:tcPr>
                  <w:tcW w:w="1000" w:type="pct"/>
                  <w:noWrap w:val="0"/>
                  <w:vAlign w:val="center"/>
                </w:tcPr>
                <w:p w14:paraId="54B68CB7">
                  <w:pPr>
                    <w:adjustRightInd w:val="0"/>
                    <w:snapToGrid w:val="0"/>
                    <w:jc w:val="center"/>
                    <w:rPr>
                      <w:rFonts w:hint="default"/>
                      <w:color w:val="auto"/>
                      <w:sz w:val="21"/>
                      <w:szCs w:val="21"/>
                      <w:lang w:val="en-US" w:eastAsia="zh-CN"/>
                    </w:rPr>
                  </w:pPr>
                  <w:r>
                    <w:rPr>
                      <w:rFonts w:hint="eastAsia" w:cs="Times New Roman"/>
                      <w:color w:val="auto"/>
                      <w:sz w:val="21"/>
                      <w:szCs w:val="21"/>
                      <w:highlight w:val="none"/>
                      <w:shd w:val="clear" w:color="auto" w:fill="auto"/>
                      <w:lang w:val="en-US" w:eastAsia="zh-CN"/>
                    </w:rPr>
                    <w:t>印刷废气</w:t>
                  </w:r>
                </w:p>
              </w:tc>
              <w:tc>
                <w:tcPr>
                  <w:tcW w:w="1044" w:type="pct"/>
                  <w:vMerge w:val="continue"/>
                  <w:noWrap w:val="0"/>
                  <w:vAlign w:val="center"/>
                </w:tcPr>
                <w:p w14:paraId="744B4E16">
                  <w:pPr>
                    <w:adjustRightInd w:val="0"/>
                    <w:snapToGrid w:val="0"/>
                    <w:jc w:val="center"/>
                    <w:rPr>
                      <w:rFonts w:hint="default"/>
                      <w:bCs/>
                      <w:color w:val="auto"/>
                      <w:sz w:val="21"/>
                      <w:szCs w:val="21"/>
                      <w:lang w:val="en-US" w:eastAsia="zh-CN"/>
                    </w:rPr>
                  </w:pPr>
                </w:p>
              </w:tc>
              <w:tc>
                <w:tcPr>
                  <w:tcW w:w="1396" w:type="pct"/>
                  <w:vMerge w:val="continue"/>
                  <w:noWrap w:val="0"/>
                  <w:vAlign w:val="center"/>
                </w:tcPr>
                <w:p w14:paraId="47006C82">
                  <w:pPr>
                    <w:adjustRightInd w:val="0"/>
                    <w:snapToGrid w:val="0"/>
                    <w:jc w:val="center"/>
                    <w:rPr>
                      <w:rFonts w:hint="eastAsia"/>
                      <w:color w:val="auto"/>
                      <w:sz w:val="21"/>
                      <w:szCs w:val="21"/>
                    </w:rPr>
                  </w:pPr>
                </w:p>
              </w:tc>
            </w:tr>
            <w:tr w14:paraId="37D03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9" w:hRule="atLeast"/>
              </w:trPr>
              <w:tc>
                <w:tcPr>
                  <w:tcW w:w="336" w:type="pct"/>
                  <w:vMerge w:val="continue"/>
                  <w:noWrap w:val="0"/>
                  <w:vAlign w:val="center"/>
                </w:tcPr>
                <w:p w14:paraId="43A7753F">
                  <w:pPr>
                    <w:jc w:val="center"/>
                    <w:rPr>
                      <w:color w:val="auto"/>
                      <w:sz w:val="21"/>
                      <w:szCs w:val="21"/>
                    </w:rPr>
                  </w:pPr>
                </w:p>
              </w:tc>
              <w:tc>
                <w:tcPr>
                  <w:tcW w:w="530" w:type="pct"/>
                  <w:vMerge w:val="continue"/>
                  <w:noWrap w:val="0"/>
                  <w:vAlign w:val="center"/>
                </w:tcPr>
                <w:p w14:paraId="41BAF3F5">
                  <w:pPr>
                    <w:adjustRightInd w:val="0"/>
                    <w:snapToGrid w:val="0"/>
                    <w:jc w:val="center"/>
                    <w:rPr>
                      <w:bCs/>
                      <w:color w:val="auto"/>
                      <w:sz w:val="21"/>
                      <w:szCs w:val="21"/>
                    </w:rPr>
                  </w:pPr>
                </w:p>
              </w:tc>
              <w:tc>
                <w:tcPr>
                  <w:tcW w:w="691" w:type="pct"/>
                  <w:noWrap w:val="0"/>
                  <w:vAlign w:val="center"/>
                </w:tcPr>
                <w:p w14:paraId="34492D04">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eastAsia="宋体"/>
                      <w:color w:val="auto"/>
                      <w:sz w:val="21"/>
                      <w:szCs w:val="21"/>
                      <w:lang w:val="en-US" w:eastAsia="zh-CN"/>
                    </w:rPr>
                  </w:pPr>
                  <w:r>
                    <w:rPr>
                      <w:rFonts w:hint="eastAsia" w:cs="Times New Roman"/>
                      <w:color w:val="auto"/>
                      <w:sz w:val="21"/>
                      <w:szCs w:val="21"/>
                      <w:highlight w:val="none"/>
                      <w:shd w:val="clear" w:color="auto" w:fill="auto"/>
                      <w:lang w:val="en-US" w:eastAsia="zh-CN"/>
                    </w:rPr>
                    <w:t>油墨车间</w:t>
                  </w:r>
                </w:p>
              </w:tc>
              <w:tc>
                <w:tcPr>
                  <w:tcW w:w="1000" w:type="pct"/>
                  <w:shd w:val="clear" w:color="auto" w:fill="auto"/>
                  <w:noWrap w:val="0"/>
                  <w:vAlign w:val="center"/>
                </w:tcPr>
                <w:p w14:paraId="2F53878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调墨废气</w:t>
                  </w:r>
                </w:p>
              </w:tc>
              <w:tc>
                <w:tcPr>
                  <w:tcW w:w="1044" w:type="pct"/>
                  <w:vMerge w:val="restart"/>
                  <w:noWrap w:val="0"/>
                  <w:vAlign w:val="center"/>
                </w:tcPr>
                <w:p w14:paraId="36CC98AC">
                  <w:pPr>
                    <w:adjustRightInd w:val="0"/>
                    <w:snapToGrid w:val="0"/>
                    <w:jc w:val="center"/>
                    <w:rPr>
                      <w:rFonts w:hint="default" w:eastAsia="宋体"/>
                      <w:color w:val="auto"/>
                      <w:sz w:val="21"/>
                      <w:szCs w:val="21"/>
                      <w:lang w:val="en-US" w:eastAsia="zh-CN"/>
                    </w:rPr>
                  </w:pPr>
                  <w:r>
                    <w:rPr>
                      <w:rFonts w:hint="default" w:ascii="Times New Roman" w:hAnsi="Times New Roman" w:cs="Times New Roman"/>
                      <w:bCs/>
                      <w:color w:val="auto"/>
                      <w:sz w:val="21"/>
                      <w:szCs w:val="21"/>
                      <w:vertAlign w:val="baseline"/>
                      <w:lang w:val="en-US" w:eastAsia="zh-CN"/>
                    </w:rPr>
                    <w:t>NMHC</w:t>
                  </w:r>
                </w:p>
              </w:tc>
              <w:tc>
                <w:tcPr>
                  <w:tcW w:w="1396" w:type="pct"/>
                  <w:vMerge w:val="restart"/>
                  <w:noWrap w:val="0"/>
                  <w:vAlign w:val="center"/>
                </w:tcPr>
                <w:p w14:paraId="5AD4D1DE">
                  <w:pPr>
                    <w:adjustRightInd w:val="0"/>
                    <w:snapToGrid w:val="0"/>
                    <w:jc w:val="center"/>
                    <w:rPr>
                      <w:rFonts w:hint="eastAsia" w:eastAsia="宋体"/>
                      <w:color w:val="auto"/>
                      <w:sz w:val="21"/>
                      <w:szCs w:val="21"/>
                      <w:lang w:val="en-US" w:eastAsia="zh-CN"/>
                    </w:rPr>
                  </w:pPr>
                  <w:r>
                    <w:rPr>
                      <w:rFonts w:hint="eastAsia"/>
                      <w:color w:val="auto"/>
                      <w:sz w:val="21"/>
                      <w:szCs w:val="21"/>
                      <w:lang w:val="en-US" w:eastAsia="zh-CN"/>
                    </w:rPr>
                    <w:t>无组织</w:t>
                  </w:r>
                </w:p>
              </w:tc>
            </w:tr>
            <w:tr w14:paraId="5A501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336" w:type="pct"/>
                  <w:vMerge w:val="continue"/>
                  <w:noWrap w:val="0"/>
                  <w:vAlign w:val="center"/>
                </w:tcPr>
                <w:p w14:paraId="4CFFDC61">
                  <w:pPr>
                    <w:jc w:val="center"/>
                    <w:rPr>
                      <w:color w:val="auto"/>
                      <w:sz w:val="21"/>
                      <w:szCs w:val="21"/>
                    </w:rPr>
                  </w:pPr>
                </w:p>
              </w:tc>
              <w:tc>
                <w:tcPr>
                  <w:tcW w:w="530" w:type="pct"/>
                  <w:vMerge w:val="continue"/>
                  <w:noWrap w:val="0"/>
                  <w:vAlign w:val="center"/>
                </w:tcPr>
                <w:p w14:paraId="627BC74C">
                  <w:pPr>
                    <w:adjustRightInd w:val="0"/>
                    <w:snapToGrid w:val="0"/>
                    <w:jc w:val="center"/>
                    <w:rPr>
                      <w:bCs/>
                      <w:color w:val="auto"/>
                      <w:sz w:val="21"/>
                      <w:szCs w:val="21"/>
                    </w:rPr>
                  </w:pPr>
                </w:p>
              </w:tc>
              <w:tc>
                <w:tcPr>
                  <w:tcW w:w="691" w:type="pct"/>
                  <w:noWrap w:val="0"/>
                  <w:vAlign w:val="center"/>
                </w:tcPr>
                <w:p w14:paraId="4C251114">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eastAsia="宋体"/>
                      <w:color w:val="auto"/>
                      <w:sz w:val="21"/>
                      <w:szCs w:val="21"/>
                      <w:lang w:val="en-US" w:eastAsia="zh-CN"/>
                    </w:rPr>
                  </w:pPr>
                  <w:r>
                    <w:rPr>
                      <w:rFonts w:hint="eastAsia"/>
                      <w:color w:val="auto"/>
                      <w:sz w:val="21"/>
                      <w:szCs w:val="21"/>
                      <w:lang w:val="en-US" w:eastAsia="zh-CN"/>
                    </w:rPr>
                    <w:t>彩印车间</w:t>
                  </w:r>
                </w:p>
              </w:tc>
              <w:tc>
                <w:tcPr>
                  <w:tcW w:w="1000" w:type="pct"/>
                  <w:noWrap w:val="0"/>
                  <w:vAlign w:val="center"/>
                </w:tcPr>
                <w:p w14:paraId="2354E6E4">
                  <w:pPr>
                    <w:adjustRightInd w:val="0"/>
                    <w:snapToGrid w:val="0"/>
                    <w:jc w:val="center"/>
                    <w:rPr>
                      <w:rFonts w:hint="default" w:eastAsia="宋体"/>
                      <w:color w:val="auto"/>
                      <w:sz w:val="21"/>
                      <w:szCs w:val="21"/>
                      <w:lang w:val="en-US" w:eastAsia="zh-CN"/>
                    </w:rPr>
                  </w:pPr>
                  <w:r>
                    <w:rPr>
                      <w:rFonts w:hint="eastAsia" w:cs="Times New Roman"/>
                      <w:color w:val="auto"/>
                      <w:sz w:val="21"/>
                      <w:szCs w:val="21"/>
                      <w:highlight w:val="none"/>
                      <w:shd w:val="clear" w:color="auto" w:fill="auto"/>
                      <w:lang w:val="en-US" w:eastAsia="zh-CN"/>
                    </w:rPr>
                    <w:t>印刷废气</w:t>
                  </w:r>
                </w:p>
              </w:tc>
              <w:tc>
                <w:tcPr>
                  <w:tcW w:w="1044" w:type="pct"/>
                  <w:vMerge w:val="continue"/>
                  <w:noWrap w:val="0"/>
                  <w:vAlign w:val="center"/>
                </w:tcPr>
                <w:p w14:paraId="61836AB0">
                  <w:pPr>
                    <w:adjustRightInd w:val="0"/>
                    <w:snapToGrid w:val="0"/>
                    <w:jc w:val="center"/>
                    <w:rPr>
                      <w:rFonts w:hint="default" w:eastAsia="宋体"/>
                      <w:color w:val="auto"/>
                      <w:sz w:val="21"/>
                      <w:szCs w:val="21"/>
                      <w:lang w:val="en-US" w:eastAsia="zh-CN"/>
                    </w:rPr>
                  </w:pPr>
                </w:p>
              </w:tc>
              <w:tc>
                <w:tcPr>
                  <w:tcW w:w="1396" w:type="pct"/>
                  <w:vMerge w:val="continue"/>
                  <w:noWrap w:val="0"/>
                  <w:vAlign w:val="center"/>
                </w:tcPr>
                <w:p w14:paraId="000C758F">
                  <w:pPr>
                    <w:adjustRightInd w:val="0"/>
                    <w:snapToGrid w:val="0"/>
                    <w:jc w:val="center"/>
                    <w:rPr>
                      <w:rFonts w:hint="eastAsia" w:eastAsia="宋体"/>
                      <w:color w:val="auto"/>
                      <w:sz w:val="21"/>
                      <w:szCs w:val="21"/>
                      <w:lang w:val="en-US" w:eastAsia="zh-CN"/>
                    </w:rPr>
                  </w:pPr>
                </w:p>
              </w:tc>
            </w:tr>
            <w:tr w14:paraId="0D73C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336" w:type="pct"/>
                  <w:vMerge w:val="continue"/>
                  <w:noWrap w:val="0"/>
                  <w:vAlign w:val="center"/>
                </w:tcPr>
                <w:p w14:paraId="60082889">
                  <w:pPr>
                    <w:adjustRightInd w:val="0"/>
                    <w:snapToGrid w:val="0"/>
                    <w:jc w:val="center"/>
                    <w:rPr>
                      <w:color w:val="auto"/>
                      <w:sz w:val="21"/>
                      <w:szCs w:val="21"/>
                    </w:rPr>
                  </w:pPr>
                </w:p>
              </w:tc>
              <w:tc>
                <w:tcPr>
                  <w:tcW w:w="530" w:type="pct"/>
                  <w:noWrap w:val="0"/>
                  <w:vAlign w:val="center"/>
                </w:tcPr>
                <w:p w14:paraId="78E0C5AC">
                  <w:pPr>
                    <w:adjustRightInd w:val="0"/>
                    <w:snapToGrid w:val="0"/>
                    <w:jc w:val="center"/>
                    <w:rPr>
                      <w:bCs/>
                      <w:color w:val="auto"/>
                      <w:sz w:val="21"/>
                      <w:szCs w:val="21"/>
                    </w:rPr>
                  </w:pPr>
                  <w:r>
                    <w:rPr>
                      <w:bCs/>
                      <w:color w:val="auto"/>
                      <w:sz w:val="21"/>
                      <w:szCs w:val="21"/>
                    </w:rPr>
                    <w:t>废水</w:t>
                  </w:r>
                </w:p>
              </w:tc>
              <w:tc>
                <w:tcPr>
                  <w:tcW w:w="1692" w:type="pct"/>
                  <w:gridSpan w:val="2"/>
                  <w:noWrap w:val="0"/>
                  <w:vAlign w:val="center"/>
                </w:tcPr>
                <w:p w14:paraId="05553B30">
                  <w:pPr>
                    <w:adjustRightInd w:val="0"/>
                    <w:snapToGrid w:val="0"/>
                    <w:jc w:val="center"/>
                    <w:rPr>
                      <w:bCs/>
                      <w:color w:val="auto"/>
                      <w:sz w:val="21"/>
                      <w:szCs w:val="21"/>
                    </w:rPr>
                  </w:pPr>
                  <w:r>
                    <w:rPr>
                      <w:bCs/>
                      <w:color w:val="auto"/>
                      <w:sz w:val="21"/>
                      <w:szCs w:val="21"/>
                    </w:rPr>
                    <w:t>生活污水</w:t>
                  </w:r>
                </w:p>
              </w:tc>
              <w:tc>
                <w:tcPr>
                  <w:tcW w:w="1044" w:type="pct"/>
                  <w:noWrap w:val="0"/>
                  <w:vAlign w:val="center"/>
                </w:tcPr>
                <w:p w14:paraId="1C5DFB60">
                  <w:pPr>
                    <w:adjustRightInd w:val="0"/>
                    <w:snapToGrid w:val="0"/>
                    <w:jc w:val="center"/>
                    <w:rPr>
                      <w:bCs/>
                      <w:color w:val="auto"/>
                      <w:sz w:val="21"/>
                      <w:szCs w:val="21"/>
                    </w:rPr>
                  </w:pPr>
                  <w:r>
                    <w:rPr>
                      <w:bCs/>
                      <w:color w:val="auto"/>
                      <w:sz w:val="21"/>
                      <w:szCs w:val="21"/>
                    </w:rPr>
                    <w:t>p</w:t>
                  </w:r>
                  <w:r>
                    <w:rPr>
                      <w:rFonts w:hint="eastAsia"/>
                      <w:bCs/>
                      <w:color w:val="auto"/>
                      <w:sz w:val="21"/>
                      <w:szCs w:val="21"/>
                    </w:rPr>
                    <w:t>H、</w:t>
                  </w:r>
                  <w:r>
                    <w:rPr>
                      <w:bCs/>
                      <w:color w:val="auto"/>
                      <w:sz w:val="21"/>
                      <w:szCs w:val="21"/>
                    </w:rPr>
                    <w:t>COD</w:t>
                  </w:r>
                  <w:r>
                    <w:rPr>
                      <w:bCs/>
                      <w:color w:val="auto"/>
                      <w:sz w:val="21"/>
                      <w:szCs w:val="21"/>
                      <w:vertAlign w:val="subscript"/>
                    </w:rPr>
                    <w:t>Cr</w:t>
                  </w:r>
                  <w:r>
                    <w:rPr>
                      <w:bCs/>
                      <w:color w:val="auto"/>
                      <w:sz w:val="21"/>
                      <w:szCs w:val="21"/>
                    </w:rPr>
                    <w:t>、BOD</w:t>
                  </w:r>
                  <w:r>
                    <w:rPr>
                      <w:bCs/>
                      <w:color w:val="auto"/>
                      <w:sz w:val="21"/>
                      <w:szCs w:val="21"/>
                      <w:vertAlign w:val="subscript"/>
                    </w:rPr>
                    <w:t>5</w:t>
                  </w:r>
                  <w:r>
                    <w:rPr>
                      <w:bCs/>
                      <w:color w:val="auto"/>
                      <w:sz w:val="21"/>
                      <w:szCs w:val="21"/>
                    </w:rPr>
                    <w:t>、NH</w:t>
                  </w:r>
                  <w:r>
                    <w:rPr>
                      <w:bCs/>
                      <w:color w:val="auto"/>
                      <w:sz w:val="21"/>
                      <w:szCs w:val="21"/>
                      <w:vertAlign w:val="subscript"/>
                    </w:rPr>
                    <w:t>3</w:t>
                  </w:r>
                  <w:r>
                    <w:rPr>
                      <w:bCs/>
                      <w:color w:val="auto"/>
                      <w:sz w:val="21"/>
                      <w:szCs w:val="21"/>
                    </w:rPr>
                    <w:t>-N、SS、TP、</w:t>
                  </w:r>
                  <w:r>
                    <w:rPr>
                      <w:rFonts w:hint="eastAsia"/>
                      <w:bCs/>
                      <w:color w:val="auto"/>
                      <w:sz w:val="21"/>
                      <w:szCs w:val="21"/>
                    </w:rPr>
                    <w:t>动植物油</w:t>
                  </w:r>
                </w:p>
              </w:tc>
              <w:tc>
                <w:tcPr>
                  <w:tcW w:w="1396" w:type="pct"/>
                  <w:noWrap w:val="0"/>
                  <w:vAlign w:val="center"/>
                </w:tcPr>
                <w:p w14:paraId="34D14DD0">
                  <w:pPr>
                    <w:adjustRightInd w:val="0"/>
                    <w:snapToGrid w:val="0"/>
                    <w:jc w:val="both"/>
                    <w:rPr>
                      <w:rFonts w:hint="default" w:eastAsia="宋体"/>
                      <w:color w:val="auto"/>
                      <w:sz w:val="21"/>
                      <w:szCs w:val="21"/>
                      <w:lang w:val="en-US" w:eastAsia="zh-CN"/>
                    </w:rPr>
                  </w:pPr>
                  <w:r>
                    <w:rPr>
                      <w:rFonts w:hint="eastAsia"/>
                      <w:color w:val="auto"/>
                      <w:sz w:val="21"/>
                      <w:szCs w:val="21"/>
                      <w:lang w:val="en-US" w:eastAsia="zh-CN" w:bidi="ar"/>
                    </w:rPr>
                    <w:t>经</w:t>
                  </w:r>
                  <w:r>
                    <w:rPr>
                      <w:rFonts w:hint="eastAsia"/>
                      <w:color w:val="auto"/>
                      <w:sz w:val="21"/>
                      <w:szCs w:val="21"/>
                      <w:lang w:bidi="ar"/>
                    </w:rPr>
                    <w:t>化粪池</w:t>
                  </w:r>
                  <w:r>
                    <w:rPr>
                      <w:rFonts w:hint="eastAsia"/>
                      <w:color w:val="auto"/>
                      <w:sz w:val="21"/>
                      <w:szCs w:val="21"/>
                      <w:lang w:val="en-US" w:eastAsia="zh-CN" w:bidi="ar"/>
                    </w:rPr>
                    <w:t>预</w:t>
                  </w:r>
                  <w:r>
                    <w:rPr>
                      <w:rFonts w:hint="eastAsia"/>
                      <w:color w:val="auto"/>
                      <w:sz w:val="21"/>
                      <w:szCs w:val="21"/>
                      <w:lang w:bidi="ar"/>
                    </w:rPr>
                    <w:t>处理</w:t>
                  </w:r>
                  <w:r>
                    <w:rPr>
                      <w:rFonts w:hint="eastAsia"/>
                      <w:color w:val="auto"/>
                      <w:sz w:val="21"/>
                      <w:szCs w:val="21"/>
                      <w:lang w:val="en-US" w:eastAsia="zh-CN" w:bidi="ar"/>
                    </w:rPr>
                    <w:t>后</w:t>
                  </w:r>
                  <w:r>
                    <w:rPr>
                      <w:rFonts w:hint="eastAsia"/>
                      <w:color w:val="auto"/>
                      <w:sz w:val="21"/>
                      <w:szCs w:val="21"/>
                    </w:rPr>
                    <w:t>用于周边</w:t>
                  </w:r>
                  <w:r>
                    <w:rPr>
                      <w:rFonts w:hint="eastAsia"/>
                      <w:color w:val="auto"/>
                      <w:sz w:val="21"/>
                      <w:szCs w:val="21"/>
                      <w:lang w:val="en-US" w:eastAsia="zh-CN"/>
                    </w:rPr>
                    <w:t>林地施肥，不外排。</w:t>
                  </w:r>
                </w:p>
              </w:tc>
            </w:tr>
            <w:tr w14:paraId="639F4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336" w:type="pct"/>
                  <w:vMerge w:val="continue"/>
                  <w:noWrap w:val="0"/>
                  <w:vAlign w:val="center"/>
                </w:tcPr>
                <w:p w14:paraId="5AC93C53">
                  <w:pPr>
                    <w:adjustRightInd w:val="0"/>
                    <w:snapToGrid w:val="0"/>
                    <w:jc w:val="center"/>
                    <w:rPr>
                      <w:color w:val="auto"/>
                      <w:sz w:val="21"/>
                      <w:szCs w:val="21"/>
                    </w:rPr>
                  </w:pPr>
                </w:p>
              </w:tc>
              <w:tc>
                <w:tcPr>
                  <w:tcW w:w="530" w:type="pct"/>
                  <w:vMerge w:val="restart"/>
                  <w:noWrap w:val="0"/>
                  <w:vAlign w:val="center"/>
                </w:tcPr>
                <w:p w14:paraId="4AB48CAF">
                  <w:pPr>
                    <w:adjustRightInd w:val="0"/>
                    <w:snapToGrid w:val="0"/>
                    <w:jc w:val="center"/>
                    <w:rPr>
                      <w:bCs/>
                      <w:color w:val="auto"/>
                      <w:sz w:val="21"/>
                      <w:szCs w:val="21"/>
                    </w:rPr>
                  </w:pPr>
                  <w:r>
                    <w:rPr>
                      <w:bCs/>
                      <w:color w:val="auto"/>
                      <w:sz w:val="21"/>
                      <w:szCs w:val="21"/>
                    </w:rPr>
                    <w:t>固体废物</w:t>
                  </w:r>
                </w:p>
              </w:tc>
              <w:tc>
                <w:tcPr>
                  <w:tcW w:w="1692" w:type="pct"/>
                  <w:gridSpan w:val="2"/>
                  <w:noWrap w:val="0"/>
                  <w:vAlign w:val="center"/>
                </w:tcPr>
                <w:p w14:paraId="5B0EB239">
                  <w:pPr>
                    <w:adjustRightInd w:val="0"/>
                    <w:snapToGrid w:val="0"/>
                    <w:jc w:val="center"/>
                    <w:rPr>
                      <w:rFonts w:hint="default" w:eastAsia="宋体"/>
                      <w:bCs/>
                      <w:color w:val="auto"/>
                      <w:sz w:val="21"/>
                      <w:szCs w:val="21"/>
                      <w:lang w:val="en-US" w:eastAsia="zh-CN"/>
                    </w:rPr>
                  </w:pPr>
                  <w:r>
                    <w:rPr>
                      <w:rFonts w:hint="eastAsia"/>
                      <w:bCs/>
                      <w:color w:val="auto"/>
                      <w:sz w:val="21"/>
                      <w:szCs w:val="21"/>
                      <w:lang w:val="en-US" w:eastAsia="zh-CN"/>
                    </w:rPr>
                    <w:t>原料拆装</w:t>
                  </w:r>
                </w:p>
              </w:tc>
              <w:tc>
                <w:tcPr>
                  <w:tcW w:w="1044" w:type="pct"/>
                  <w:noWrap w:val="0"/>
                  <w:vAlign w:val="center"/>
                </w:tcPr>
                <w:p w14:paraId="1DD0FA77">
                  <w:pPr>
                    <w:adjustRightInd w:val="0"/>
                    <w:snapToGrid w:val="0"/>
                    <w:jc w:val="center"/>
                    <w:rPr>
                      <w:rFonts w:hint="default"/>
                      <w:bCs/>
                      <w:color w:val="auto"/>
                      <w:sz w:val="21"/>
                      <w:szCs w:val="21"/>
                      <w:lang w:val="en-US"/>
                    </w:rPr>
                  </w:pPr>
                  <w:r>
                    <w:rPr>
                      <w:rFonts w:hint="eastAsia"/>
                      <w:bCs/>
                      <w:color w:val="auto"/>
                      <w:sz w:val="21"/>
                      <w:szCs w:val="21"/>
                      <w:lang w:val="en-US" w:eastAsia="zh-CN"/>
                    </w:rPr>
                    <w:t>废包装材料</w:t>
                  </w:r>
                </w:p>
              </w:tc>
              <w:tc>
                <w:tcPr>
                  <w:tcW w:w="1396" w:type="pct"/>
                  <w:noWrap w:val="0"/>
                  <w:vAlign w:val="center"/>
                </w:tcPr>
                <w:p w14:paraId="52504330">
                  <w:pPr>
                    <w:adjustRightInd w:val="0"/>
                    <w:snapToGrid w:val="0"/>
                    <w:jc w:val="center"/>
                    <w:rPr>
                      <w:rFonts w:hint="default"/>
                      <w:bCs/>
                      <w:color w:val="auto"/>
                      <w:sz w:val="21"/>
                      <w:szCs w:val="21"/>
                      <w:lang w:val="en-US"/>
                    </w:rPr>
                  </w:pPr>
                  <w:r>
                    <w:rPr>
                      <w:rFonts w:hint="eastAsia"/>
                      <w:color w:val="auto"/>
                      <w:sz w:val="21"/>
                      <w:szCs w:val="21"/>
                      <w:lang w:val="en-US" w:eastAsia="zh-CN"/>
                    </w:rPr>
                    <w:t>外售综合利用</w:t>
                  </w:r>
                </w:p>
              </w:tc>
            </w:tr>
            <w:tr w14:paraId="6BF71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36" w:type="pct"/>
                  <w:vMerge w:val="continue"/>
                  <w:noWrap w:val="0"/>
                  <w:vAlign w:val="center"/>
                </w:tcPr>
                <w:p w14:paraId="7A4FC7F7">
                  <w:pPr>
                    <w:adjustRightInd w:val="0"/>
                    <w:snapToGrid w:val="0"/>
                    <w:jc w:val="center"/>
                    <w:rPr>
                      <w:color w:val="auto"/>
                      <w:sz w:val="21"/>
                      <w:szCs w:val="21"/>
                    </w:rPr>
                  </w:pPr>
                </w:p>
              </w:tc>
              <w:tc>
                <w:tcPr>
                  <w:tcW w:w="530" w:type="pct"/>
                  <w:vMerge w:val="continue"/>
                  <w:noWrap w:val="0"/>
                  <w:vAlign w:val="center"/>
                </w:tcPr>
                <w:p w14:paraId="7F8479B2">
                  <w:pPr>
                    <w:adjustRightInd w:val="0"/>
                    <w:snapToGrid w:val="0"/>
                    <w:jc w:val="center"/>
                    <w:rPr>
                      <w:bCs/>
                      <w:color w:val="auto"/>
                      <w:sz w:val="21"/>
                      <w:szCs w:val="21"/>
                    </w:rPr>
                  </w:pPr>
                </w:p>
              </w:tc>
              <w:tc>
                <w:tcPr>
                  <w:tcW w:w="1692" w:type="pct"/>
                  <w:gridSpan w:val="2"/>
                  <w:noWrap w:val="0"/>
                  <w:vAlign w:val="center"/>
                </w:tcPr>
                <w:p w14:paraId="26D4DB70">
                  <w:pPr>
                    <w:adjustRightInd w:val="0"/>
                    <w:snapToGrid w:val="0"/>
                    <w:jc w:val="center"/>
                    <w:rPr>
                      <w:rFonts w:hint="default" w:eastAsia="宋体"/>
                      <w:bCs/>
                      <w:color w:val="auto"/>
                      <w:sz w:val="21"/>
                      <w:szCs w:val="21"/>
                      <w:lang w:val="en-US" w:eastAsia="zh-CN"/>
                    </w:rPr>
                  </w:pPr>
                  <w:r>
                    <w:rPr>
                      <w:rFonts w:hint="eastAsia"/>
                      <w:bCs/>
                      <w:color w:val="auto"/>
                      <w:sz w:val="21"/>
                      <w:szCs w:val="21"/>
                      <w:lang w:val="en-US" w:eastAsia="zh-CN"/>
                    </w:rPr>
                    <w:t>分切</w:t>
                  </w:r>
                </w:p>
              </w:tc>
              <w:tc>
                <w:tcPr>
                  <w:tcW w:w="1044" w:type="pct"/>
                  <w:noWrap w:val="0"/>
                  <w:vAlign w:val="center"/>
                </w:tcPr>
                <w:p w14:paraId="7AAA1482">
                  <w:pPr>
                    <w:adjustRightInd w:val="0"/>
                    <w:snapToGrid w:val="0"/>
                    <w:jc w:val="center"/>
                    <w:rPr>
                      <w:rFonts w:hint="default"/>
                      <w:color w:val="auto"/>
                      <w:sz w:val="21"/>
                      <w:szCs w:val="21"/>
                      <w:lang w:val="en-US"/>
                    </w:rPr>
                  </w:pPr>
                  <w:r>
                    <w:rPr>
                      <w:rFonts w:hint="eastAsia"/>
                      <w:bCs/>
                      <w:color w:val="auto"/>
                      <w:sz w:val="21"/>
                      <w:szCs w:val="21"/>
                      <w:lang w:val="en-US" w:eastAsia="zh-CN"/>
                    </w:rPr>
                    <w:t>废边角料</w:t>
                  </w:r>
                </w:p>
              </w:tc>
              <w:tc>
                <w:tcPr>
                  <w:tcW w:w="1396" w:type="pct"/>
                  <w:shd w:val="clear" w:color="auto" w:fill="auto"/>
                  <w:noWrap w:val="0"/>
                  <w:vAlign w:val="center"/>
                </w:tcPr>
                <w:p w14:paraId="7FFCF70F">
                  <w:pPr>
                    <w:pStyle w:val="5"/>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外售综合利用</w:t>
                  </w:r>
                </w:p>
              </w:tc>
            </w:tr>
            <w:tr w14:paraId="2B592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36" w:type="pct"/>
                  <w:vMerge w:val="continue"/>
                  <w:noWrap w:val="0"/>
                  <w:vAlign w:val="center"/>
                </w:tcPr>
                <w:p w14:paraId="31A957F1">
                  <w:pPr>
                    <w:adjustRightInd w:val="0"/>
                    <w:snapToGrid w:val="0"/>
                    <w:jc w:val="center"/>
                    <w:rPr>
                      <w:color w:val="auto"/>
                      <w:sz w:val="21"/>
                      <w:szCs w:val="21"/>
                    </w:rPr>
                  </w:pPr>
                </w:p>
              </w:tc>
              <w:tc>
                <w:tcPr>
                  <w:tcW w:w="530" w:type="pct"/>
                  <w:vMerge w:val="continue"/>
                  <w:noWrap w:val="0"/>
                  <w:vAlign w:val="center"/>
                </w:tcPr>
                <w:p w14:paraId="7E96BA7E">
                  <w:pPr>
                    <w:adjustRightInd w:val="0"/>
                    <w:snapToGrid w:val="0"/>
                    <w:jc w:val="center"/>
                    <w:rPr>
                      <w:bCs/>
                      <w:color w:val="auto"/>
                      <w:sz w:val="21"/>
                      <w:szCs w:val="21"/>
                    </w:rPr>
                  </w:pPr>
                </w:p>
              </w:tc>
              <w:tc>
                <w:tcPr>
                  <w:tcW w:w="1692" w:type="pct"/>
                  <w:gridSpan w:val="2"/>
                  <w:noWrap w:val="0"/>
                  <w:vAlign w:val="center"/>
                </w:tcPr>
                <w:p w14:paraId="4DF4F245">
                  <w:pPr>
                    <w:adjustRightInd w:val="0"/>
                    <w:snapToGrid w:val="0"/>
                    <w:jc w:val="center"/>
                    <w:rPr>
                      <w:rFonts w:hint="default"/>
                      <w:bCs/>
                      <w:color w:val="auto"/>
                      <w:sz w:val="21"/>
                      <w:szCs w:val="21"/>
                      <w:lang w:val="en-US" w:eastAsia="zh-CN"/>
                    </w:rPr>
                  </w:pPr>
                  <w:r>
                    <w:rPr>
                      <w:rFonts w:hint="eastAsia"/>
                      <w:bCs/>
                      <w:color w:val="auto"/>
                      <w:sz w:val="21"/>
                      <w:szCs w:val="21"/>
                      <w:lang w:val="en-US" w:eastAsia="zh-CN"/>
                    </w:rPr>
                    <w:t>废气处理</w:t>
                  </w:r>
                </w:p>
              </w:tc>
              <w:tc>
                <w:tcPr>
                  <w:tcW w:w="1044" w:type="pct"/>
                  <w:noWrap w:val="0"/>
                  <w:vAlign w:val="center"/>
                </w:tcPr>
                <w:p w14:paraId="3EEBE4CA">
                  <w:pPr>
                    <w:adjustRightInd w:val="0"/>
                    <w:snapToGrid w:val="0"/>
                    <w:jc w:val="center"/>
                    <w:rPr>
                      <w:rFonts w:hint="eastAsia" w:cs="Times New Roman"/>
                      <w:color w:val="auto"/>
                      <w:kern w:val="0"/>
                      <w:sz w:val="21"/>
                      <w:szCs w:val="21"/>
                      <w:highlight w:val="none"/>
                      <w:lang w:val="en-US" w:eastAsia="zh-CN"/>
                    </w:rPr>
                  </w:pPr>
                  <w:r>
                    <w:rPr>
                      <w:rFonts w:hint="eastAsia"/>
                      <w:bCs/>
                      <w:color w:val="auto"/>
                      <w:sz w:val="21"/>
                      <w:szCs w:val="21"/>
                      <w:lang w:val="en-US" w:eastAsia="zh-CN"/>
                    </w:rPr>
                    <w:t>废活性炭</w:t>
                  </w:r>
                </w:p>
              </w:tc>
              <w:tc>
                <w:tcPr>
                  <w:tcW w:w="1396" w:type="pct"/>
                  <w:shd w:val="clear" w:color="auto" w:fill="auto"/>
                  <w:noWrap w:val="0"/>
                  <w:vAlign w:val="center"/>
                </w:tcPr>
                <w:p w14:paraId="7969D37A">
                  <w:pPr>
                    <w:pStyle w:val="5"/>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委托有资质的单位处理</w:t>
                  </w:r>
                </w:p>
              </w:tc>
            </w:tr>
            <w:tr w14:paraId="3258F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336" w:type="pct"/>
                  <w:vMerge w:val="continue"/>
                  <w:noWrap w:val="0"/>
                  <w:vAlign w:val="center"/>
                </w:tcPr>
                <w:p w14:paraId="6853B536">
                  <w:pPr>
                    <w:adjustRightInd w:val="0"/>
                    <w:snapToGrid w:val="0"/>
                    <w:jc w:val="center"/>
                    <w:rPr>
                      <w:color w:val="auto"/>
                      <w:sz w:val="21"/>
                      <w:szCs w:val="21"/>
                    </w:rPr>
                  </w:pPr>
                </w:p>
              </w:tc>
              <w:tc>
                <w:tcPr>
                  <w:tcW w:w="530" w:type="pct"/>
                  <w:vMerge w:val="continue"/>
                  <w:noWrap w:val="0"/>
                  <w:vAlign w:val="center"/>
                </w:tcPr>
                <w:p w14:paraId="41FD2E4A">
                  <w:pPr>
                    <w:adjustRightInd w:val="0"/>
                    <w:snapToGrid w:val="0"/>
                    <w:jc w:val="center"/>
                    <w:rPr>
                      <w:bCs/>
                      <w:color w:val="auto"/>
                      <w:sz w:val="21"/>
                      <w:szCs w:val="21"/>
                    </w:rPr>
                  </w:pPr>
                </w:p>
              </w:tc>
              <w:tc>
                <w:tcPr>
                  <w:tcW w:w="1692" w:type="pct"/>
                  <w:gridSpan w:val="2"/>
                  <w:noWrap w:val="0"/>
                  <w:vAlign w:val="center"/>
                </w:tcPr>
                <w:p w14:paraId="5C4F20F9">
                  <w:pPr>
                    <w:adjustRightInd w:val="0"/>
                    <w:snapToGrid w:val="0"/>
                    <w:jc w:val="center"/>
                    <w:rPr>
                      <w:rFonts w:hint="default"/>
                      <w:bCs/>
                      <w:color w:val="auto"/>
                      <w:sz w:val="21"/>
                      <w:szCs w:val="21"/>
                      <w:lang w:val="en-US" w:eastAsia="zh-CN"/>
                    </w:rPr>
                  </w:pPr>
                  <w:r>
                    <w:rPr>
                      <w:rFonts w:hint="eastAsia"/>
                      <w:bCs/>
                      <w:color w:val="auto"/>
                      <w:sz w:val="21"/>
                      <w:szCs w:val="21"/>
                      <w:lang w:val="en-US" w:eastAsia="zh-CN"/>
                    </w:rPr>
                    <w:t>物料拆装</w:t>
                  </w:r>
                </w:p>
              </w:tc>
              <w:tc>
                <w:tcPr>
                  <w:tcW w:w="1044" w:type="pct"/>
                  <w:noWrap w:val="0"/>
                  <w:vAlign w:val="center"/>
                </w:tcPr>
                <w:p w14:paraId="0FAD2FC7">
                  <w:pPr>
                    <w:adjustRightInd w:val="0"/>
                    <w:snapToGrid w:val="0"/>
                    <w:jc w:val="center"/>
                    <w:rPr>
                      <w:rFonts w:hint="default" w:cs="Times New Roman"/>
                      <w:color w:val="auto"/>
                      <w:kern w:val="0"/>
                      <w:sz w:val="21"/>
                      <w:szCs w:val="21"/>
                      <w:highlight w:val="none"/>
                      <w:lang w:val="en-US" w:eastAsia="zh-CN"/>
                    </w:rPr>
                  </w:pPr>
                  <w:r>
                    <w:rPr>
                      <w:rFonts w:hint="eastAsia"/>
                      <w:bCs/>
                      <w:color w:val="auto"/>
                      <w:sz w:val="21"/>
                      <w:szCs w:val="21"/>
                      <w:lang w:val="en-US" w:eastAsia="zh-CN"/>
                    </w:rPr>
                    <w:t>废包装桶</w:t>
                  </w:r>
                </w:p>
              </w:tc>
              <w:tc>
                <w:tcPr>
                  <w:tcW w:w="1396" w:type="pct"/>
                  <w:shd w:val="clear" w:color="auto" w:fill="auto"/>
                  <w:noWrap w:val="0"/>
                  <w:vAlign w:val="center"/>
                </w:tcPr>
                <w:p w14:paraId="089510BF">
                  <w:pPr>
                    <w:pStyle w:val="5"/>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委托有资质的单位处理</w:t>
                  </w:r>
                </w:p>
              </w:tc>
            </w:tr>
            <w:tr w14:paraId="7AFC6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36" w:type="pct"/>
                  <w:vMerge w:val="continue"/>
                  <w:noWrap w:val="0"/>
                  <w:vAlign w:val="center"/>
                </w:tcPr>
                <w:p w14:paraId="5C9B0BE4">
                  <w:pPr>
                    <w:adjustRightInd w:val="0"/>
                    <w:snapToGrid w:val="0"/>
                    <w:jc w:val="center"/>
                    <w:rPr>
                      <w:color w:val="auto"/>
                      <w:sz w:val="21"/>
                      <w:szCs w:val="21"/>
                    </w:rPr>
                  </w:pPr>
                </w:p>
              </w:tc>
              <w:tc>
                <w:tcPr>
                  <w:tcW w:w="530" w:type="pct"/>
                  <w:vMerge w:val="continue"/>
                  <w:noWrap w:val="0"/>
                  <w:vAlign w:val="center"/>
                </w:tcPr>
                <w:p w14:paraId="499E2A59">
                  <w:pPr>
                    <w:adjustRightInd w:val="0"/>
                    <w:snapToGrid w:val="0"/>
                    <w:jc w:val="center"/>
                    <w:rPr>
                      <w:bCs/>
                      <w:color w:val="auto"/>
                      <w:sz w:val="21"/>
                      <w:szCs w:val="21"/>
                    </w:rPr>
                  </w:pPr>
                </w:p>
              </w:tc>
              <w:tc>
                <w:tcPr>
                  <w:tcW w:w="1692" w:type="pct"/>
                  <w:gridSpan w:val="2"/>
                  <w:noWrap w:val="0"/>
                  <w:vAlign w:val="center"/>
                </w:tcPr>
                <w:p w14:paraId="4EC72E38">
                  <w:pPr>
                    <w:adjustRightInd w:val="0"/>
                    <w:snapToGrid w:val="0"/>
                    <w:jc w:val="center"/>
                    <w:rPr>
                      <w:rFonts w:hint="default"/>
                      <w:bCs/>
                      <w:color w:val="auto"/>
                      <w:sz w:val="21"/>
                      <w:szCs w:val="21"/>
                      <w:lang w:val="en-US" w:eastAsia="zh-CN"/>
                    </w:rPr>
                  </w:pPr>
                  <w:r>
                    <w:rPr>
                      <w:rFonts w:hint="eastAsia"/>
                      <w:bCs/>
                      <w:color w:val="auto"/>
                      <w:sz w:val="21"/>
                      <w:szCs w:val="21"/>
                      <w:lang w:val="en-US" w:eastAsia="zh-CN"/>
                    </w:rPr>
                    <w:t>机械保养</w:t>
                  </w:r>
                </w:p>
              </w:tc>
              <w:tc>
                <w:tcPr>
                  <w:tcW w:w="1044" w:type="pct"/>
                  <w:shd w:val="clear" w:color="auto" w:fill="auto"/>
                  <w:noWrap w:val="0"/>
                  <w:vAlign w:val="center"/>
                </w:tcPr>
                <w:p w14:paraId="70C8BD47">
                  <w:pPr>
                    <w:adjustRightInd w:val="0"/>
                    <w:snapToGrid w:val="0"/>
                    <w:jc w:val="center"/>
                    <w:rPr>
                      <w:rFonts w:hint="eastAsia" w:ascii="Times New Roman" w:hAnsi="Times New Roman" w:eastAsia="宋体" w:cs="Times New Roman"/>
                      <w:color w:val="auto"/>
                      <w:kern w:val="0"/>
                      <w:sz w:val="21"/>
                      <w:szCs w:val="21"/>
                      <w:lang w:val="en-US" w:eastAsia="zh-CN" w:bidi="ar"/>
                    </w:rPr>
                  </w:pPr>
                  <w:r>
                    <w:rPr>
                      <w:rFonts w:hint="eastAsia"/>
                      <w:bCs/>
                      <w:color w:val="auto"/>
                      <w:sz w:val="21"/>
                      <w:szCs w:val="21"/>
                      <w:lang w:val="en-US" w:eastAsia="zh-CN"/>
                    </w:rPr>
                    <w:t>废润滑油</w:t>
                  </w:r>
                </w:p>
              </w:tc>
              <w:tc>
                <w:tcPr>
                  <w:tcW w:w="1396" w:type="pct"/>
                  <w:shd w:val="clear" w:color="auto" w:fill="auto"/>
                  <w:noWrap w:val="0"/>
                  <w:vAlign w:val="center"/>
                </w:tcPr>
                <w:p w14:paraId="052C8ACB">
                  <w:pPr>
                    <w:pStyle w:val="5"/>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委托有资质的单位处理</w:t>
                  </w:r>
                </w:p>
              </w:tc>
            </w:tr>
            <w:tr w14:paraId="56DF8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6" w:type="pct"/>
                  <w:vMerge w:val="continue"/>
                  <w:noWrap w:val="0"/>
                  <w:vAlign w:val="center"/>
                </w:tcPr>
                <w:p w14:paraId="2C3BFACB">
                  <w:pPr>
                    <w:adjustRightInd w:val="0"/>
                    <w:snapToGrid w:val="0"/>
                    <w:jc w:val="center"/>
                    <w:rPr>
                      <w:color w:val="auto"/>
                      <w:sz w:val="21"/>
                      <w:szCs w:val="21"/>
                    </w:rPr>
                  </w:pPr>
                </w:p>
              </w:tc>
              <w:tc>
                <w:tcPr>
                  <w:tcW w:w="530" w:type="pct"/>
                  <w:vMerge w:val="continue"/>
                  <w:noWrap w:val="0"/>
                  <w:vAlign w:val="center"/>
                </w:tcPr>
                <w:p w14:paraId="79BC9A2E">
                  <w:pPr>
                    <w:adjustRightInd w:val="0"/>
                    <w:snapToGrid w:val="0"/>
                    <w:jc w:val="center"/>
                    <w:rPr>
                      <w:bCs/>
                      <w:color w:val="auto"/>
                      <w:sz w:val="21"/>
                      <w:szCs w:val="21"/>
                    </w:rPr>
                  </w:pPr>
                </w:p>
              </w:tc>
              <w:tc>
                <w:tcPr>
                  <w:tcW w:w="1692" w:type="pct"/>
                  <w:gridSpan w:val="2"/>
                  <w:noWrap w:val="0"/>
                  <w:vAlign w:val="center"/>
                </w:tcPr>
                <w:p w14:paraId="6F887C34">
                  <w:pPr>
                    <w:widowControl/>
                    <w:jc w:val="center"/>
                    <w:textAlignment w:val="center"/>
                    <w:rPr>
                      <w:rFonts w:hint="eastAsia"/>
                      <w:bCs/>
                      <w:color w:val="auto"/>
                      <w:sz w:val="21"/>
                      <w:szCs w:val="21"/>
                      <w:lang w:val="en-US" w:eastAsia="zh-CN"/>
                    </w:rPr>
                  </w:pPr>
                  <w:r>
                    <w:rPr>
                      <w:rFonts w:hint="eastAsia"/>
                      <w:color w:val="auto"/>
                      <w:szCs w:val="21"/>
                      <w:lang w:val="en-US" w:eastAsia="zh-CN"/>
                    </w:rPr>
                    <w:t>机械保养</w:t>
                  </w:r>
                </w:p>
              </w:tc>
              <w:tc>
                <w:tcPr>
                  <w:tcW w:w="1044" w:type="pct"/>
                  <w:shd w:val="clear" w:color="auto" w:fill="auto"/>
                  <w:noWrap w:val="0"/>
                  <w:vAlign w:val="center"/>
                </w:tcPr>
                <w:p w14:paraId="050B26E2">
                  <w:pPr>
                    <w:widowControl/>
                    <w:jc w:val="center"/>
                    <w:textAlignment w:val="center"/>
                    <w:rPr>
                      <w:rFonts w:hint="eastAsia"/>
                      <w:bCs/>
                      <w:color w:val="auto"/>
                      <w:sz w:val="21"/>
                      <w:szCs w:val="21"/>
                      <w:lang w:val="en-US" w:eastAsia="zh-CN"/>
                    </w:rPr>
                  </w:pPr>
                  <w:r>
                    <w:rPr>
                      <w:rFonts w:hint="eastAsia"/>
                      <w:color w:val="auto"/>
                      <w:szCs w:val="21"/>
                      <w:lang w:val="en-US" w:eastAsia="zh-CN"/>
                    </w:rPr>
                    <w:t>废润滑油桶</w:t>
                  </w:r>
                </w:p>
              </w:tc>
              <w:tc>
                <w:tcPr>
                  <w:tcW w:w="1396" w:type="pct"/>
                  <w:shd w:val="clear" w:color="auto" w:fill="auto"/>
                  <w:noWrap w:val="0"/>
                  <w:vAlign w:val="center"/>
                </w:tcPr>
                <w:p w14:paraId="292C706C">
                  <w:pPr>
                    <w:pStyle w:val="5"/>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委托有资质的单位处理</w:t>
                  </w:r>
                </w:p>
              </w:tc>
            </w:tr>
            <w:tr w14:paraId="18D19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36" w:type="pct"/>
                  <w:vMerge w:val="continue"/>
                  <w:noWrap w:val="0"/>
                  <w:vAlign w:val="center"/>
                </w:tcPr>
                <w:p w14:paraId="7DC20DC8">
                  <w:pPr>
                    <w:adjustRightInd w:val="0"/>
                    <w:snapToGrid w:val="0"/>
                    <w:jc w:val="center"/>
                    <w:rPr>
                      <w:color w:val="auto"/>
                      <w:sz w:val="21"/>
                      <w:szCs w:val="21"/>
                    </w:rPr>
                  </w:pPr>
                </w:p>
              </w:tc>
              <w:tc>
                <w:tcPr>
                  <w:tcW w:w="530" w:type="pct"/>
                  <w:vMerge w:val="continue"/>
                  <w:noWrap w:val="0"/>
                  <w:vAlign w:val="center"/>
                </w:tcPr>
                <w:p w14:paraId="473ED33F">
                  <w:pPr>
                    <w:adjustRightInd w:val="0"/>
                    <w:snapToGrid w:val="0"/>
                    <w:jc w:val="center"/>
                    <w:rPr>
                      <w:bCs/>
                      <w:color w:val="auto"/>
                      <w:sz w:val="21"/>
                      <w:szCs w:val="21"/>
                    </w:rPr>
                  </w:pPr>
                </w:p>
              </w:tc>
              <w:tc>
                <w:tcPr>
                  <w:tcW w:w="1692" w:type="pct"/>
                  <w:gridSpan w:val="2"/>
                  <w:noWrap w:val="0"/>
                  <w:vAlign w:val="center"/>
                </w:tcPr>
                <w:p w14:paraId="1A13BD51">
                  <w:pPr>
                    <w:widowControl/>
                    <w:jc w:val="center"/>
                    <w:textAlignment w:val="center"/>
                    <w:rPr>
                      <w:rFonts w:hint="eastAsia"/>
                      <w:bCs/>
                      <w:color w:val="auto"/>
                      <w:sz w:val="21"/>
                      <w:szCs w:val="21"/>
                      <w:lang w:val="en-US" w:eastAsia="zh-CN"/>
                    </w:rPr>
                  </w:pPr>
                  <w:r>
                    <w:rPr>
                      <w:rFonts w:hint="eastAsia"/>
                      <w:color w:val="auto"/>
                      <w:szCs w:val="21"/>
                      <w:lang w:val="en-US" w:eastAsia="zh-CN"/>
                    </w:rPr>
                    <w:t>员工生产</w:t>
                  </w:r>
                </w:p>
              </w:tc>
              <w:tc>
                <w:tcPr>
                  <w:tcW w:w="1044" w:type="pct"/>
                  <w:shd w:val="clear" w:color="auto" w:fill="auto"/>
                  <w:noWrap w:val="0"/>
                  <w:vAlign w:val="center"/>
                </w:tcPr>
                <w:p w14:paraId="6C018985">
                  <w:pPr>
                    <w:widowControl/>
                    <w:jc w:val="center"/>
                    <w:textAlignment w:val="center"/>
                    <w:rPr>
                      <w:rFonts w:hint="eastAsia"/>
                      <w:bCs/>
                      <w:color w:val="auto"/>
                      <w:sz w:val="21"/>
                      <w:szCs w:val="21"/>
                      <w:lang w:val="en-US" w:eastAsia="zh-CN"/>
                    </w:rPr>
                  </w:pPr>
                  <w:r>
                    <w:rPr>
                      <w:rFonts w:hint="eastAsia"/>
                      <w:color w:val="auto"/>
                      <w:szCs w:val="21"/>
                      <w:lang w:val="en-US" w:eastAsia="zh-CN"/>
                    </w:rPr>
                    <w:t>废劳保用品</w:t>
                  </w:r>
                </w:p>
              </w:tc>
              <w:tc>
                <w:tcPr>
                  <w:tcW w:w="1396" w:type="pct"/>
                  <w:shd w:val="clear" w:color="auto" w:fill="auto"/>
                  <w:noWrap w:val="0"/>
                  <w:vAlign w:val="center"/>
                </w:tcPr>
                <w:p w14:paraId="403CD8B1">
                  <w:pPr>
                    <w:widowControl/>
                    <w:jc w:val="center"/>
                    <w:textAlignment w:val="center"/>
                    <w:rPr>
                      <w:rFonts w:hint="eastAsia"/>
                      <w:color w:val="auto"/>
                      <w:sz w:val="21"/>
                      <w:szCs w:val="21"/>
                      <w:lang w:val="en-US" w:eastAsia="zh-CN"/>
                    </w:rPr>
                  </w:pPr>
                  <w:r>
                    <w:rPr>
                      <w:rFonts w:hint="eastAsia"/>
                      <w:color w:val="auto"/>
                      <w:kern w:val="0"/>
                      <w:szCs w:val="21"/>
                      <w:lang w:val="en-US" w:eastAsia="zh-CN" w:bidi="ar"/>
                    </w:rPr>
                    <w:t>交由相关单位处理</w:t>
                  </w:r>
                </w:p>
              </w:tc>
            </w:tr>
            <w:tr w14:paraId="2FF59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36" w:type="pct"/>
                  <w:vMerge w:val="continue"/>
                  <w:noWrap w:val="0"/>
                  <w:vAlign w:val="center"/>
                </w:tcPr>
                <w:p w14:paraId="7F2E467C">
                  <w:pPr>
                    <w:adjustRightInd w:val="0"/>
                    <w:snapToGrid w:val="0"/>
                    <w:jc w:val="center"/>
                    <w:rPr>
                      <w:color w:val="auto"/>
                      <w:sz w:val="21"/>
                      <w:szCs w:val="21"/>
                    </w:rPr>
                  </w:pPr>
                </w:p>
              </w:tc>
              <w:tc>
                <w:tcPr>
                  <w:tcW w:w="530" w:type="pct"/>
                  <w:vMerge w:val="continue"/>
                  <w:noWrap w:val="0"/>
                  <w:vAlign w:val="center"/>
                </w:tcPr>
                <w:p w14:paraId="76715040">
                  <w:pPr>
                    <w:adjustRightInd w:val="0"/>
                    <w:snapToGrid w:val="0"/>
                    <w:jc w:val="center"/>
                    <w:rPr>
                      <w:bCs/>
                      <w:color w:val="auto"/>
                      <w:sz w:val="21"/>
                      <w:szCs w:val="21"/>
                    </w:rPr>
                  </w:pPr>
                </w:p>
              </w:tc>
              <w:tc>
                <w:tcPr>
                  <w:tcW w:w="1692" w:type="pct"/>
                  <w:gridSpan w:val="2"/>
                  <w:noWrap w:val="0"/>
                  <w:vAlign w:val="center"/>
                </w:tcPr>
                <w:p w14:paraId="02C78B15">
                  <w:pPr>
                    <w:adjustRightInd w:val="0"/>
                    <w:snapToGrid w:val="0"/>
                    <w:jc w:val="center"/>
                    <w:rPr>
                      <w:rFonts w:hint="default"/>
                      <w:bCs/>
                      <w:color w:val="auto"/>
                      <w:sz w:val="21"/>
                      <w:szCs w:val="21"/>
                      <w:lang w:val="en-US" w:eastAsia="zh-CN"/>
                    </w:rPr>
                  </w:pPr>
                  <w:r>
                    <w:rPr>
                      <w:rFonts w:hint="eastAsia"/>
                      <w:bCs/>
                      <w:color w:val="auto"/>
                      <w:sz w:val="21"/>
                      <w:szCs w:val="21"/>
                      <w:lang w:val="en-US" w:eastAsia="zh-CN"/>
                    </w:rPr>
                    <w:t>印刷</w:t>
                  </w:r>
                </w:p>
              </w:tc>
              <w:tc>
                <w:tcPr>
                  <w:tcW w:w="1044" w:type="pct"/>
                  <w:shd w:val="clear" w:color="auto" w:fill="auto"/>
                  <w:noWrap w:val="0"/>
                  <w:vAlign w:val="center"/>
                </w:tcPr>
                <w:p w14:paraId="2A2CBBFD">
                  <w:pPr>
                    <w:adjustRightInd w:val="0"/>
                    <w:snapToGrid w:val="0"/>
                    <w:jc w:val="center"/>
                    <w:rPr>
                      <w:rFonts w:hint="eastAsia"/>
                      <w:bCs/>
                      <w:color w:val="auto"/>
                      <w:sz w:val="21"/>
                      <w:szCs w:val="21"/>
                      <w:lang w:val="en-US" w:eastAsia="zh-CN"/>
                    </w:rPr>
                  </w:pPr>
                  <w:r>
                    <w:rPr>
                      <w:rFonts w:hint="eastAsia"/>
                      <w:bCs/>
                      <w:color w:val="auto"/>
                      <w:sz w:val="21"/>
                      <w:szCs w:val="21"/>
                      <w:lang w:val="en-US" w:eastAsia="zh-CN"/>
                    </w:rPr>
                    <w:t>废印刷机凹版</w:t>
                  </w:r>
                </w:p>
              </w:tc>
              <w:tc>
                <w:tcPr>
                  <w:tcW w:w="1396" w:type="pct"/>
                  <w:shd w:val="clear" w:color="auto" w:fill="auto"/>
                  <w:noWrap w:val="0"/>
                  <w:vAlign w:val="center"/>
                </w:tcPr>
                <w:p w14:paraId="0DC0BBD0">
                  <w:pPr>
                    <w:pStyle w:val="5"/>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委托有资质的单位处理</w:t>
                  </w:r>
                </w:p>
              </w:tc>
            </w:tr>
            <w:tr w14:paraId="573F4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9" w:hRule="atLeast"/>
              </w:trPr>
              <w:tc>
                <w:tcPr>
                  <w:tcW w:w="336" w:type="pct"/>
                  <w:vMerge w:val="continue"/>
                  <w:noWrap w:val="0"/>
                  <w:vAlign w:val="center"/>
                </w:tcPr>
                <w:p w14:paraId="1E52728F">
                  <w:pPr>
                    <w:adjustRightInd w:val="0"/>
                    <w:snapToGrid w:val="0"/>
                    <w:jc w:val="center"/>
                    <w:rPr>
                      <w:color w:val="auto"/>
                      <w:sz w:val="21"/>
                      <w:szCs w:val="21"/>
                    </w:rPr>
                  </w:pPr>
                </w:p>
              </w:tc>
              <w:tc>
                <w:tcPr>
                  <w:tcW w:w="530" w:type="pct"/>
                  <w:vMerge w:val="continue"/>
                  <w:noWrap w:val="0"/>
                  <w:vAlign w:val="center"/>
                </w:tcPr>
                <w:p w14:paraId="54D939F5">
                  <w:pPr>
                    <w:adjustRightInd w:val="0"/>
                    <w:snapToGrid w:val="0"/>
                    <w:jc w:val="center"/>
                    <w:rPr>
                      <w:bCs/>
                      <w:color w:val="auto"/>
                      <w:sz w:val="21"/>
                      <w:szCs w:val="21"/>
                    </w:rPr>
                  </w:pPr>
                </w:p>
              </w:tc>
              <w:tc>
                <w:tcPr>
                  <w:tcW w:w="1692" w:type="pct"/>
                  <w:gridSpan w:val="2"/>
                  <w:noWrap w:val="0"/>
                  <w:vAlign w:val="center"/>
                </w:tcPr>
                <w:p w14:paraId="78162192">
                  <w:pPr>
                    <w:adjustRightInd w:val="0"/>
                    <w:snapToGrid w:val="0"/>
                    <w:jc w:val="center"/>
                    <w:rPr>
                      <w:rFonts w:hint="default" w:eastAsia="宋体"/>
                      <w:bCs/>
                      <w:color w:val="auto"/>
                      <w:sz w:val="21"/>
                      <w:szCs w:val="21"/>
                      <w:lang w:val="en-US" w:eastAsia="zh-CN"/>
                    </w:rPr>
                  </w:pPr>
                  <w:r>
                    <w:rPr>
                      <w:rFonts w:hint="eastAsia"/>
                      <w:bCs/>
                      <w:color w:val="auto"/>
                      <w:sz w:val="21"/>
                      <w:szCs w:val="21"/>
                      <w:lang w:val="en-US" w:eastAsia="zh-CN"/>
                    </w:rPr>
                    <w:t>员工生活</w:t>
                  </w:r>
                </w:p>
              </w:tc>
              <w:tc>
                <w:tcPr>
                  <w:tcW w:w="1044" w:type="pct"/>
                  <w:noWrap w:val="0"/>
                  <w:vAlign w:val="center"/>
                </w:tcPr>
                <w:p w14:paraId="24DA289C">
                  <w:pPr>
                    <w:adjustRightInd w:val="0"/>
                    <w:snapToGrid w:val="0"/>
                    <w:jc w:val="center"/>
                    <w:rPr>
                      <w:rFonts w:hint="eastAsia" w:eastAsia="宋体"/>
                      <w:bCs/>
                      <w:color w:val="auto"/>
                      <w:sz w:val="21"/>
                      <w:szCs w:val="21"/>
                      <w:lang w:eastAsia="zh-CN"/>
                    </w:rPr>
                  </w:pPr>
                  <w:r>
                    <w:rPr>
                      <w:rFonts w:hint="eastAsia"/>
                      <w:bCs/>
                      <w:color w:val="auto"/>
                      <w:sz w:val="21"/>
                      <w:szCs w:val="21"/>
                      <w:lang w:val="en-US" w:eastAsia="zh-CN"/>
                    </w:rPr>
                    <w:t>生活垃圾</w:t>
                  </w:r>
                </w:p>
              </w:tc>
              <w:tc>
                <w:tcPr>
                  <w:tcW w:w="1396" w:type="pct"/>
                  <w:noWrap w:val="0"/>
                  <w:vAlign w:val="center"/>
                </w:tcPr>
                <w:p w14:paraId="31BACA57">
                  <w:pPr>
                    <w:adjustRightInd w:val="0"/>
                    <w:snapToGrid w:val="0"/>
                    <w:jc w:val="both"/>
                    <w:rPr>
                      <w:rFonts w:hint="default" w:eastAsia="宋体"/>
                      <w:bCs/>
                      <w:color w:val="auto"/>
                      <w:sz w:val="21"/>
                      <w:szCs w:val="21"/>
                      <w:lang w:val="en-US" w:eastAsia="zh-CN"/>
                    </w:rPr>
                  </w:pPr>
                  <w:r>
                    <w:rPr>
                      <w:rFonts w:hint="eastAsia"/>
                      <w:bCs/>
                      <w:color w:val="auto"/>
                      <w:sz w:val="21"/>
                      <w:szCs w:val="21"/>
                      <w:lang w:val="en-US" w:eastAsia="zh-CN"/>
                    </w:rPr>
                    <w:t>垃圾桶暂存、环卫部门定时清运。</w:t>
                  </w:r>
                </w:p>
              </w:tc>
            </w:tr>
            <w:tr w14:paraId="4A94F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336" w:type="pct"/>
                  <w:vMerge w:val="continue"/>
                  <w:noWrap w:val="0"/>
                  <w:vAlign w:val="center"/>
                </w:tcPr>
                <w:p w14:paraId="40F3D874">
                  <w:pPr>
                    <w:adjustRightInd w:val="0"/>
                    <w:snapToGrid w:val="0"/>
                    <w:jc w:val="center"/>
                    <w:rPr>
                      <w:color w:val="auto"/>
                      <w:sz w:val="21"/>
                      <w:szCs w:val="21"/>
                    </w:rPr>
                  </w:pPr>
                </w:p>
              </w:tc>
              <w:tc>
                <w:tcPr>
                  <w:tcW w:w="530" w:type="pct"/>
                  <w:noWrap w:val="0"/>
                  <w:vAlign w:val="center"/>
                </w:tcPr>
                <w:p w14:paraId="4009345E">
                  <w:pPr>
                    <w:adjustRightInd w:val="0"/>
                    <w:snapToGrid w:val="0"/>
                    <w:jc w:val="center"/>
                    <w:rPr>
                      <w:bCs/>
                      <w:color w:val="auto"/>
                      <w:sz w:val="21"/>
                      <w:szCs w:val="21"/>
                    </w:rPr>
                  </w:pPr>
                  <w:r>
                    <w:rPr>
                      <w:bCs/>
                      <w:color w:val="auto"/>
                      <w:sz w:val="21"/>
                      <w:szCs w:val="21"/>
                    </w:rPr>
                    <w:t>噪声</w:t>
                  </w:r>
                </w:p>
              </w:tc>
              <w:tc>
                <w:tcPr>
                  <w:tcW w:w="1692" w:type="pct"/>
                  <w:gridSpan w:val="2"/>
                  <w:noWrap w:val="0"/>
                  <w:vAlign w:val="center"/>
                </w:tcPr>
                <w:p w14:paraId="6A561D70">
                  <w:pPr>
                    <w:adjustRightInd w:val="0"/>
                    <w:snapToGrid w:val="0"/>
                    <w:jc w:val="center"/>
                    <w:rPr>
                      <w:bCs/>
                      <w:color w:val="auto"/>
                      <w:sz w:val="21"/>
                      <w:szCs w:val="21"/>
                    </w:rPr>
                  </w:pPr>
                  <w:r>
                    <w:rPr>
                      <w:bCs/>
                      <w:color w:val="auto"/>
                      <w:sz w:val="21"/>
                      <w:szCs w:val="21"/>
                    </w:rPr>
                    <w:t>设备运行</w:t>
                  </w:r>
                </w:p>
              </w:tc>
              <w:tc>
                <w:tcPr>
                  <w:tcW w:w="1044" w:type="pct"/>
                  <w:noWrap w:val="0"/>
                  <w:vAlign w:val="center"/>
                </w:tcPr>
                <w:p w14:paraId="2CFBE0E5">
                  <w:pPr>
                    <w:adjustRightInd w:val="0"/>
                    <w:snapToGrid w:val="0"/>
                    <w:jc w:val="center"/>
                    <w:rPr>
                      <w:bCs/>
                      <w:color w:val="auto"/>
                      <w:sz w:val="21"/>
                      <w:szCs w:val="21"/>
                    </w:rPr>
                  </w:pPr>
                  <w:r>
                    <w:rPr>
                      <w:bCs/>
                      <w:color w:val="auto"/>
                      <w:sz w:val="21"/>
                      <w:szCs w:val="21"/>
                    </w:rPr>
                    <w:t>机械噪声</w:t>
                  </w:r>
                </w:p>
              </w:tc>
              <w:tc>
                <w:tcPr>
                  <w:tcW w:w="1396" w:type="pct"/>
                  <w:noWrap w:val="0"/>
                  <w:vAlign w:val="center"/>
                </w:tcPr>
                <w:p w14:paraId="22E55420">
                  <w:pPr>
                    <w:adjustRightInd w:val="0"/>
                    <w:snapToGrid w:val="0"/>
                    <w:jc w:val="center"/>
                    <w:rPr>
                      <w:bCs/>
                      <w:color w:val="auto"/>
                      <w:sz w:val="21"/>
                      <w:szCs w:val="21"/>
                    </w:rPr>
                  </w:pPr>
                  <w:r>
                    <w:rPr>
                      <w:color w:val="auto"/>
                      <w:sz w:val="21"/>
                      <w:szCs w:val="21"/>
                    </w:rPr>
                    <w:t>减振、隔声、距离衰减</w:t>
                  </w:r>
                </w:p>
              </w:tc>
            </w:tr>
          </w:tbl>
          <w:p w14:paraId="022E3927">
            <w:pPr>
              <w:pStyle w:val="13"/>
              <w:ind w:right="113" w:rightChars="0"/>
              <w:rPr>
                <w:color w:val="auto"/>
                <w:highlight w:val="none"/>
              </w:rPr>
            </w:pPr>
          </w:p>
        </w:tc>
      </w:tr>
      <w:tr w14:paraId="630C56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1" w:type="dxa"/>
            <w:vAlign w:val="center"/>
          </w:tcPr>
          <w:p w14:paraId="45DBC525">
            <w:pPr>
              <w:pStyle w:val="24"/>
              <w:adjustRightInd w:val="0"/>
              <w:snapToGrid w:val="0"/>
              <w:spacing w:before="0" w:beforeAutospacing="0" w:after="0" w:afterAutospacing="0"/>
              <w:jc w:val="center"/>
              <w:rPr>
                <w:rFonts w:cs="宋体"/>
                <w:color w:val="auto"/>
                <w:sz w:val="21"/>
                <w:szCs w:val="21"/>
              </w:rPr>
            </w:pPr>
            <w:r>
              <w:rPr>
                <w:rFonts w:hint="eastAsia" w:cs="宋体"/>
                <w:bCs/>
                <w:color w:val="auto"/>
                <w:kern w:val="2"/>
                <w:sz w:val="21"/>
                <w:szCs w:val="21"/>
              </w:rPr>
              <w:t>与项目有关的原有环境污染问题</w:t>
            </w:r>
          </w:p>
        </w:tc>
        <w:tc>
          <w:tcPr>
            <w:tcW w:w="8503" w:type="dxa"/>
            <w:vAlign w:val="top"/>
          </w:tcPr>
          <w:p w14:paraId="49892E53">
            <w:pPr>
              <w:adjustRightInd w:val="0"/>
              <w:snapToGrid w:val="0"/>
              <w:spacing w:line="360" w:lineRule="auto"/>
              <w:ind w:firstLine="480" w:firstLineChars="200"/>
              <w:rPr>
                <w:rFonts w:hint="default" w:eastAsia="宋体"/>
                <w:b/>
                <w:bCs/>
                <w:color w:val="auto"/>
                <w:szCs w:val="21"/>
                <w:lang w:val="en-US" w:eastAsia="zh-CN"/>
              </w:rPr>
            </w:pPr>
            <w:r>
              <w:rPr>
                <w:rFonts w:hint="eastAsia" w:ascii="宋体" w:hAnsi="宋体" w:cs="宋体"/>
                <w:color w:val="auto"/>
                <w:sz w:val="24"/>
              </w:rPr>
              <w:t>本项目属新建项目，</w:t>
            </w:r>
            <w:r>
              <w:rPr>
                <w:rFonts w:hint="eastAsia" w:cs="Times New Roman"/>
                <w:color w:val="auto"/>
                <w:sz w:val="24"/>
                <w:szCs w:val="24"/>
                <w:lang w:val="en-US" w:eastAsia="zh-CN"/>
              </w:rPr>
              <w:t>租用</w:t>
            </w:r>
            <w:r>
              <w:rPr>
                <w:rFonts w:hint="eastAsia"/>
                <w:color w:val="auto"/>
                <w:sz w:val="24"/>
                <w:lang w:val="en-US" w:eastAsia="zh-CN"/>
              </w:rPr>
              <w:t>高安市凯吉纸箱包装有限公司</w:t>
            </w:r>
            <w:r>
              <w:rPr>
                <w:rFonts w:hint="eastAsia" w:cs="Times New Roman"/>
                <w:color w:val="auto"/>
                <w:sz w:val="24"/>
                <w:szCs w:val="24"/>
                <w:lang w:val="en-US" w:eastAsia="zh-CN"/>
              </w:rPr>
              <w:t>闲置厂房</w:t>
            </w:r>
            <w:r>
              <w:rPr>
                <w:rFonts w:hint="eastAsia" w:cs="Times New Roman"/>
                <w:color w:val="auto"/>
                <w:sz w:val="24"/>
                <w:szCs w:val="24"/>
                <w:highlight w:val="none"/>
                <w:lang w:val="en-US" w:eastAsia="zh-CN"/>
              </w:rPr>
              <w:t>进行建设</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所租用厂房为新建厂房，</w:t>
            </w:r>
            <w:r>
              <w:rPr>
                <w:rFonts w:hint="eastAsia" w:ascii="宋体" w:hAnsi="宋体" w:cs="宋体"/>
                <w:color w:val="auto"/>
                <w:sz w:val="24"/>
                <w:highlight w:val="none"/>
              </w:rPr>
              <w:t>厂房未进行过建设，无原有环境污染问题。</w:t>
            </w:r>
          </w:p>
        </w:tc>
      </w:tr>
    </w:tbl>
    <w:p w14:paraId="3D98FFAD">
      <w:pPr>
        <w:pStyle w:val="24"/>
        <w:jc w:val="center"/>
        <w:rPr>
          <w:rFonts w:ascii="黑体" w:hAnsi="黑体" w:eastAsia="黑体"/>
          <w:snapToGrid w:val="0"/>
          <w:color w:val="auto"/>
          <w:sz w:val="36"/>
          <w:szCs w:val="36"/>
        </w:rPr>
        <w:sectPr>
          <w:pgSz w:w="11906" w:h="16838"/>
          <w:pgMar w:top="1701" w:right="1531" w:bottom="1701" w:left="1531" w:header="851" w:footer="851" w:gutter="0"/>
          <w:pgNumType w:fmt="decimal"/>
          <w:cols w:space="720" w:num="1"/>
          <w:docGrid w:linePitch="312" w:charSpace="0"/>
        </w:sectPr>
      </w:pPr>
    </w:p>
    <w:p w14:paraId="332665A7">
      <w:pPr>
        <w:pStyle w:val="24"/>
        <w:adjustRightInd w:val="0"/>
        <w:snapToGrid w:val="0"/>
        <w:spacing w:before="0" w:beforeAutospacing="0" w:after="0" w:afterAutospacing="0" w:line="14" w:lineRule="auto"/>
        <w:jc w:val="center"/>
        <w:rPr>
          <w:rFonts w:ascii="黑体" w:hAnsi="黑体" w:eastAsia="黑体"/>
          <w:snapToGrid w:val="0"/>
          <w:color w:val="auto"/>
          <w:sz w:val="30"/>
          <w:szCs w:val="30"/>
        </w:rPr>
      </w:pPr>
    </w:p>
    <w:p w14:paraId="21CCB277">
      <w:pPr>
        <w:pStyle w:val="24"/>
        <w:spacing w:before="0" w:beforeAutospacing="0" w:after="0" w:afterAutospacing="0"/>
        <w:jc w:val="center"/>
        <w:outlineLvl w:val="0"/>
        <w:rPr>
          <w:rFonts w:ascii="Times New Roman" w:hAnsi="Times New Roman"/>
          <w:snapToGrid w:val="0"/>
          <w:color w:val="auto"/>
          <w:sz w:val="30"/>
          <w:szCs w:val="30"/>
        </w:rPr>
      </w:pPr>
      <w:r>
        <w:rPr>
          <w:rFonts w:hint="eastAsia" w:ascii="Times New Roman" w:hAnsi="Times New Roman"/>
          <w:snapToGrid w:val="0"/>
          <w:color w:val="auto"/>
          <w:sz w:val="30"/>
          <w:szCs w:val="30"/>
        </w:rPr>
        <w:t>三、区域环境质量现状、环境保护目标及评价标准</w:t>
      </w:r>
    </w:p>
    <w:tbl>
      <w:tblPr>
        <w:tblStyle w:val="2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6"/>
        <w:gridCol w:w="8635"/>
      </w:tblGrid>
      <w:tr w14:paraId="33C09E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35" w:type="pct"/>
            <w:vAlign w:val="center"/>
          </w:tcPr>
          <w:p w14:paraId="526768BE">
            <w:pPr>
              <w:adjustRightInd w:val="0"/>
              <w:snapToGrid w:val="0"/>
              <w:jc w:val="center"/>
              <w:rPr>
                <w:rFonts w:ascii="宋体" w:hAnsi="宋体" w:cs="宋体"/>
                <w:color w:val="auto"/>
                <w:kern w:val="0"/>
                <w:szCs w:val="21"/>
              </w:rPr>
            </w:pPr>
            <w:r>
              <w:rPr>
                <w:rFonts w:hint="eastAsia" w:ascii="宋体" w:hAnsi="宋体" w:cs="宋体"/>
                <w:color w:val="auto"/>
                <w:kern w:val="0"/>
                <w:szCs w:val="21"/>
              </w:rPr>
              <w:t>区域</w:t>
            </w:r>
          </w:p>
          <w:p w14:paraId="3E4D5141">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14:paraId="06AAB024">
            <w:pPr>
              <w:adjustRightInd w:val="0"/>
              <w:snapToGrid w:val="0"/>
              <w:jc w:val="center"/>
              <w:rPr>
                <w:rFonts w:ascii="宋体" w:hAnsi="宋体" w:cs="宋体"/>
                <w:color w:val="auto"/>
                <w:kern w:val="0"/>
                <w:szCs w:val="21"/>
              </w:rPr>
            </w:pPr>
            <w:r>
              <w:rPr>
                <w:rFonts w:hint="eastAsia" w:ascii="宋体" w:hAnsi="宋体" w:cs="宋体"/>
                <w:color w:val="auto"/>
                <w:kern w:val="0"/>
                <w:szCs w:val="21"/>
              </w:rPr>
              <w:t>质量</w:t>
            </w:r>
          </w:p>
          <w:p w14:paraId="380DB8D3">
            <w:pPr>
              <w:adjustRightInd w:val="0"/>
              <w:snapToGrid w:val="0"/>
              <w:jc w:val="center"/>
              <w:rPr>
                <w:rFonts w:ascii="宋体" w:hAnsi="宋体" w:cs="宋体"/>
                <w:color w:val="auto"/>
                <w:kern w:val="0"/>
                <w:szCs w:val="21"/>
              </w:rPr>
            </w:pPr>
            <w:r>
              <w:rPr>
                <w:rFonts w:hint="eastAsia" w:ascii="宋体" w:hAnsi="宋体" w:cs="宋体"/>
                <w:color w:val="auto"/>
                <w:kern w:val="0"/>
                <w:szCs w:val="21"/>
              </w:rPr>
              <w:t>现状</w:t>
            </w:r>
          </w:p>
        </w:tc>
        <w:tc>
          <w:tcPr>
            <w:tcW w:w="4764" w:type="pct"/>
            <w:vAlign w:val="center"/>
          </w:tcPr>
          <w:p w14:paraId="3B19358D">
            <w:pPr>
              <w:adjustRightInd w:val="0"/>
              <w:snapToGrid w:val="0"/>
              <w:spacing w:line="360" w:lineRule="auto"/>
              <w:ind w:firstLine="482" w:firstLineChars="200"/>
              <w:rPr>
                <w:b/>
                <w:color w:val="auto"/>
                <w:sz w:val="24"/>
              </w:rPr>
            </w:pPr>
            <w:r>
              <w:rPr>
                <w:b/>
                <w:color w:val="auto"/>
                <w:sz w:val="24"/>
              </w:rPr>
              <w:t>1、环境空气</w:t>
            </w:r>
          </w:p>
          <w:p w14:paraId="747413A2">
            <w:pPr>
              <w:spacing w:line="360" w:lineRule="auto"/>
              <w:ind w:firstLine="464"/>
              <w:rPr>
                <w:rFonts w:hAnsi="Courier New"/>
                <w:color w:val="auto"/>
                <w:sz w:val="24"/>
                <w:szCs w:val="32"/>
              </w:rPr>
            </w:pPr>
            <w:r>
              <w:rPr>
                <w:rFonts w:hint="eastAsia" w:hAnsi="Courier New"/>
                <w:color w:val="auto"/>
                <w:sz w:val="24"/>
                <w:szCs w:val="32"/>
              </w:rPr>
              <w:t>根据《环境影响评价技术导则-大气环境》（HJ 2.2-2018）关于基本污染物环境空气质量现状数据来源可知，项目所在区达标判断，优先采用国家或地方生态环境主管部门公开发布的评价基准年环境质量公告或环境质量报告中的数据或结论。</w:t>
            </w:r>
          </w:p>
          <w:p w14:paraId="7B758372">
            <w:pPr>
              <w:spacing w:line="360" w:lineRule="auto"/>
              <w:ind w:firstLine="448"/>
              <w:rPr>
                <w:rFonts w:hint="default" w:ascii="Times New Roman" w:hAnsi="Times New Roman" w:cs="Times New Roman"/>
                <w:color w:val="auto"/>
                <w:sz w:val="24"/>
                <w:szCs w:val="24"/>
              </w:rPr>
            </w:pPr>
            <w:r>
              <w:rPr>
                <w:rFonts w:hint="eastAsia" w:hAnsi="Courier New"/>
                <w:color w:val="auto"/>
                <w:sz w:val="24"/>
                <w:szCs w:val="32"/>
              </w:rPr>
              <w:t>根据江西省生态环境厅发布的2024年江西省各县（市、区）六项污染物浓度年均值，高安市2024年六项污染物浓度年均值见表3-1。</w:t>
            </w:r>
          </w:p>
          <w:p w14:paraId="5E150CC9">
            <w:pPr>
              <w:pStyle w:val="7"/>
              <w:autoSpaceDE/>
              <w:autoSpaceDN/>
              <w:adjustRightInd/>
              <w:spacing w:line="240" w:lineRule="auto"/>
              <w:ind w:left="0" w:firstLine="0"/>
              <w:jc w:val="center"/>
              <w:textAlignment w:val="auto"/>
              <w:rPr>
                <w:b/>
                <w:bCs/>
                <w:color w:val="auto"/>
                <w:kern w:val="2"/>
                <w:szCs w:val="24"/>
              </w:rPr>
            </w:pPr>
            <w:r>
              <w:rPr>
                <w:b/>
                <w:bCs/>
                <w:color w:val="auto"/>
                <w:kern w:val="2"/>
                <w:szCs w:val="24"/>
              </w:rPr>
              <w:t>表3-1  202</w:t>
            </w:r>
            <w:r>
              <w:rPr>
                <w:rFonts w:hint="eastAsia"/>
                <w:b/>
                <w:bCs/>
                <w:color w:val="auto"/>
                <w:kern w:val="2"/>
                <w:szCs w:val="24"/>
              </w:rPr>
              <w:t>4</w:t>
            </w:r>
            <w:r>
              <w:rPr>
                <w:b/>
                <w:bCs/>
                <w:color w:val="auto"/>
                <w:kern w:val="2"/>
                <w:szCs w:val="24"/>
              </w:rPr>
              <w:t>年高安市六项污染物浓度年均值</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29"/>
              <w:gridCol w:w="2821"/>
              <w:gridCol w:w="1479"/>
              <w:gridCol w:w="1294"/>
              <w:gridCol w:w="1014"/>
              <w:gridCol w:w="982"/>
            </w:tblGrid>
            <w:tr w14:paraId="4C9BBDE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9" w:hRule="atLeast"/>
                <w:jc w:val="center"/>
              </w:trPr>
              <w:tc>
                <w:tcPr>
                  <w:tcW w:w="492" w:type="pct"/>
                  <w:tcBorders>
                    <w:tl2br w:val="nil"/>
                    <w:tr2bl w:val="nil"/>
                  </w:tcBorders>
                  <w:vAlign w:val="center"/>
                </w:tcPr>
                <w:p w14:paraId="1D24DD75">
                  <w:pPr>
                    <w:pStyle w:val="5"/>
                    <w:spacing w:line="240" w:lineRule="auto"/>
                    <w:ind w:firstLine="0" w:firstLineChars="0"/>
                    <w:jc w:val="center"/>
                    <w:rPr>
                      <w:b/>
                      <w:color w:val="auto"/>
                      <w:sz w:val="21"/>
                      <w:szCs w:val="21"/>
                    </w:rPr>
                  </w:pPr>
                  <w:r>
                    <w:rPr>
                      <w:b/>
                      <w:bCs/>
                      <w:color w:val="auto"/>
                      <w:sz w:val="21"/>
                      <w:szCs w:val="21"/>
                    </w:rPr>
                    <w:t>污染物</w:t>
                  </w:r>
                </w:p>
              </w:tc>
              <w:tc>
                <w:tcPr>
                  <w:tcW w:w="1675" w:type="pct"/>
                  <w:tcBorders>
                    <w:tl2br w:val="nil"/>
                    <w:tr2bl w:val="nil"/>
                  </w:tcBorders>
                  <w:vAlign w:val="center"/>
                </w:tcPr>
                <w:p w14:paraId="57B1FACF">
                  <w:pPr>
                    <w:pStyle w:val="5"/>
                    <w:spacing w:line="240" w:lineRule="auto"/>
                    <w:ind w:firstLine="0" w:firstLineChars="0"/>
                    <w:jc w:val="center"/>
                    <w:rPr>
                      <w:b/>
                      <w:color w:val="auto"/>
                      <w:sz w:val="21"/>
                      <w:szCs w:val="21"/>
                    </w:rPr>
                  </w:pPr>
                  <w:r>
                    <w:rPr>
                      <w:b/>
                      <w:bCs/>
                      <w:color w:val="auto"/>
                      <w:sz w:val="21"/>
                      <w:szCs w:val="21"/>
                    </w:rPr>
                    <w:t>评价指标</w:t>
                  </w:r>
                </w:p>
              </w:tc>
              <w:tc>
                <w:tcPr>
                  <w:tcW w:w="878" w:type="pct"/>
                  <w:tcBorders>
                    <w:tl2br w:val="nil"/>
                    <w:tr2bl w:val="nil"/>
                  </w:tcBorders>
                  <w:vAlign w:val="center"/>
                </w:tcPr>
                <w:p w14:paraId="4D23238A">
                  <w:pPr>
                    <w:pStyle w:val="5"/>
                    <w:spacing w:line="240" w:lineRule="auto"/>
                    <w:ind w:firstLine="0" w:firstLineChars="0"/>
                    <w:jc w:val="center"/>
                    <w:rPr>
                      <w:b/>
                      <w:color w:val="auto"/>
                      <w:sz w:val="21"/>
                      <w:szCs w:val="21"/>
                    </w:rPr>
                  </w:pPr>
                  <w:r>
                    <w:rPr>
                      <w:b/>
                      <w:bCs/>
                      <w:color w:val="auto"/>
                      <w:sz w:val="21"/>
                      <w:szCs w:val="21"/>
                    </w:rPr>
                    <w:t>现状浓度µg/m³</w:t>
                  </w:r>
                </w:p>
              </w:tc>
              <w:tc>
                <w:tcPr>
                  <w:tcW w:w="768" w:type="pct"/>
                  <w:tcBorders>
                    <w:tl2br w:val="nil"/>
                    <w:tr2bl w:val="nil"/>
                  </w:tcBorders>
                  <w:vAlign w:val="center"/>
                </w:tcPr>
                <w:p w14:paraId="4DAB837C">
                  <w:pPr>
                    <w:pStyle w:val="5"/>
                    <w:spacing w:line="240" w:lineRule="auto"/>
                    <w:ind w:firstLine="0" w:firstLineChars="0"/>
                    <w:jc w:val="center"/>
                    <w:rPr>
                      <w:b/>
                      <w:color w:val="auto"/>
                      <w:sz w:val="21"/>
                      <w:szCs w:val="21"/>
                    </w:rPr>
                  </w:pPr>
                  <w:r>
                    <w:rPr>
                      <w:b/>
                      <w:bCs/>
                      <w:color w:val="auto"/>
                      <w:sz w:val="21"/>
                      <w:szCs w:val="21"/>
                    </w:rPr>
                    <w:t>标准值µg/m³</w:t>
                  </w:r>
                </w:p>
              </w:tc>
              <w:tc>
                <w:tcPr>
                  <w:tcW w:w="602" w:type="pct"/>
                  <w:tcBorders>
                    <w:tl2br w:val="nil"/>
                    <w:tr2bl w:val="nil"/>
                  </w:tcBorders>
                  <w:vAlign w:val="center"/>
                </w:tcPr>
                <w:p w14:paraId="7CD87213">
                  <w:pPr>
                    <w:pStyle w:val="5"/>
                    <w:spacing w:line="240" w:lineRule="auto"/>
                    <w:ind w:firstLine="0" w:firstLineChars="0"/>
                    <w:jc w:val="center"/>
                    <w:rPr>
                      <w:b/>
                      <w:color w:val="auto"/>
                      <w:sz w:val="21"/>
                      <w:szCs w:val="21"/>
                    </w:rPr>
                  </w:pPr>
                  <w:r>
                    <w:rPr>
                      <w:b/>
                      <w:bCs/>
                      <w:color w:val="auto"/>
                      <w:sz w:val="21"/>
                      <w:szCs w:val="21"/>
                    </w:rPr>
                    <w:t>占标率%</w:t>
                  </w:r>
                </w:p>
              </w:tc>
              <w:tc>
                <w:tcPr>
                  <w:tcW w:w="583" w:type="pct"/>
                  <w:tcBorders>
                    <w:tl2br w:val="nil"/>
                    <w:tr2bl w:val="nil"/>
                  </w:tcBorders>
                  <w:vAlign w:val="center"/>
                </w:tcPr>
                <w:p w14:paraId="2E47873B">
                  <w:pPr>
                    <w:pStyle w:val="5"/>
                    <w:spacing w:line="240" w:lineRule="auto"/>
                    <w:ind w:firstLine="0" w:firstLineChars="0"/>
                    <w:jc w:val="center"/>
                    <w:rPr>
                      <w:b/>
                      <w:color w:val="auto"/>
                      <w:sz w:val="21"/>
                      <w:szCs w:val="21"/>
                    </w:rPr>
                  </w:pPr>
                  <w:r>
                    <w:rPr>
                      <w:b/>
                      <w:bCs/>
                      <w:color w:val="auto"/>
                      <w:sz w:val="21"/>
                      <w:szCs w:val="21"/>
                    </w:rPr>
                    <w:t>达标情况</w:t>
                  </w:r>
                </w:p>
              </w:tc>
            </w:tr>
            <w:tr w14:paraId="21C291E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9" w:hRule="atLeast"/>
                <w:jc w:val="center"/>
              </w:trPr>
              <w:tc>
                <w:tcPr>
                  <w:tcW w:w="492" w:type="pct"/>
                  <w:tcBorders>
                    <w:tl2br w:val="nil"/>
                    <w:tr2bl w:val="nil"/>
                  </w:tcBorders>
                  <w:vAlign w:val="center"/>
                </w:tcPr>
                <w:p w14:paraId="5F38CFFF">
                  <w:pPr>
                    <w:pStyle w:val="5"/>
                    <w:ind w:firstLine="0" w:firstLineChars="0"/>
                    <w:jc w:val="center"/>
                    <w:rPr>
                      <w:color w:val="auto"/>
                      <w:sz w:val="21"/>
                      <w:szCs w:val="21"/>
                    </w:rPr>
                  </w:pPr>
                  <w:r>
                    <w:rPr>
                      <w:color w:val="auto"/>
                      <w:sz w:val="21"/>
                      <w:szCs w:val="21"/>
                    </w:rPr>
                    <w:t>PM</w:t>
                  </w:r>
                  <w:r>
                    <w:rPr>
                      <w:color w:val="auto"/>
                      <w:sz w:val="21"/>
                      <w:szCs w:val="21"/>
                      <w:vertAlign w:val="subscript"/>
                    </w:rPr>
                    <w:t>2.5</w:t>
                  </w:r>
                </w:p>
              </w:tc>
              <w:tc>
                <w:tcPr>
                  <w:tcW w:w="1675" w:type="pct"/>
                  <w:tcBorders>
                    <w:tl2br w:val="nil"/>
                    <w:tr2bl w:val="nil"/>
                  </w:tcBorders>
                  <w:vAlign w:val="center"/>
                </w:tcPr>
                <w:p w14:paraId="738D2119">
                  <w:pPr>
                    <w:pStyle w:val="5"/>
                    <w:ind w:firstLine="0" w:firstLineChars="0"/>
                    <w:jc w:val="center"/>
                    <w:rPr>
                      <w:color w:val="auto"/>
                      <w:sz w:val="21"/>
                      <w:szCs w:val="21"/>
                    </w:rPr>
                  </w:pPr>
                  <w:r>
                    <w:rPr>
                      <w:color w:val="auto"/>
                      <w:sz w:val="21"/>
                      <w:szCs w:val="21"/>
                    </w:rPr>
                    <w:t>年平均质量浓度</w:t>
                  </w:r>
                </w:p>
              </w:tc>
              <w:tc>
                <w:tcPr>
                  <w:tcW w:w="878" w:type="pct"/>
                  <w:tcBorders>
                    <w:tl2br w:val="nil"/>
                    <w:tr2bl w:val="nil"/>
                  </w:tcBorders>
                  <w:vAlign w:val="center"/>
                </w:tcPr>
                <w:p w14:paraId="1EF11559">
                  <w:pPr>
                    <w:pStyle w:val="5"/>
                    <w:ind w:firstLine="0" w:firstLineChars="0"/>
                    <w:jc w:val="center"/>
                    <w:rPr>
                      <w:color w:val="auto"/>
                      <w:sz w:val="21"/>
                      <w:szCs w:val="21"/>
                    </w:rPr>
                  </w:pPr>
                  <w:r>
                    <w:rPr>
                      <w:rFonts w:hint="eastAsia"/>
                      <w:color w:val="auto"/>
                      <w:sz w:val="21"/>
                      <w:szCs w:val="21"/>
                    </w:rPr>
                    <w:t>23.4</w:t>
                  </w:r>
                </w:p>
              </w:tc>
              <w:tc>
                <w:tcPr>
                  <w:tcW w:w="768" w:type="pct"/>
                  <w:tcBorders>
                    <w:tl2br w:val="nil"/>
                    <w:tr2bl w:val="nil"/>
                  </w:tcBorders>
                  <w:vAlign w:val="center"/>
                </w:tcPr>
                <w:p w14:paraId="273392CA">
                  <w:pPr>
                    <w:pStyle w:val="5"/>
                    <w:ind w:firstLine="0" w:firstLineChars="0"/>
                    <w:jc w:val="center"/>
                    <w:rPr>
                      <w:color w:val="auto"/>
                      <w:sz w:val="21"/>
                      <w:szCs w:val="21"/>
                    </w:rPr>
                  </w:pPr>
                  <w:r>
                    <w:rPr>
                      <w:color w:val="auto"/>
                      <w:sz w:val="21"/>
                      <w:szCs w:val="21"/>
                    </w:rPr>
                    <w:t>35</w:t>
                  </w:r>
                </w:p>
              </w:tc>
              <w:tc>
                <w:tcPr>
                  <w:tcW w:w="602" w:type="pct"/>
                  <w:tcBorders>
                    <w:tl2br w:val="nil"/>
                    <w:tr2bl w:val="nil"/>
                  </w:tcBorders>
                  <w:vAlign w:val="center"/>
                </w:tcPr>
                <w:p w14:paraId="2E4FA647">
                  <w:pPr>
                    <w:pStyle w:val="5"/>
                    <w:ind w:firstLine="0" w:firstLineChars="0"/>
                    <w:jc w:val="center"/>
                    <w:rPr>
                      <w:color w:val="auto"/>
                      <w:sz w:val="21"/>
                      <w:szCs w:val="21"/>
                    </w:rPr>
                  </w:pPr>
                  <w:r>
                    <w:rPr>
                      <w:rFonts w:hint="eastAsia"/>
                      <w:color w:val="auto"/>
                      <w:sz w:val="21"/>
                      <w:szCs w:val="21"/>
                    </w:rPr>
                    <w:t>66.8</w:t>
                  </w:r>
                </w:p>
              </w:tc>
              <w:tc>
                <w:tcPr>
                  <w:tcW w:w="583" w:type="pct"/>
                  <w:tcBorders>
                    <w:tl2br w:val="nil"/>
                    <w:tr2bl w:val="nil"/>
                  </w:tcBorders>
                  <w:vAlign w:val="center"/>
                </w:tcPr>
                <w:p w14:paraId="39D27D66">
                  <w:pPr>
                    <w:autoSpaceDE w:val="0"/>
                    <w:autoSpaceDN w:val="0"/>
                    <w:spacing w:line="0" w:lineRule="atLeast"/>
                    <w:jc w:val="center"/>
                    <w:rPr>
                      <w:color w:val="auto"/>
                      <w:szCs w:val="21"/>
                    </w:rPr>
                  </w:pPr>
                  <w:r>
                    <w:rPr>
                      <w:color w:val="auto"/>
                      <w:szCs w:val="21"/>
                    </w:rPr>
                    <w:t>达标</w:t>
                  </w:r>
                </w:p>
              </w:tc>
            </w:tr>
            <w:tr w14:paraId="78BC879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9" w:hRule="atLeast"/>
                <w:jc w:val="center"/>
              </w:trPr>
              <w:tc>
                <w:tcPr>
                  <w:tcW w:w="492" w:type="pct"/>
                  <w:tcBorders>
                    <w:tl2br w:val="nil"/>
                    <w:tr2bl w:val="nil"/>
                  </w:tcBorders>
                  <w:vAlign w:val="center"/>
                </w:tcPr>
                <w:p w14:paraId="2A0DCBC8">
                  <w:pPr>
                    <w:pStyle w:val="5"/>
                    <w:ind w:firstLine="0" w:firstLineChars="0"/>
                    <w:jc w:val="center"/>
                    <w:rPr>
                      <w:color w:val="auto"/>
                      <w:sz w:val="21"/>
                      <w:szCs w:val="21"/>
                    </w:rPr>
                  </w:pPr>
                  <w:r>
                    <w:rPr>
                      <w:color w:val="auto"/>
                      <w:sz w:val="21"/>
                      <w:szCs w:val="21"/>
                    </w:rPr>
                    <w:t>PM</w:t>
                  </w:r>
                  <w:r>
                    <w:rPr>
                      <w:color w:val="auto"/>
                      <w:sz w:val="21"/>
                      <w:szCs w:val="21"/>
                      <w:vertAlign w:val="subscript"/>
                    </w:rPr>
                    <w:t>10</w:t>
                  </w:r>
                </w:p>
              </w:tc>
              <w:tc>
                <w:tcPr>
                  <w:tcW w:w="1675" w:type="pct"/>
                  <w:tcBorders>
                    <w:tl2br w:val="nil"/>
                    <w:tr2bl w:val="nil"/>
                  </w:tcBorders>
                  <w:vAlign w:val="center"/>
                </w:tcPr>
                <w:p w14:paraId="4D4BDB86">
                  <w:pPr>
                    <w:pStyle w:val="5"/>
                    <w:ind w:firstLine="0" w:firstLineChars="0"/>
                    <w:jc w:val="center"/>
                    <w:rPr>
                      <w:color w:val="auto"/>
                      <w:sz w:val="21"/>
                      <w:szCs w:val="21"/>
                    </w:rPr>
                  </w:pPr>
                  <w:r>
                    <w:rPr>
                      <w:color w:val="auto"/>
                      <w:sz w:val="21"/>
                      <w:szCs w:val="21"/>
                    </w:rPr>
                    <w:t>年平均质量浓度</w:t>
                  </w:r>
                </w:p>
              </w:tc>
              <w:tc>
                <w:tcPr>
                  <w:tcW w:w="878" w:type="pct"/>
                  <w:tcBorders>
                    <w:tl2br w:val="nil"/>
                    <w:tr2bl w:val="nil"/>
                  </w:tcBorders>
                  <w:vAlign w:val="center"/>
                </w:tcPr>
                <w:p w14:paraId="031D6EA1">
                  <w:pPr>
                    <w:pStyle w:val="5"/>
                    <w:ind w:firstLine="0" w:firstLineChars="0"/>
                    <w:jc w:val="center"/>
                    <w:rPr>
                      <w:color w:val="auto"/>
                      <w:sz w:val="21"/>
                      <w:szCs w:val="21"/>
                    </w:rPr>
                  </w:pPr>
                  <w:r>
                    <w:rPr>
                      <w:rFonts w:hint="eastAsia"/>
                      <w:color w:val="auto"/>
                      <w:sz w:val="21"/>
                      <w:szCs w:val="21"/>
                    </w:rPr>
                    <w:t>38</w:t>
                  </w:r>
                </w:p>
              </w:tc>
              <w:tc>
                <w:tcPr>
                  <w:tcW w:w="768" w:type="pct"/>
                  <w:tcBorders>
                    <w:tl2br w:val="nil"/>
                    <w:tr2bl w:val="nil"/>
                  </w:tcBorders>
                  <w:vAlign w:val="center"/>
                </w:tcPr>
                <w:p w14:paraId="09E4D2FE">
                  <w:pPr>
                    <w:pStyle w:val="5"/>
                    <w:ind w:firstLine="0" w:firstLineChars="0"/>
                    <w:jc w:val="center"/>
                    <w:rPr>
                      <w:color w:val="auto"/>
                      <w:sz w:val="21"/>
                      <w:szCs w:val="21"/>
                    </w:rPr>
                  </w:pPr>
                  <w:r>
                    <w:rPr>
                      <w:color w:val="auto"/>
                      <w:sz w:val="21"/>
                      <w:szCs w:val="21"/>
                    </w:rPr>
                    <w:t>70</w:t>
                  </w:r>
                </w:p>
              </w:tc>
              <w:tc>
                <w:tcPr>
                  <w:tcW w:w="602" w:type="pct"/>
                  <w:tcBorders>
                    <w:tl2br w:val="nil"/>
                    <w:tr2bl w:val="nil"/>
                  </w:tcBorders>
                  <w:vAlign w:val="center"/>
                </w:tcPr>
                <w:p w14:paraId="30C9F587">
                  <w:pPr>
                    <w:pStyle w:val="5"/>
                    <w:ind w:firstLine="0" w:firstLineChars="0"/>
                    <w:jc w:val="center"/>
                    <w:rPr>
                      <w:color w:val="auto"/>
                      <w:sz w:val="21"/>
                      <w:szCs w:val="21"/>
                    </w:rPr>
                  </w:pPr>
                  <w:r>
                    <w:rPr>
                      <w:rFonts w:hint="eastAsia"/>
                      <w:color w:val="auto"/>
                      <w:sz w:val="21"/>
                      <w:szCs w:val="21"/>
                    </w:rPr>
                    <w:t>54.3</w:t>
                  </w:r>
                </w:p>
              </w:tc>
              <w:tc>
                <w:tcPr>
                  <w:tcW w:w="583" w:type="pct"/>
                  <w:tcBorders>
                    <w:tl2br w:val="nil"/>
                    <w:tr2bl w:val="nil"/>
                  </w:tcBorders>
                  <w:vAlign w:val="center"/>
                </w:tcPr>
                <w:p w14:paraId="73ACCA25">
                  <w:pPr>
                    <w:autoSpaceDE w:val="0"/>
                    <w:autoSpaceDN w:val="0"/>
                    <w:spacing w:line="0" w:lineRule="atLeast"/>
                    <w:jc w:val="center"/>
                    <w:rPr>
                      <w:color w:val="auto"/>
                      <w:szCs w:val="21"/>
                    </w:rPr>
                  </w:pPr>
                  <w:r>
                    <w:rPr>
                      <w:color w:val="auto"/>
                      <w:szCs w:val="21"/>
                    </w:rPr>
                    <w:t>达标</w:t>
                  </w:r>
                </w:p>
              </w:tc>
            </w:tr>
            <w:tr w14:paraId="33812E2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9" w:hRule="atLeast"/>
                <w:jc w:val="center"/>
              </w:trPr>
              <w:tc>
                <w:tcPr>
                  <w:tcW w:w="492" w:type="pct"/>
                  <w:tcBorders>
                    <w:tl2br w:val="nil"/>
                    <w:tr2bl w:val="nil"/>
                  </w:tcBorders>
                  <w:vAlign w:val="center"/>
                </w:tcPr>
                <w:p w14:paraId="2FF5B968">
                  <w:pPr>
                    <w:pStyle w:val="5"/>
                    <w:ind w:firstLine="0" w:firstLineChars="0"/>
                    <w:jc w:val="center"/>
                    <w:rPr>
                      <w:color w:val="auto"/>
                      <w:sz w:val="21"/>
                      <w:szCs w:val="21"/>
                    </w:rPr>
                  </w:pPr>
                  <w:r>
                    <w:rPr>
                      <w:color w:val="auto"/>
                      <w:sz w:val="21"/>
                      <w:szCs w:val="21"/>
                    </w:rPr>
                    <w:t>NO</w:t>
                  </w:r>
                  <w:r>
                    <w:rPr>
                      <w:color w:val="auto"/>
                      <w:sz w:val="21"/>
                      <w:szCs w:val="21"/>
                      <w:vertAlign w:val="subscript"/>
                    </w:rPr>
                    <w:t>2</w:t>
                  </w:r>
                </w:p>
              </w:tc>
              <w:tc>
                <w:tcPr>
                  <w:tcW w:w="1675" w:type="pct"/>
                  <w:tcBorders>
                    <w:tl2br w:val="nil"/>
                    <w:tr2bl w:val="nil"/>
                  </w:tcBorders>
                  <w:vAlign w:val="center"/>
                </w:tcPr>
                <w:p w14:paraId="5AD40715">
                  <w:pPr>
                    <w:pStyle w:val="5"/>
                    <w:ind w:firstLine="0" w:firstLineChars="0"/>
                    <w:jc w:val="center"/>
                    <w:rPr>
                      <w:color w:val="auto"/>
                      <w:sz w:val="21"/>
                      <w:szCs w:val="21"/>
                    </w:rPr>
                  </w:pPr>
                  <w:r>
                    <w:rPr>
                      <w:color w:val="auto"/>
                      <w:sz w:val="21"/>
                      <w:szCs w:val="21"/>
                    </w:rPr>
                    <w:t>年平均质量浓度</w:t>
                  </w:r>
                </w:p>
              </w:tc>
              <w:tc>
                <w:tcPr>
                  <w:tcW w:w="878" w:type="pct"/>
                  <w:tcBorders>
                    <w:tl2br w:val="nil"/>
                    <w:tr2bl w:val="nil"/>
                  </w:tcBorders>
                  <w:vAlign w:val="center"/>
                </w:tcPr>
                <w:p w14:paraId="726495F7">
                  <w:pPr>
                    <w:pStyle w:val="5"/>
                    <w:ind w:firstLine="0" w:firstLineChars="0"/>
                    <w:jc w:val="center"/>
                    <w:rPr>
                      <w:color w:val="auto"/>
                      <w:sz w:val="21"/>
                      <w:szCs w:val="21"/>
                    </w:rPr>
                  </w:pPr>
                  <w:r>
                    <w:rPr>
                      <w:rFonts w:hint="eastAsia"/>
                      <w:color w:val="auto"/>
                      <w:sz w:val="21"/>
                      <w:szCs w:val="21"/>
                    </w:rPr>
                    <w:t>20</w:t>
                  </w:r>
                </w:p>
              </w:tc>
              <w:tc>
                <w:tcPr>
                  <w:tcW w:w="768" w:type="pct"/>
                  <w:tcBorders>
                    <w:tl2br w:val="nil"/>
                    <w:tr2bl w:val="nil"/>
                  </w:tcBorders>
                  <w:vAlign w:val="center"/>
                </w:tcPr>
                <w:p w14:paraId="6F37F515">
                  <w:pPr>
                    <w:pStyle w:val="5"/>
                    <w:ind w:firstLine="0" w:firstLineChars="0"/>
                    <w:jc w:val="center"/>
                    <w:rPr>
                      <w:color w:val="auto"/>
                      <w:sz w:val="21"/>
                      <w:szCs w:val="21"/>
                    </w:rPr>
                  </w:pPr>
                  <w:r>
                    <w:rPr>
                      <w:color w:val="auto"/>
                      <w:sz w:val="21"/>
                      <w:szCs w:val="21"/>
                    </w:rPr>
                    <w:t>40</w:t>
                  </w:r>
                </w:p>
              </w:tc>
              <w:tc>
                <w:tcPr>
                  <w:tcW w:w="602" w:type="pct"/>
                  <w:tcBorders>
                    <w:tl2br w:val="nil"/>
                    <w:tr2bl w:val="nil"/>
                  </w:tcBorders>
                  <w:vAlign w:val="center"/>
                </w:tcPr>
                <w:p w14:paraId="1E334D1C">
                  <w:pPr>
                    <w:pStyle w:val="5"/>
                    <w:ind w:firstLine="0" w:firstLineChars="0"/>
                    <w:jc w:val="center"/>
                    <w:rPr>
                      <w:color w:val="auto"/>
                      <w:sz w:val="21"/>
                      <w:szCs w:val="21"/>
                    </w:rPr>
                  </w:pPr>
                  <w:r>
                    <w:rPr>
                      <w:rFonts w:hint="eastAsia"/>
                      <w:color w:val="auto"/>
                      <w:sz w:val="21"/>
                      <w:szCs w:val="21"/>
                    </w:rPr>
                    <w:t>50</w:t>
                  </w:r>
                </w:p>
              </w:tc>
              <w:tc>
                <w:tcPr>
                  <w:tcW w:w="583" w:type="pct"/>
                  <w:tcBorders>
                    <w:tl2br w:val="nil"/>
                    <w:tr2bl w:val="nil"/>
                  </w:tcBorders>
                  <w:vAlign w:val="center"/>
                </w:tcPr>
                <w:p w14:paraId="30DFD366">
                  <w:pPr>
                    <w:autoSpaceDE w:val="0"/>
                    <w:autoSpaceDN w:val="0"/>
                    <w:spacing w:line="0" w:lineRule="atLeast"/>
                    <w:jc w:val="center"/>
                    <w:rPr>
                      <w:color w:val="auto"/>
                      <w:szCs w:val="21"/>
                    </w:rPr>
                  </w:pPr>
                  <w:r>
                    <w:rPr>
                      <w:color w:val="auto"/>
                      <w:szCs w:val="21"/>
                    </w:rPr>
                    <w:t>达标</w:t>
                  </w:r>
                </w:p>
              </w:tc>
            </w:tr>
            <w:tr w14:paraId="590E326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9" w:hRule="atLeast"/>
                <w:jc w:val="center"/>
              </w:trPr>
              <w:tc>
                <w:tcPr>
                  <w:tcW w:w="492" w:type="pct"/>
                  <w:tcBorders>
                    <w:tl2br w:val="nil"/>
                    <w:tr2bl w:val="nil"/>
                  </w:tcBorders>
                  <w:vAlign w:val="center"/>
                </w:tcPr>
                <w:p w14:paraId="67892A7C">
                  <w:pPr>
                    <w:pStyle w:val="5"/>
                    <w:ind w:firstLine="0" w:firstLineChars="0"/>
                    <w:jc w:val="center"/>
                    <w:rPr>
                      <w:color w:val="auto"/>
                      <w:sz w:val="21"/>
                      <w:szCs w:val="21"/>
                    </w:rPr>
                  </w:pPr>
                  <w:r>
                    <w:rPr>
                      <w:color w:val="auto"/>
                      <w:sz w:val="21"/>
                      <w:szCs w:val="21"/>
                    </w:rPr>
                    <w:t>SO</w:t>
                  </w:r>
                  <w:r>
                    <w:rPr>
                      <w:color w:val="auto"/>
                      <w:sz w:val="21"/>
                      <w:szCs w:val="21"/>
                      <w:vertAlign w:val="subscript"/>
                    </w:rPr>
                    <w:t>2</w:t>
                  </w:r>
                </w:p>
              </w:tc>
              <w:tc>
                <w:tcPr>
                  <w:tcW w:w="1675" w:type="pct"/>
                  <w:tcBorders>
                    <w:tl2br w:val="nil"/>
                    <w:tr2bl w:val="nil"/>
                  </w:tcBorders>
                  <w:vAlign w:val="center"/>
                </w:tcPr>
                <w:p w14:paraId="0AC421BE">
                  <w:pPr>
                    <w:pStyle w:val="5"/>
                    <w:ind w:firstLine="0" w:firstLineChars="0"/>
                    <w:jc w:val="center"/>
                    <w:rPr>
                      <w:color w:val="auto"/>
                      <w:sz w:val="21"/>
                      <w:szCs w:val="21"/>
                    </w:rPr>
                  </w:pPr>
                  <w:r>
                    <w:rPr>
                      <w:color w:val="auto"/>
                      <w:sz w:val="21"/>
                      <w:szCs w:val="21"/>
                    </w:rPr>
                    <w:t>年平均质量浓度</w:t>
                  </w:r>
                </w:p>
              </w:tc>
              <w:tc>
                <w:tcPr>
                  <w:tcW w:w="878" w:type="pct"/>
                  <w:tcBorders>
                    <w:tl2br w:val="nil"/>
                    <w:tr2bl w:val="nil"/>
                  </w:tcBorders>
                  <w:vAlign w:val="center"/>
                </w:tcPr>
                <w:p w14:paraId="6DCAFDB6">
                  <w:pPr>
                    <w:pStyle w:val="5"/>
                    <w:ind w:firstLine="0" w:firstLineChars="0"/>
                    <w:jc w:val="center"/>
                    <w:rPr>
                      <w:color w:val="auto"/>
                      <w:sz w:val="21"/>
                      <w:szCs w:val="21"/>
                    </w:rPr>
                  </w:pPr>
                  <w:r>
                    <w:rPr>
                      <w:rFonts w:hint="eastAsia"/>
                      <w:color w:val="auto"/>
                      <w:sz w:val="21"/>
                      <w:szCs w:val="21"/>
                    </w:rPr>
                    <w:t>11</w:t>
                  </w:r>
                </w:p>
              </w:tc>
              <w:tc>
                <w:tcPr>
                  <w:tcW w:w="768" w:type="pct"/>
                  <w:tcBorders>
                    <w:tl2br w:val="nil"/>
                    <w:tr2bl w:val="nil"/>
                  </w:tcBorders>
                  <w:vAlign w:val="center"/>
                </w:tcPr>
                <w:p w14:paraId="03FDAA58">
                  <w:pPr>
                    <w:pStyle w:val="5"/>
                    <w:ind w:firstLine="0" w:firstLineChars="0"/>
                    <w:jc w:val="center"/>
                    <w:rPr>
                      <w:color w:val="auto"/>
                      <w:sz w:val="21"/>
                      <w:szCs w:val="21"/>
                    </w:rPr>
                  </w:pPr>
                  <w:r>
                    <w:rPr>
                      <w:color w:val="auto"/>
                      <w:sz w:val="21"/>
                      <w:szCs w:val="21"/>
                    </w:rPr>
                    <w:t>60</w:t>
                  </w:r>
                </w:p>
              </w:tc>
              <w:tc>
                <w:tcPr>
                  <w:tcW w:w="602" w:type="pct"/>
                  <w:tcBorders>
                    <w:tl2br w:val="nil"/>
                    <w:tr2bl w:val="nil"/>
                  </w:tcBorders>
                  <w:vAlign w:val="center"/>
                </w:tcPr>
                <w:p w14:paraId="41F8D1BB">
                  <w:pPr>
                    <w:pStyle w:val="5"/>
                    <w:ind w:firstLine="0" w:firstLineChars="0"/>
                    <w:jc w:val="center"/>
                    <w:rPr>
                      <w:color w:val="auto"/>
                      <w:sz w:val="21"/>
                      <w:szCs w:val="21"/>
                    </w:rPr>
                  </w:pPr>
                  <w:r>
                    <w:rPr>
                      <w:rFonts w:hint="eastAsia"/>
                      <w:color w:val="auto"/>
                      <w:sz w:val="21"/>
                      <w:szCs w:val="21"/>
                    </w:rPr>
                    <w:t>18.3</w:t>
                  </w:r>
                </w:p>
              </w:tc>
              <w:tc>
                <w:tcPr>
                  <w:tcW w:w="583" w:type="pct"/>
                  <w:tcBorders>
                    <w:tl2br w:val="nil"/>
                    <w:tr2bl w:val="nil"/>
                  </w:tcBorders>
                  <w:vAlign w:val="center"/>
                </w:tcPr>
                <w:p w14:paraId="6FFCAD90">
                  <w:pPr>
                    <w:autoSpaceDE w:val="0"/>
                    <w:autoSpaceDN w:val="0"/>
                    <w:spacing w:line="0" w:lineRule="atLeast"/>
                    <w:jc w:val="center"/>
                    <w:rPr>
                      <w:color w:val="auto"/>
                      <w:szCs w:val="21"/>
                    </w:rPr>
                  </w:pPr>
                  <w:r>
                    <w:rPr>
                      <w:color w:val="auto"/>
                      <w:szCs w:val="21"/>
                    </w:rPr>
                    <w:t>达标</w:t>
                  </w:r>
                </w:p>
              </w:tc>
            </w:tr>
            <w:tr w14:paraId="40916AD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9" w:hRule="atLeast"/>
                <w:jc w:val="center"/>
              </w:trPr>
              <w:tc>
                <w:tcPr>
                  <w:tcW w:w="492" w:type="pct"/>
                  <w:tcBorders>
                    <w:tl2br w:val="nil"/>
                    <w:tr2bl w:val="nil"/>
                  </w:tcBorders>
                  <w:vAlign w:val="center"/>
                </w:tcPr>
                <w:p w14:paraId="2227D0A8">
                  <w:pPr>
                    <w:pStyle w:val="5"/>
                    <w:ind w:firstLine="0" w:firstLineChars="0"/>
                    <w:jc w:val="center"/>
                    <w:rPr>
                      <w:color w:val="auto"/>
                      <w:sz w:val="21"/>
                      <w:szCs w:val="21"/>
                    </w:rPr>
                  </w:pPr>
                  <w:r>
                    <w:rPr>
                      <w:color w:val="auto"/>
                      <w:spacing w:val="-8"/>
                      <w:sz w:val="21"/>
                      <w:szCs w:val="21"/>
                      <w:shd w:val="clear" w:color="auto" w:fill="FFFFFF"/>
                    </w:rPr>
                    <w:t>CO</w:t>
                  </w:r>
                </w:p>
              </w:tc>
              <w:tc>
                <w:tcPr>
                  <w:tcW w:w="1675" w:type="pct"/>
                  <w:tcBorders>
                    <w:tl2br w:val="nil"/>
                    <w:tr2bl w:val="nil"/>
                  </w:tcBorders>
                  <w:vAlign w:val="center"/>
                </w:tcPr>
                <w:p w14:paraId="78F5CE53">
                  <w:pPr>
                    <w:pStyle w:val="5"/>
                    <w:spacing w:line="240" w:lineRule="auto"/>
                    <w:ind w:firstLine="0" w:firstLineChars="0"/>
                    <w:jc w:val="center"/>
                    <w:rPr>
                      <w:color w:val="auto"/>
                      <w:sz w:val="21"/>
                      <w:szCs w:val="21"/>
                    </w:rPr>
                  </w:pPr>
                  <w:r>
                    <w:rPr>
                      <w:color w:val="auto"/>
                      <w:sz w:val="21"/>
                      <w:szCs w:val="21"/>
                    </w:rPr>
                    <w:t>第95百分位数日平均质量浓度</w:t>
                  </w:r>
                </w:p>
              </w:tc>
              <w:tc>
                <w:tcPr>
                  <w:tcW w:w="878" w:type="pct"/>
                  <w:tcBorders>
                    <w:tl2br w:val="nil"/>
                    <w:tr2bl w:val="nil"/>
                  </w:tcBorders>
                  <w:vAlign w:val="center"/>
                </w:tcPr>
                <w:p w14:paraId="5756FD82">
                  <w:pPr>
                    <w:pStyle w:val="5"/>
                    <w:ind w:firstLine="0" w:firstLineChars="0"/>
                    <w:jc w:val="center"/>
                    <w:rPr>
                      <w:color w:val="auto"/>
                      <w:sz w:val="21"/>
                      <w:szCs w:val="21"/>
                    </w:rPr>
                  </w:pPr>
                  <w:r>
                    <w:rPr>
                      <w:rFonts w:hint="eastAsia"/>
                      <w:color w:val="auto"/>
                      <w:sz w:val="21"/>
                      <w:szCs w:val="21"/>
                    </w:rPr>
                    <w:t>900</w:t>
                  </w:r>
                </w:p>
              </w:tc>
              <w:tc>
                <w:tcPr>
                  <w:tcW w:w="768" w:type="pct"/>
                  <w:tcBorders>
                    <w:tl2br w:val="nil"/>
                    <w:tr2bl w:val="nil"/>
                  </w:tcBorders>
                  <w:vAlign w:val="center"/>
                </w:tcPr>
                <w:p w14:paraId="63F722FF">
                  <w:pPr>
                    <w:pStyle w:val="5"/>
                    <w:ind w:firstLine="0" w:firstLineChars="0"/>
                    <w:jc w:val="center"/>
                    <w:rPr>
                      <w:color w:val="auto"/>
                      <w:sz w:val="21"/>
                      <w:szCs w:val="21"/>
                    </w:rPr>
                  </w:pPr>
                  <w:r>
                    <w:rPr>
                      <w:color w:val="auto"/>
                      <w:sz w:val="21"/>
                      <w:szCs w:val="21"/>
                    </w:rPr>
                    <w:t>4000</w:t>
                  </w:r>
                </w:p>
              </w:tc>
              <w:tc>
                <w:tcPr>
                  <w:tcW w:w="602" w:type="pct"/>
                  <w:tcBorders>
                    <w:tl2br w:val="nil"/>
                    <w:tr2bl w:val="nil"/>
                  </w:tcBorders>
                  <w:vAlign w:val="center"/>
                </w:tcPr>
                <w:p w14:paraId="105C1E03">
                  <w:pPr>
                    <w:pStyle w:val="5"/>
                    <w:ind w:firstLine="0" w:firstLineChars="0"/>
                    <w:jc w:val="center"/>
                    <w:rPr>
                      <w:color w:val="auto"/>
                      <w:sz w:val="21"/>
                      <w:szCs w:val="21"/>
                    </w:rPr>
                  </w:pPr>
                  <w:r>
                    <w:rPr>
                      <w:rFonts w:hint="eastAsia"/>
                      <w:color w:val="auto"/>
                      <w:sz w:val="21"/>
                      <w:szCs w:val="21"/>
                    </w:rPr>
                    <w:t>22.5</w:t>
                  </w:r>
                </w:p>
              </w:tc>
              <w:tc>
                <w:tcPr>
                  <w:tcW w:w="583" w:type="pct"/>
                  <w:tcBorders>
                    <w:tl2br w:val="nil"/>
                    <w:tr2bl w:val="nil"/>
                  </w:tcBorders>
                  <w:vAlign w:val="center"/>
                </w:tcPr>
                <w:p w14:paraId="11F68EDA">
                  <w:pPr>
                    <w:autoSpaceDE w:val="0"/>
                    <w:autoSpaceDN w:val="0"/>
                    <w:spacing w:line="0" w:lineRule="atLeast"/>
                    <w:jc w:val="center"/>
                    <w:rPr>
                      <w:color w:val="auto"/>
                      <w:szCs w:val="21"/>
                    </w:rPr>
                  </w:pPr>
                  <w:r>
                    <w:rPr>
                      <w:color w:val="auto"/>
                      <w:szCs w:val="21"/>
                    </w:rPr>
                    <w:t>达标</w:t>
                  </w:r>
                </w:p>
              </w:tc>
            </w:tr>
            <w:tr w14:paraId="1F4B367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9" w:hRule="atLeast"/>
                <w:jc w:val="center"/>
              </w:trPr>
              <w:tc>
                <w:tcPr>
                  <w:tcW w:w="492" w:type="pct"/>
                  <w:tcBorders>
                    <w:tl2br w:val="nil"/>
                    <w:tr2bl w:val="nil"/>
                  </w:tcBorders>
                  <w:vAlign w:val="center"/>
                </w:tcPr>
                <w:p w14:paraId="58A7686A">
                  <w:pPr>
                    <w:pStyle w:val="5"/>
                    <w:ind w:firstLine="0" w:firstLineChars="0"/>
                    <w:jc w:val="center"/>
                    <w:rPr>
                      <w:color w:val="auto"/>
                      <w:sz w:val="21"/>
                      <w:szCs w:val="21"/>
                    </w:rPr>
                  </w:pPr>
                  <w:r>
                    <w:rPr>
                      <w:color w:val="auto"/>
                      <w:sz w:val="21"/>
                      <w:szCs w:val="21"/>
                    </w:rPr>
                    <w:t>O</w:t>
                  </w:r>
                  <w:r>
                    <w:rPr>
                      <w:color w:val="auto"/>
                      <w:sz w:val="21"/>
                      <w:szCs w:val="21"/>
                      <w:vertAlign w:val="subscript"/>
                    </w:rPr>
                    <w:t>3</w:t>
                  </w:r>
                </w:p>
              </w:tc>
              <w:tc>
                <w:tcPr>
                  <w:tcW w:w="1675" w:type="pct"/>
                  <w:tcBorders>
                    <w:tl2br w:val="nil"/>
                    <w:tr2bl w:val="nil"/>
                  </w:tcBorders>
                  <w:vAlign w:val="center"/>
                </w:tcPr>
                <w:p w14:paraId="54808C2D">
                  <w:pPr>
                    <w:pStyle w:val="5"/>
                    <w:spacing w:line="240" w:lineRule="auto"/>
                    <w:ind w:firstLine="0" w:firstLineChars="0"/>
                    <w:jc w:val="center"/>
                    <w:rPr>
                      <w:color w:val="auto"/>
                      <w:sz w:val="21"/>
                      <w:szCs w:val="21"/>
                    </w:rPr>
                  </w:pPr>
                  <w:r>
                    <w:rPr>
                      <w:color w:val="auto"/>
                      <w:sz w:val="21"/>
                      <w:szCs w:val="21"/>
                    </w:rPr>
                    <w:t>第90百分位数8h平均质量浓度</w:t>
                  </w:r>
                </w:p>
              </w:tc>
              <w:tc>
                <w:tcPr>
                  <w:tcW w:w="878" w:type="pct"/>
                  <w:tcBorders>
                    <w:tl2br w:val="nil"/>
                    <w:tr2bl w:val="nil"/>
                  </w:tcBorders>
                  <w:vAlign w:val="center"/>
                </w:tcPr>
                <w:p w14:paraId="3B57EE89">
                  <w:pPr>
                    <w:pStyle w:val="5"/>
                    <w:ind w:firstLine="0" w:firstLineChars="0"/>
                    <w:jc w:val="center"/>
                    <w:rPr>
                      <w:color w:val="auto"/>
                      <w:sz w:val="21"/>
                      <w:szCs w:val="21"/>
                    </w:rPr>
                  </w:pPr>
                  <w:r>
                    <w:rPr>
                      <w:color w:val="auto"/>
                      <w:sz w:val="21"/>
                      <w:szCs w:val="21"/>
                    </w:rPr>
                    <w:t>134</w:t>
                  </w:r>
                </w:p>
              </w:tc>
              <w:tc>
                <w:tcPr>
                  <w:tcW w:w="768" w:type="pct"/>
                  <w:tcBorders>
                    <w:tl2br w:val="nil"/>
                    <w:tr2bl w:val="nil"/>
                  </w:tcBorders>
                  <w:vAlign w:val="center"/>
                </w:tcPr>
                <w:p w14:paraId="79AEF294">
                  <w:pPr>
                    <w:pStyle w:val="5"/>
                    <w:ind w:firstLine="0" w:firstLineChars="0"/>
                    <w:jc w:val="center"/>
                    <w:rPr>
                      <w:color w:val="auto"/>
                      <w:sz w:val="21"/>
                      <w:szCs w:val="21"/>
                    </w:rPr>
                  </w:pPr>
                  <w:r>
                    <w:rPr>
                      <w:color w:val="auto"/>
                      <w:sz w:val="21"/>
                      <w:szCs w:val="21"/>
                    </w:rPr>
                    <w:t>160</w:t>
                  </w:r>
                </w:p>
              </w:tc>
              <w:tc>
                <w:tcPr>
                  <w:tcW w:w="602" w:type="pct"/>
                  <w:tcBorders>
                    <w:tl2br w:val="nil"/>
                    <w:tr2bl w:val="nil"/>
                  </w:tcBorders>
                  <w:vAlign w:val="center"/>
                </w:tcPr>
                <w:p w14:paraId="1AEB7D9C">
                  <w:pPr>
                    <w:pStyle w:val="5"/>
                    <w:ind w:firstLine="0" w:firstLineChars="0"/>
                    <w:jc w:val="center"/>
                    <w:rPr>
                      <w:color w:val="auto"/>
                      <w:sz w:val="21"/>
                      <w:szCs w:val="21"/>
                    </w:rPr>
                  </w:pPr>
                  <w:r>
                    <w:rPr>
                      <w:color w:val="auto"/>
                      <w:sz w:val="21"/>
                      <w:szCs w:val="21"/>
                    </w:rPr>
                    <w:t>83.75</w:t>
                  </w:r>
                </w:p>
              </w:tc>
              <w:tc>
                <w:tcPr>
                  <w:tcW w:w="583" w:type="pct"/>
                  <w:tcBorders>
                    <w:tl2br w:val="nil"/>
                    <w:tr2bl w:val="nil"/>
                  </w:tcBorders>
                  <w:vAlign w:val="center"/>
                </w:tcPr>
                <w:p w14:paraId="183B09D7">
                  <w:pPr>
                    <w:autoSpaceDE w:val="0"/>
                    <w:autoSpaceDN w:val="0"/>
                    <w:spacing w:line="0" w:lineRule="atLeast"/>
                    <w:jc w:val="center"/>
                    <w:rPr>
                      <w:color w:val="auto"/>
                      <w:szCs w:val="21"/>
                    </w:rPr>
                  </w:pPr>
                  <w:r>
                    <w:rPr>
                      <w:color w:val="auto"/>
                      <w:szCs w:val="21"/>
                    </w:rPr>
                    <w:t>达标</w:t>
                  </w:r>
                </w:p>
              </w:tc>
            </w:tr>
          </w:tbl>
          <w:p w14:paraId="6C820E46">
            <w:pPr>
              <w:adjustRightInd w:val="0"/>
              <w:snapToGrid w:val="0"/>
              <w:spacing w:line="360" w:lineRule="auto"/>
              <w:ind w:firstLine="480" w:firstLineChars="200"/>
              <w:rPr>
                <w:color w:val="auto"/>
                <w:sz w:val="24"/>
              </w:rPr>
            </w:pPr>
            <w:r>
              <w:rPr>
                <w:color w:val="auto"/>
                <w:sz w:val="24"/>
              </w:rPr>
              <w:t>据表3-1数据可知，202</w:t>
            </w:r>
            <w:r>
              <w:rPr>
                <w:rFonts w:hint="eastAsia"/>
                <w:color w:val="auto"/>
                <w:sz w:val="24"/>
              </w:rPr>
              <w:t>4</w:t>
            </w:r>
            <w:r>
              <w:rPr>
                <w:color w:val="auto"/>
                <w:sz w:val="24"/>
              </w:rPr>
              <w:t>年高安市全年主要空气污染物中SO</w:t>
            </w:r>
            <w:r>
              <w:rPr>
                <w:color w:val="auto"/>
                <w:sz w:val="24"/>
                <w:vertAlign w:val="subscript"/>
              </w:rPr>
              <w:t>2</w:t>
            </w:r>
            <w:r>
              <w:rPr>
                <w:color w:val="auto"/>
                <w:sz w:val="24"/>
              </w:rPr>
              <w:t>、NO</w:t>
            </w:r>
            <w:r>
              <w:rPr>
                <w:color w:val="auto"/>
                <w:sz w:val="24"/>
                <w:vertAlign w:val="subscript"/>
              </w:rPr>
              <w:t>2</w:t>
            </w:r>
            <w:r>
              <w:rPr>
                <w:color w:val="auto"/>
                <w:sz w:val="24"/>
              </w:rPr>
              <w:t>、PM</w:t>
            </w:r>
            <w:r>
              <w:rPr>
                <w:color w:val="auto"/>
                <w:sz w:val="24"/>
                <w:vertAlign w:val="subscript"/>
              </w:rPr>
              <w:t>10</w:t>
            </w:r>
            <w:r>
              <w:rPr>
                <w:color w:val="auto"/>
                <w:sz w:val="24"/>
              </w:rPr>
              <w:t>、PM</w:t>
            </w:r>
            <w:r>
              <w:rPr>
                <w:color w:val="auto"/>
                <w:sz w:val="24"/>
                <w:vertAlign w:val="subscript"/>
              </w:rPr>
              <w:t>2.5</w:t>
            </w:r>
            <w:r>
              <w:rPr>
                <w:color w:val="auto"/>
                <w:sz w:val="24"/>
              </w:rPr>
              <w:t>、CO和O</w:t>
            </w:r>
            <w:r>
              <w:rPr>
                <w:color w:val="auto"/>
                <w:sz w:val="24"/>
                <w:vertAlign w:val="subscript"/>
              </w:rPr>
              <w:t>3</w:t>
            </w:r>
            <w:r>
              <w:rPr>
                <w:color w:val="auto"/>
                <w:sz w:val="24"/>
              </w:rPr>
              <w:t>浓度均达到《环境空气质量标准》（GB3095-2012）中二级标准要求。因此，项目位于达标区。</w:t>
            </w:r>
          </w:p>
          <w:p w14:paraId="00F7B2FD">
            <w:pPr>
              <w:adjustRightInd w:val="0"/>
              <w:snapToGrid w:val="0"/>
              <w:spacing w:line="360" w:lineRule="auto"/>
              <w:ind w:firstLine="482" w:firstLineChars="200"/>
              <w:rPr>
                <w:b/>
                <w:color w:val="auto"/>
                <w:sz w:val="24"/>
              </w:rPr>
            </w:pPr>
            <w:r>
              <w:rPr>
                <w:rFonts w:hint="eastAsia"/>
                <w:b/>
                <w:bCs/>
                <w:color w:val="auto"/>
                <w:sz w:val="24"/>
              </w:rPr>
              <w:t>2、地表水</w:t>
            </w:r>
          </w:p>
          <w:p w14:paraId="188D93B6">
            <w:pPr>
              <w:spacing w:line="360" w:lineRule="auto"/>
              <w:ind w:firstLine="480" w:firstLineChars="200"/>
              <w:rPr>
                <w:rFonts w:hint="eastAsia" w:eastAsia="宋体"/>
                <w:color w:val="auto"/>
                <w:sz w:val="24"/>
                <w:lang w:val="en-US" w:eastAsia="zh-CN"/>
              </w:rPr>
            </w:pPr>
            <w:r>
              <w:rPr>
                <w:rFonts w:hint="default" w:ascii="Times New Roman" w:hAnsi="Times New Roman" w:cs="Times New Roman"/>
                <w:color w:val="auto"/>
                <w:sz w:val="24"/>
                <w:szCs w:val="24"/>
              </w:rPr>
              <w:t>根据《环境影响评价技术导则</w:t>
            </w:r>
            <w:r>
              <w:rPr>
                <w:rFonts w:hint="default" w:ascii="Times New Roman" w:hAnsi="Times New Roman" w:eastAsia="Times New Roman" w:cs="Times New Roman"/>
                <w:color w:val="auto"/>
                <w:sz w:val="24"/>
                <w:szCs w:val="24"/>
              </w:rPr>
              <w:t>-</w:t>
            </w:r>
            <w:r>
              <w:rPr>
                <w:rFonts w:hint="default" w:ascii="Times New Roman" w:hAnsi="Times New Roman" w:cs="Times New Roman"/>
                <w:color w:val="auto"/>
                <w:sz w:val="24"/>
                <w:szCs w:val="24"/>
              </w:rPr>
              <w:t>地表水环境》</w:t>
            </w:r>
            <w:r>
              <w:rPr>
                <w:rFonts w:hint="eastAsia" w:cs="Times New Roman"/>
                <w:color w:val="auto"/>
                <w:sz w:val="24"/>
                <w:szCs w:val="24"/>
                <w:lang w:eastAsia="zh-CN"/>
              </w:rPr>
              <w:t>（</w:t>
            </w:r>
            <w:r>
              <w:rPr>
                <w:rFonts w:hint="default" w:ascii="Times New Roman" w:hAnsi="Times New Roman" w:eastAsia="Times New Roman" w:cs="Times New Roman"/>
                <w:color w:val="auto"/>
                <w:sz w:val="24"/>
                <w:szCs w:val="24"/>
              </w:rPr>
              <w:t>HJ2.3-2018</w:t>
            </w:r>
            <w:r>
              <w:rPr>
                <w:rFonts w:hint="eastAsia" w:eastAsia="宋体" w:cs="Times New Roman"/>
                <w:color w:val="auto"/>
                <w:sz w:val="24"/>
                <w:szCs w:val="24"/>
                <w:lang w:eastAsia="zh-CN"/>
              </w:rPr>
              <w:t>）</w:t>
            </w:r>
            <w:r>
              <w:rPr>
                <w:rFonts w:hint="default" w:ascii="Times New Roman" w:hAnsi="Times New Roman" w:cs="Times New Roman"/>
                <w:color w:val="auto"/>
                <w:sz w:val="24"/>
                <w:szCs w:val="24"/>
              </w:rPr>
              <w:t>，水环境质量现状调查应优先采用国务院生态环境保护主管部门统一发布的水环境状况信息。</w:t>
            </w:r>
            <w:r>
              <w:rPr>
                <w:rFonts w:hint="default"/>
                <w:color w:val="auto"/>
                <w:sz w:val="24"/>
              </w:rPr>
              <w:t>2025</w:t>
            </w:r>
            <w:r>
              <w:rPr>
                <w:rFonts w:hint="eastAsia"/>
                <w:color w:val="auto"/>
                <w:sz w:val="24"/>
              </w:rPr>
              <w:t>年</w:t>
            </w:r>
            <w:r>
              <w:rPr>
                <w:rFonts w:hint="default"/>
                <w:color w:val="auto"/>
                <w:sz w:val="24"/>
              </w:rPr>
              <w:t>7</w:t>
            </w:r>
            <w:r>
              <w:rPr>
                <w:rFonts w:hint="eastAsia"/>
                <w:color w:val="auto"/>
                <w:sz w:val="24"/>
              </w:rPr>
              <w:t>月江西省宜春生态环境监测中心对全市主要流域</w:t>
            </w:r>
            <w:r>
              <w:rPr>
                <w:rFonts w:hint="default"/>
                <w:color w:val="auto"/>
                <w:sz w:val="24"/>
              </w:rPr>
              <w:t>18</w:t>
            </w:r>
            <w:r>
              <w:rPr>
                <w:rFonts w:hint="eastAsia"/>
                <w:color w:val="auto"/>
                <w:sz w:val="24"/>
              </w:rPr>
              <w:t>个断面水质进行了监测，对我市范围内其他中心监测的</w:t>
            </w:r>
            <w:r>
              <w:rPr>
                <w:rFonts w:hint="default"/>
                <w:color w:val="auto"/>
                <w:sz w:val="24"/>
              </w:rPr>
              <w:t>15</w:t>
            </w:r>
            <w:r>
              <w:rPr>
                <w:rFonts w:hint="eastAsia"/>
                <w:color w:val="auto"/>
                <w:sz w:val="24"/>
              </w:rPr>
              <w:t>个断面水质数据进行了收集</w:t>
            </w:r>
            <w:r>
              <w:rPr>
                <w:rFonts w:hint="eastAsia"/>
                <w:color w:val="auto"/>
                <w:sz w:val="24"/>
                <w:lang w:val="en-US" w:eastAsia="zh-CN"/>
              </w:rPr>
              <w:t>。</w:t>
            </w:r>
            <w:r>
              <w:rPr>
                <w:rFonts w:hint="eastAsia" w:ascii="宋体" w:hAnsi="宋体" w:eastAsia="宋体" w:cs="宋体"/>
                <w:i w:val="0"/>
                <w:iCs w:val="0"/>
                <w:caps w:val="0"/>
                <w:color w:val="auto"/>
                <w:spacing w:val="0"/>
                <w:sz w:val="24"/>
                <w:szCs w:val="24"/>
                <w:shd w:val="clear" w:fill="FFFFFF"/>
              </w:rPr>
              <w:t>监测评价指标为</w:t>
            </w:r>
            <w:r>
              <w:rPr>
                <w:rFonts w:hint="default" w:ascii="Times New Roman" w:hAnsi="Times New Roman" w:eastAsia="宋体" w:cs="Times New Roman"/>
                <w:i w:val="0"/>
                <w:iCs w:val="0"/>
                <w:caps w:val="0"/>
                <w:color w:val="auto"/>
                <w:spacing w:val="0"/>
                <w:sz w:val="24"/>
                <w:szCs w:val="24"/>
                <w:shd w:val="clear" w:fill="FFFFFF"/>
              </w:rPr>
              <w:t>pH</w:t>
            </w:r>
            <w:r>
              <w:rPr>
                <w:rFonts w:hint="eastAsia" w:ascii="宋体" w:hAnsi="宋体" w:eastAsia="宋体" w:cs="宋体"/>
                <w:i w:val="0"/>
                <w:iCs w:val="0"/>
                <w:caps w:val="0"/>
                <w:color w:val="auto"/>
                <w:spacing w:val="0"/>
                <w:sz w:val="24"/>
                <w:szCs w:val="24"/>
                <w:shd w:val="clear" w:fill="FFFFFF"/>
              </w:rPr>
              <w:t>、溶解氧、高锰酸盐指数、化学需氧量、五日生化需氧量、氨氮、总磷、铜、锌、氟化物、硒、砷、汞、镉、六价铬、铅、氰化物、挥发酚、石油类、阴离子表面活性剂、硫化物共</w:t>
            </w:r>
            <w:r>
              <w:rPr>
                <w:rFonts w:hint="default" w:ascii="Times New Roman" w:hAnsi="Times New Roman" w:eastAsia="宋体" w:cs="Times New Roman"/>
                <w:i w:val="0"/>
                <w:iCs w:val="0"/>
                <w:caps w:val="0"/>
                <w:color w:val="auto"/>
                <w:spacing w:val="0"/>
                <w:sz w:val="24"/>
                <w:szCs w:val="24"/>
                <w:shd w:val="clear" w:fill="FFFFFF"/>
              </w:rPr>
              <w:t>21</w:t>
            </w:r>
            <w:r>
              <w:rPr>
                <w:rFonts w:hint="eastAsia" w:ascii="宋体" w:hAnsi="宋体" w:eastAsia="宋体" w:cs="宋体"/>
                <w:i w:val="0"/>
                <w:iCs w:val="0"/>
                <w:caps w:val="0"/>
                <w:color w:val="auto"/>
                <w:spacing w:val="0"/>
                <w:sz w:val="24"/>
                <w:szCs w:val="24"/>
                <w:shd w:val="clear" w:fill="FFFFFF"/>
              </w:rPr>
              <w:t>项</w:t>
            </w:r>
            <w:r>
              <w:rPr>
                <w:rFonts w:hint="eastAsia" w:ascii="宋体" w:hAnsi="宋体" w:eastAsia="宋体" w:cs="宋体"/>
                <w:i w:val="0"/>
                <w:iCs w:val="0"/>
                <w:caps w:val="0"/>
                <w:color w:val="auto"/>
                <w:spacing w:val="0"/>
                <w:sz w:val="24"/>
                <w:szCs w:val="24"/>
                <w:shd w:val="clear" w:fill="FFFFFF"/>
                <w:lang w:eastAsia="zh-CN"/>
              </w:rPr>
              <w:t>。</w:t>
            </w:r>
            <w:r>
              <w:rPr>
                <w:color w:val="auto"/>
                <w:sz w:val="24"/>
              </w:rPr>
              <w:t>监测评价标准为《地表水环境质量标准》</w:t>
            </w:r>
            <w:r>
              <w:rPr>
                <w:rFonts w:hint="eastAsia"/>
                <w:color w:val="auto"/>
                <w:sz w:val="24"/>
                <w:lang w:eastAsia="zh-CN"/>
              </w:rPr>
              <w:t>（</w:t>
            </w:r>
            <w:r>
              <w:rPr>
                <w:color w:val="auto"/>
                <w:sz w:val="24"/>
              </w:rPr>
              <w:t>GB3838-2002</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Ⅲ</w:t>
            </w:r>
            <w:r>
              <w:rPr>
                <w:rFonts w:hint="default" w:ascii="Times New Roman" w:hAnsi="Times New Roman" w:cs="Times New Roman"/>
                <w:color w:val="auto"/>
                <w:sz w:val="24"/>
                <w:szCs w:val="24"/>
                <w:lang w:val="en-US" w:eastAsia="zh-CN"/>
              </w:rPr>
              <w:t>类</w:t>
            </w:r>
            <w:r>
              <w:rPr>
                <w:rFonts w:hint="eastAsia"/>
                <w:color w:val="auto"/>
                <w:sz w:val="24"/>
                <w:lang w:eastAsia="zh-CN"/>
              </w:rPr>
              <w:t>。</w:t>
            </w:r>
            <w:r>
              <w:rPr>
                <w:rFonts w:hint="default" w:ascii="Times New Roman" w:hAnsi="Times New Roman" w:cs="Times New Roman"/>
                <w:color w:val="auto"/>
                <w:spacing w:val="-1"/>
                <w:sz w:val="24"/>
                <w:szCs w:val="24"/>
              </w:rPr>
              <w:t>其中距离项目最近的断面为</w:t>
            </w:r>
            <w:r>
              <w:rPr>
                <w:rFonts w:hint="eastAsia" w:cs="Times New Roman"/>
                <w:color w:val="auto"/>
                <w:spacing w:val="-1"/>
                <w:sz w:val="24"/>
                <w:szCs w:val="24"/>
                <w:lang w:val="en-US" w:eastAsia="zh-CN"/>
              </w:rPr>
              <w:t>锦</w:t>
            </w:r>
            <w:r>
              <w:rPr>
                <w:rFonts w:hint="eastAsia" w:ascii="Times New Roman" w:hAnsi="Times New Roman" w:cs="Times New Roman"/>
                <w:color w:val="auto"/>
                <w:spacing w:val="-1"/>
                <w:sz w:val="24"/>
                <w:szCs w:val="24"/>
                <w:lang w:val="en-US" w:eastAsia="zh-CN"/>
              </w:rPr>
              <w:t>江</w:t>
            </w:r>
            <w:r>
              <w:rPr>
                <w:rFonts w:hint="eastAsia" w:cs="Times New Roman"/>
                <w:color w:val="auto"/>
                <w:spacing w:val="-1"/>
                <w:sz w:val="24"/>
                <w:szCs w:val="24"/>
                <w:lang w:val="en-US" w:eastAsia="zh-CN"/>
              </w:rPr>
              <w:t>高安市青州村</w:t>
            </w:r>
            <w:r>
              <w:rPr>
                <w:rFonts w:hint="eastAsia"/>
                <w:color w:val="auto"/>
                <w:sz w:val="24"/>
                <w:szCs w:val="24"/>
              </w:rPr>
              <w:t>断面</w:t>
            </w:r>
            <w:r>
              <w:rPr>
                <w:rFonts w:hint="eastAsia"/>
                <w:color w:val="auto"/>
                <w:sz w:val="24"/>
                <w:szCs w:val="24"/>
                <w:lang w:eastAsia="zh-CN"/>
              </w:rPr>
              <w:t>。</w:t>
            </w:r>
          </w:p>
          <w:p w14:paraId="7A685C55">
            <w:pPr>
              <w:pStyle w:val="7"/>
              <w:autoSpaceDE/>
              <w:autoSpaceDN/>
              <w:adjustRightInd/>
              <w:spacing w:line="240" w:lineRule="auto"/>
              <w:ind w:left="0" w:firstLine="0"/>
              <w:jc w:val="center"/>
              <w:textAlignment w:val="auto"/>
              <w:rPr>
                <w:b/>
                <w:bCs/>
                <w:color w:val="auto"/>
                <w:kern w:val="2"/>
                <w:szCs w:val="24"/>
              </w:rPr>
            </w:pPr>
            <w:r>
              <w:rPr>
                <w:b/>
                <w:bCs/>
                <w:color w:val="auto"/>
                <w:kern w:val="2"/>
                <w:szCs w:val="24"/>
              </w:rPr>
              <w:t>表3-2  202</w:t>
            </w:r>
            <w:r>
              <w:rPr>
                <w:rFonts w:hint="eastAsia"/>
                <w:b/>
                <w:bCs/>
                <w:color w:val="auto"/>
                <w:kern w:val="2"/>
                <w:szCs w:val="24"/>
              </w:rPr>
              <w:t>5</w:t>
            </w:r>
            <w:r>
              <w:rPr>
                <w:b/>
                <w:bCs/>
                <w:color w:val="auto"/>
                <w:kern w:val="2"/>
                <w:szCs w:val="24"/>
              </w:rPr>
              <w:t>年</w:t>
            </w:r>
            <w:r>
              <w:rPr>
                <w:rFonts w:hint="eastAsia"/>
                <w:b/>
                <w:bCs/>
                <w:color w:val="auto"/>
                <w:kern w:val="2"/>
                <w:szCs w:val="24"/>
                <w:lang w:val="en-US" w:eastAsia="zh-CN"/>
              </w:rPr>
              <w:t>7</w:t>
            </w:r>
            <w:r>
              <w:rPr>
                <w:rFonts w:ascii="Times New Roman" w:hAnsi="Times New Roman" w:eastAsia="宋体" w:cs="Times New Roman"/>
                <w:b/>
                <w:bCs/>
                <w:color w:val="auto"/>
                <w:kern w:val="2"/>
                <w:szCs w:val="24"/>
              </w:rPr>
              <w:t>月</w:t>
            </w:r>
            <w:r>
              <w:rPr>
                <w:rFonts w:hint="eastAsia" w:cs="Times New Roman"/>
                <w:b/>
                <w:bCs/>
                <w:color w:val="auto"/>
                <w:spacing w:val="-1"/>
                <w:sz w:val="24"/>
                <w:szCs w:val="24"/>
                <w:lang w:val="en-US" w:eastAsia="zh-CN"/>
              </w:rPr>
              <w:t>锦</w:t>
            </w:r>
            <w:r>
              <w:rPr>
                <w:rFonts w:hint="eastAsia" w:ascii="Times New Roman" w:hAnsi="Times New Roman" w:cs="Times New Roman"/>
                <w:b/>
                <w:bCs/>
                <w:color w:val="auto"/>
                <w:spacing w:val="-1"/>
                <w:sz w:val="24"/>
                <w:szCs w:val="24"/>
                <w:lang w:val="en-US" w:eastAsia="zh-CN"/>
              </w:rPr>
              <w:t>江</w:t>
            </w:r>
            <w:r>
              <w:rPr>
                <w:rFonts w:hint="eastAsia" w:cs="Times New Roman"/>
                <w:b/>
                <w:bCs/>
                <w:color w:val="auto"/>
                <w:spacing w:val="-1"/>
                <w:sz w:val="24"/>
                <w:szCs w:val="24"/>
                <w:lang w:val="en-US" w:eastAsia="zh-CN"/>
              </w:rPr>
              <w:t>高安市青州村</w:t>
            </w:r>
            <w:r>
              <w:rPr>
                <w:rFonts w:hint="eastAsia"/>
                <w:b/>
                <w:bCs/>
                <w:color w:val="auto"/>
                <w:sz w:val="24"/>
                <w:szCs w:val="24"/>
              </w:rPr>
              <w:t>断面</w:t>
            </w:r>
            <w:r>
              <w:rPr>
                <w:rFonts w:ascii="Times New Roman" w:hAnsi="Times New Roman" w:eastAsia="宋体" w:cs="Times New Roman"/>
                <w:b/>
                <w:bCs/>
                <w:color w:val="auto"/>
                <w:kern w:val="2"/>
                <w:szCs w:val="24"/>
              </w:rPr>
              <w:t>水质监测</w:t>
            </w:r>
            <w:r>
              <w:rPr>
                <w:b/>
                <w:bCs/>
                <w:color w:val="auto"/>
                <w:kern w:val="2"/>
                <w:szCs w:val="24"/>
              </w:rPr>
              <w:t>评价结果一览表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135"/>
              <w:gridCol w:w="3756"/>
              <w:gridCol w:w="908"/>
              <w:gridCol w:w="832"/>
              <w:gridCol w:w="1083"/>
            </w:tblGrid>
            <w:tr w14:paraId="4A480E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tcBorders>
                    <w:tl2br w:val="nil"/>
                    <w:tr2bl w:val="nil"/>
                  </w:tcBorders>
                  <w:vAlign w:val="center"/>
                </w:tcPr>
                <w:p w14:paraId="3D437D0D">
                  <w:pPr>
                    <w:keepNext w:val="0"/>
                    <w:keepLines w:val="0"/>
                    <w:pageBreakBefore w:val="0"/>
                    <w:kinsoku/>
                    <w:wordWrap/>
                    <w:overflowPunct/>
                    <w:topLinePunct w:val="0"/>
                    <w:autoSpaceDE/>
                    <w:autoSpaceDN/>
                    <w:bidi w:val="0"/>
                    <w:adjustRightInd/>
                    <w:snapToGrid/>
                    <w:spacing w:line="240" w:lineRule="auto"/>
                    <w:jc w:val="center"/>
                    <w:textAlignment w:val="auto"/>
                    <w:rPr>
                      <w:b/>
                      <w:bCs/>
                      <w:color w:val="auto"/>
                      <w:szCs w:val="21"/>
                    </w:rPr>
                  </w:pPr>
                  <w:r>
                    <w:rPr>
                      <w:b/>
                      <w:bCs/>
                      <w:color w:val="auto"/>
                      <w:szCs w:val="21"/>
                    </w:rPr>
                    <w:t>序号</w:t>
                  </w:r>
                </w:p>
              </w:tc>
              <w:tc>
                <w:tcPr>
                  <w:tcW w:w="674" w:type="pct"/>
                  <w:tcBorders>
                    <w:tl2br w:val="nil"/>
                    <w:tr2bl w:val="nil"/>
                  </w:tcBorders>
                  <w:vAlign w:val="center"/>
                </w:tcPr>
                <w:p w14:paraId="7A5FE21F">
                  <w:pPr>
                    <w:keepNext w:val="0"/>
                    <w:keepLines w:val="0"/>
                    <w:pageBreakBefore w:val="0"/>
                    <w:kinsoku/>
                    <w:wordWrap/>
                    <w:overflowPunct/>
                    <w:topLinePunct w:val="0"/>
                    <w:autoSpaceDE/>
                    <w:autoSpaceDN/>
                    <w:bidi w:val="0"/>
                    <w:adjustRightInd/>
                    <w:snapToGrid/>
                    <w:spacing w:line="240" w:lineRule="auto"/>
                    <w:jc w:val="center"/>
                    <w:textAlignment w:val="auto"/>
                    <w:rPr>
                      <w:b/>
                      <w:bCs/>
                      <w:color w:val="auto"/>
                      <w:szCs w:val="21"/>
                    </w:rPr>
                  </w:pPr>
                  <w:r>
                    <w:rPr>
                      <w:b/>
                      <w:bCs/>
                      <w:color w:val="auto"/>
                      <w:szCs w:val="21"/>
                    </w:rPr>
                    <w:t>河流名称</w:t>
                  </w:r>
                </w:p>
              </w:tc>
              <w:tc>
                <w:tcPr>
                  <w:tcW w:w="2230" w:type="pct"/>
                  <w:tcBorders>
                    <w:tl2br w:val="nil"/>
                    <w:tr2bl w:val="nil"/>
                  </w:tcBorders>
                  <w:vAlign w:val="center"/>
                </w:tcPr>
                <w:p w14:paraId="1D495AAA">
                  <w:pPr>
                    <w:keepNext w:val="0"/>
                    <w:keepLines w:val="0"/>
                    <w:pageBreakBefore w:val="0"/>
                    <w:kinsoku/>
                    <w:wordWrap/>
                    <w:overflowPunct/>
                    <w:topLinePunct w:val="0"/>
                    <w:autoSpaceDE/>
                    <w:autoSpaceDN/>
                    <w:bidi w:val="0"/>
                    <w:adjustRightInd/>
                    <w:snapToGrid/>
                    <w:spacing w:line="240" w:lineRule="auto"/>
                    <w:jc w:val="center"/>
                    <w:textAlignment w:val="auto"/>
                    <w:rPr>
                      <w:b/>
                      <w:bCs/>
                      <w:color w:val="auto"/>
                      <w:szCs w:val="21"/>
                    </w:rPr>
                  </w:pPr>
                  <w:r>
                    <w:rPr>
                      <w:b/>
                      <w:bCs/>
                      <w:color w:val="auto"/>
                      <w:szCs w:val="21"/>
                    </w:rPr>
                    <w:t>断面名称</w:t>
                  </w:r>
                </w:p>
              </w:tc>
              <w:tc>
                <w:tcPr>
                  <w:tcW w:w="539" w:type="pct"/>
                  <w:tcBorders>
                    <w:tl2br w:val="nil"/>
                    <w:tr2bl w:val="nil"/>
                  </w:tcBorders>
                  <w:vAlign w:val="center"/>
                </w:tcPr>
                <w:p w14:paraId="33BD7740">
                  <w:pPr>
                    <w:keepNext w:val="0"/>
                    <w:keepLines w:val="0"/>
                    <w:pageBreakBefore w:val="0"/>
                    <w:kinsoku/>
                    <w:wordWrap/>
                    <w:overflowPunct/>
                    <w:topLinePunct w:val="0"/>
                    <w:autoSpaceDE/>
                    <w:autoSpaceDN/>
                    <w:bidi w:val="0"/>
                    <w:adjustRightInd/>
                    <w:snapToGrid/>
                    <w:spacing w:line="240" w:lineRule="auto"/>
                    <w:jc w:val="center"/>
                    <w:textAlignment w:val="auto"/>
                    <w:rPr>
                      <w:b/>
                      <w:bCs/>
                      <w:color w:val="auto"/>
                      <w:szCs w:val="21"/>
                    </w:rPr>
                  </w:pPr>
                  <w:r>
                    <w:rPr>
                      <w:b/>
                      <w:bCs/>
                      <w:color w:val="auto"/>
                      <w:szCs w:val="21"/>
                    </w:rPr>
                    <w:t>执行标准</w:t>
                  </w:r>
                </w:p>
              </w:tc>
              <w:tc>
                <w:tcPr>
                  <w:tcW w:w="494" w:type="pct"/>
                  <w:tcBorders>
                    <w:tl2br w:val="nil"/>
                    <w:tr2bl w:val="nil"/>
                  </w:tcBorders>
                  <w:vAlign w:val="center"/>
                </w:tcPr>
                <w:p w14:paraId="20D1992B">
                  <w:pPr>
                    <w:keepNext w:val="0"/>
                    <w:keepLines w:val="0"/>
                    <w:pageBreakBefore w:val="0"/>
                    <w:kinsoku/>
                    <w:wordWrap/>
                    <w:overflowPunct/>
                    <w:topLinePunct w:val="0"/>
                    <w:autoSpaceDE/>
                    <w:autoSpaceDN/>
                    <w:bidi w:val="0"/>
                    <w:adjustRightInd/>
                    <w:snapToGrid/>
                    <w:spacing w:line="240" w:lineRule="auto"/>
                    <w:jc w:val="center"/>
                    <w:textAlignment w:val="auto"/>
                    <w:rPr>
                      <w:b/>
                      <w:bCs/>
                      <w:color w:val="auto"/>
                      <w:szCs w:val="21"/>
                    </w:rPr>
                  </w:pPr>
                  <w:r>
                    <w:rPr>
                      <w:b/>
                      <w:bCs/>
                      <w:color w:val="auto"/>
                      <w:szCs w:val="21"/>
                    </w:rPr>
                    <w:t>水质类别</w:t>
                  </w:r>
                </w:p>
              </w:tc>
              <w:tc>
                <w:tcPr>
                  <w:tcW w:w="643" w:type="pct"/>
                  <w:tcBorders>
                    <w:tl2br w:val="nil"/>
                    <w:tr2bl w:val="nil"/>
                  </w:tcBorders>
                  <w:vAlign w:val="center"/>
                </w:tcPr>
                <w:p w14:paraId="6D6B6975">
                  <w:pPr>
                    <w:keepNext w:val="0"/>
                    <w:keepLines w:val="0"/>
                    <w:pageBreakBefore w:val="0"/>
                    <w:kinsoku/>
                    <w:wordWrap/>
                    <w:overflowPunct/>
                    <w:topLinePunct w:val="0"/>
                    <w:autoSpaceDE/>
                    <w:autoSpaceDN/>
                    <w:bidi w:val="0"/>
                    <w:adjustRightInd/>
                    <w:snapToGrid/>
                    <w:spacing w:line="240" w:lineRule="auto"/>
                    <w:jc w:val="center"/>
                    <w:textAlignment w:val="auto"/>
                    <w:rPr>
                      <w:b/>
                      <w:bCs/>
                      <w:color w:val="auto"/>
                      <w:szCs w:val="21"/>
                    </w:rPr>
                  </w:pPr>
                  <w:r>
                    <w:rPr>
                      <w:b/>
                      <w:bCs/>
                      <w:color w:val="auto"/>
                      <w:szCs w:val="21"/>
                    </w:rPr>
                    <w:t>超标因子</w:t>
                  </w:r>
                </w:p>
              </w:tc>
            </w:tr>
            <w:tr w14:paraId="43C97D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tcBorders>
                    <w:tl2br w:val="nil"/>
                    <w:tr2bl w:val="nil"/>
                  </w:tcBorders>
                  <w:vAlign w:val="center"/>
                </w:tcPr>
                <w:p w14:paraId="4D01780B">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kern w:val="0"/>
                      <w:szCs w:val="21"/>
                    </w:rPr>
                  </w:pPr>
                  <w:r>
                    <w:rPr>
                      <w:color w:val="auto"/>
                      <w:kern w:val="0"/>
                      <w:szCs w:val="21"/>
                    </w:rPr>
                    <w:t>1</w:t>
                  </w:r>
                </w:p>
              </w:tc>
              <w:tc>
                <w:tcPr>
                  <w:tcW w:w="674" w:type="pct"/>
                  <w:tcBorders>
                    <w:tl2br w:val="nil"/>
                    <w:tr2bl w:val="nil"/>
                  </w:tcBorders>
                  <w:vAlign w:val="center"/>
                </w:tcPr>
                <w:p w14:paraId="6CCEB2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b w:val="0"/>
                      <w:bCs w:val="0"/>
                      <w:color w:val="auto"/>
                      <w:kern w:val="0"/>
                      <w:sz w:val="21"/>
                      <w:szCs w:val="21"/>
                      <w:lang w:val="en-US" w:eastAsia="zh-CN"/>
                    </w:rPr>
                  </w:pPr>
                  <w:r>
                    <w:rPr>
                      <w:rFonts w:hint="eastAsia" w:cs="Times New Roman"/>
                      <w:b w:val="0"/>
                      <w:bCs w:val="0"/>
                      <w:color w:val="auto"/>
                      <w:spacing w:val="-1"/>
                      <w:sz w:val="21"/>
                      <w:szCs w:val="21"/>
                      <w:lang w:val="en-US" w:eastAsia="zh-CN"/>
                    </w:rPr>
                    <w:t>锦</w:t>
                  </w:r>
                  <w:r>
                    <w:rPr>
                      <w:rFonts w:hint="eastAsia" w:ascii="Times New Roman" w:hAnsi="Times New Roman" w:cs="Times New Roman"/>
                      <w:b w:val="0"/>
                      <w:bCs w:val="0"/>
                      <w:color w:val="auto"/>
                      <w:spacing w:val="-1"/>
                      <w:sz w:val="21"/>
                      <w:szCs w:val="21"/>
                      <w:lang w:val="en-US" w:eastAsia="zh-CN"/>
                    </w:rPr>
                    <w:t>江</w:t>
                  </w:r>
                </w:p>
              </w:tc>
              <w:tc>
                <w:tcPr>
                  <w:tcW w:w="2230" w:type="pct"/>
                  <w:tcBorders>
                    <w:tl2br w:val="nil"/>
                    <w:tr2bl w:val="nil"/>
                  </w:tcBorders>
                  <w:vAlign w:val="center"/>
                </w:tcPr>
                <w:p w14:paraId="4C48FDD5">
                  <w:pPr>
                    <w:keepNext w:val="0"/>
                    <w:keepLines w:val="0"/>
                    <w:pageBreakBefore w:val="0"/>
                    <w:widowControl/>
                    <w:kinsoku/>
                    <w:wordWrap/>
                    <w:overflowPunct/>
                    <w:topLinePunct w:val="0"/>
                    <w:autoSpaceDE/>
                    <w:autoSpaceDN/>
                    <w:bidi w:val="0"/>
                    <w:adjustRightInd/>
                    <w:snapToGrid/>
                    <w:spacing w:line="240" w:lineRule="auto"/>
                    <w:jc w:val="center"/>
                    <w:textAlignment w:val="auto"/>
                    <w:rPr>
                      <w:b w:val="0"/>
                      <w:bCs w:val="0"/>
                      <w:color w:val="auto"/>
                      <w:kern w:val="0"/>
                      <w:sz w:val="21"/>
                      <w:szCs w:val="21"/>
                    </w:rPr>
                  </w:pPr>
                  <w:r>
                    <w:rPr>
                      <w:rFonts w:hint="eastAsia" w:cs="Times New Roman"/>
                      <w:b w:val="0"/>
                      <w:bCs w:val="0"/>
                      <w:color w:val="auto"/>
                      <w:spacing w:val="-1"/>
                      <w:sz w:val="21"/>
                      <w:szCs w:val="21"/>
                      <w:lang w:val="en-US" w:eastAsia="zh-CN"/>
                    </w:rPr>
                    <w:t>高安市青州村</w:t>
                  </w:r>
                  <w:r>
                    <w:rPr>
                      <w:b w:val="0"/>
                      <w:bCs w:val="0"/>
                      <w:color w:val="auto"/>
                      <w:kern w:val="0"/>
                      <w:sz w:val="21"/>
                      <w:szCs w:val="21"/>
                    </w:rPr>
                    <w:t>（</w:t>
                  </w:r>
                  <w:r>
                    <w:rPr>
                      <w:rFonts w:hint="eastAsia"/>
                      <w:b w:val="0"/>
                      <w:bCs w:val="0"/>
                      <w:color w:val="auto"/>
                      <w:kern w:val="0"/>
                      <w:sz w:val="21"/>
                      <w:szCs w:val="21"/>
                      <w:lang w:val="en-US" w:eastAsia="zh-CN"/>
                    </w:rPr>
                    <w:t>国</w:t>
                  </w:r>
                  <w:r>
                    <w:rPr>
                      <w:b w:val="0"/>
                      <w:bCs w:val="0"/>
                      <w:color w:val="auto"/>
                      <w:kern w:val="0"/>
                      <w:sz w:val="21"/>
                      <w:szCs w:val="21"/>
                    </w:rPr>
                    <w:t>考、</w:t>
                  </w:r>
                  <w:r>
                    <w:rPr>
                      <w:rFonts w:hint="eastAsia"/>
                      <w:b w:val="0"/>
                      <w:bCs w:val="0"/>
                      <w:color w:val="auto"/>
                      <w:kern w:val="0"/>
                      <w:sz w:val="21"/>
                      <w:szCs w:val="21"/>
                      <w:lang w:val="en-US" w:eastAsia="zh-CN"/>
                    </w:rPr>
                    <w:t>国</w:t>
                  </w:r>
                  <w:r>
                    <w:rPr>
                      <w:b w:val="0"/>
                      <w:bCs w:val="0"/>
                      <w:color w:val="auto"/>
                      <w:kern w:val="0"/>
                      <w:sz w:val="21"/>
                      <w:szCs w:val="21"/>
                    </w:rPr>
                    <w:t>控）</w:t>
                  </w:r>
                </w:p>
              </w:tc>
              <w:tc>
                <w:tcPr>
                  <w:tcW w:w="539" w:type="pct"/>
                  <w:tcBorders>
                    <w:tl2br w:val="nil"/>
                    <w:tr2bl w:val="nil"/>
                  </w:tcBorders>
                  <w:vAlign w:val="center"/>
                </w:tcPr>
                <w:p w14:paraId="4D4953AD">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kern w:val="0"/>
                      <w:szCs w:val="21"/>
                    </w:rPr>
                  </w:pPr>
                  <w:r>
                    <w:rPr>
                      <w:rFonts w:hint="default"/>
                      <w:color w:val="auto"/>
                    </w:rPr>
                    <w:t>Ⅲ</w:t>
                  </w:r>
                </w:p>
              </w:tc>
              <w:tc>
                <w:tcPr>
                  <w:tcW w:w="494" w:type="pct"/>
                  <w:tcBorders>
                    <w:tl2br w:val="nil"/>
                    <w:tr2bl w:val="nil"/>
                  </w:tcBorders>
                  <w:vAlign w:val="center"/>
                </w:tcPr>
                <w:p w14:paraId="54CEBA5B">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kern w:val="0"/>
                      <w:szCs w:val="21"/>
                    </w:rPr>
                  </w:pPr>
                  <w:r>
                    <w:rPr>
                      <w:rFonts w:hint="default"/>
                      <w:color w:val="auto"/>
                    </w:rPr>
                    <w:t>Ⅲ</w:t>
                  </w:r>
                </w:p>
              </w:tc>
              <w:tc>
                <w:tcPr>
                  <w:tcW w:w="643" w:type="pct"/>
                  <w:tcBorders>
                    <w:tl2br w:val="nil"/>
                    <w:tr2bl w:val="nil"/>
                  </w:tcBorders>
                  <w:vAlign w:val="center"/>
                </w:tcPr>
                <w:p w14:paraId="3F25187D">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kern w:val="0"/>
                      <w:szCs w:val="21"/>
                    </w:rPr>
                  </w:pPr>
                  <w:r>
                    <w:rPr>
                      <w:color w:val="auto"/>
                      <w:kern w:val="0"/>
                      <w:szCs w:val="21"/>
                    </w:rPr>
                    <w:t>/</w:t>
                  </w:r>
                </w:p>
              </w:tc>
            </w:tr>
          </w:tbl>
          <w:p w14:paraId="68573F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snapToGrid w:val="0"/>
                <w:color w:val="auto"/>
                <w:sz w:val="24"/>
              </w:rPr>
            </w:pPr>
            <w:r>
              <w:rPr>
                <w:rFonts w:hint="eastAsia"/>
                <w:color w:val="auto"/>
                <w:sz w:val="24"/>
                <w:lang w:val="en-US" w:eastAsia="zh-CN"/>
              </w:rPr>
              <w:t>根据</w:t>
            </w:r>
            <w:r>
              <w:rPr>
                <w:rFonts w:hint="eastAsia"/>
                <w:color w:val="auto"/>
                <w:sz w:val="24"/>
              </w:rPr>
              <w:t>江西省宜春生态环境监测中心</w:t>
            </w:r>
            <w:r>
              <w:rPr>
                <w:rFonts w:hint="default"/>
                <w:color w:val="auto"/>
                <w:sz w:val="24"/>
              </w:rPr>
              <w:t>2025</w:t>
            </w:r>
            <w:r>
              <w:rPr>
                <w:rFonts w:hint="eastAsia"/>
                <w:color w:val="auto"/>
                <w:sz w:val="24"/>
              </w:rPr>
              <w:t>年</w:t>
            </w:r>
            <w:r>
              <w:rPr>
                <w:rFonts w:hint="default"/>
                <w:color w:val="auto"/>
                <w:sz w:val="24"/>
              </w:rPr>
              <w:t>7</w:t>
            </w:r>
            <w:r>
              <w:rPr>
                <w:rFonts w:hint="eastAsia"/>
                <w:color w:val="auto"/>
                <w:sz w:val="24"/>
              </w:rPr>
              <w:t>月</w:t>
            </w:r>
            <w:r>
              <w:rPr>
                <w:rFonts w:hint="eastAsia"/>
                <w:color w:val="auto"/>
                <w:sz w:val="24"/>
                <w:lang w:val="en-US" w:eastAsia="zh-CN"/>
              </w:rPr>
              <w:t>对</w:t>
            </w:r>
            <w:r>
              <w:rPr>
                <w:rFonts w:hint="eastAsia" w:cs="Times New Roman"/>
                <w:color w:val="auto"/>
                <w:spacing w:val="-1"/>
                <w:sz w:val="24"/>
                <w:szCs w:val="24"/>
                <w:lang w:val="en-US" w:eastAsia="zh-CN"/>
              </w:rPr>
              <w:t>锦</w:t>
            </w:r>
            <w:r>
              <w:rPr>
                <w:rFonts w:hint="eastAsia" w:ascii="Times New Roman" w:hAnsi="Times New Roman" w:cs="Times New Roman"/>
                <w:color w:val="auto"/>
                <w:spacing w:val="-1"/>
                <w:sz w:val="24"/>
                <w:szCs w:val="24"/>
                <w:lang w:val="en-US" w:eastAsia="zh-CN"/>
              </w:rPr>
              <w:t>江</w:t>
            </w:r>
            <w:r>
              <w:rPr>
                <w:rFonts w:hint="eastAsia" w:cs="Times New Roman"/>
                <w:color w:val="auto"/>
                <w:spacing w:val="-1"/>
                <w:sz w:val="24"/>
                <w:szCs w:val="24"/>
                <w:lang w:val="en-US" w:eastAsia="zh-CN"/>
              </w:rPr>
              <w:t>高安市青州村</w:t>
            </w:r>
            <w:r>
              <w:rPr>
                <w:rFonts w:hint="eastAsia" w:ascii="Times New Roman" w:hAnsi="Times New Roman" w:eastAsia="宋体" w:cs="Times New Roman"/>
                <w:color w:val="auto"/>
                <w:sz w:val="24"/>
                <w:lang w:val="en-US" w:eastAsia="zh-CN"/>
              </w:rPr>
              <w:t>断面水质监测结果，监测断面</w:t>
            </w:r>
            <w:r>
              <w:rPr>
                <w:rFonts w:hint="default" w:ascii="Times New Roman" w:hAnsi="Times New Roman" w:eastAsia="宋体" w:cs="Times New Roman"/>
                <w:color w:val="auto"/>
                <w:sz w:val="24"/>
              </w:rPr>
              <w:t>各项污</w:t>
            </w:r>
            <w:r>
              <w:rPr>
                <w:rFonts w:hint="default" w:ascii="Times New Roman" w:hAnsi="Times New Roman" w:cs="Times New Roman"/>
                <w:color w:val="auto"/>
                <w:sz w:val="24"/>
              </w:rPr>
              <w:t>染物指标均可以满足《地表水环境质量标准》（</w:t>
            </w:r>
            <w:r>
              <w:rPr>
                <w:rFonts w:hint="default" w:ascii="Times New Roman" w:hAnsi="Times New Roman" w:eastAsia="Times New Roman" w:cs="Times New Roman"/>
                <w:color w:val="auto"/>
                <w:sz w:val="24"/>
              </w:rPr>
              <w:t>GB3838—2002</w:t>
            </w:r>
            <w:r>
              <w:rPr>
                <w:rFonts w:hint="default" w:ascii="Times New Roman" w:hAnsi="Times New Roman" w:cs="Times New Roman"/>
                <w:color w:val="auto"/>
                <w:sz w:val="24"/>
              </w:rPr>
              <w:t>）</w:t>
            </w:r>
            <w:r>
              <w:rPr>
                <w:rFonts w:hint="default"/>
                <w:color w:val="auto"/>
                <w:sz w:val="24"/>
                <w:szCs w:val="24"/>
              </w:rPr>
              <w:t>Ⅲ</w:t>
            </w:r>
            <w:r>
              <w:rPr>
                <w:rFonts w:hint="default" w:ascii="Times New Roman" w:hAnsi="Times New Roman" w:cs="Times New Roman"/>
                <w:color w:val="auto"/>
                <w:sz w:val="24"/>
              </w:rPr>
              <w:t>类标准限值的要求，项目所在区域</w:t>
            </w:r>
            <w:r>
              <w:rPr>
                <w:rFonts w:hint="eastAsia" w:cs="Times New Roman"/>
                <w:color w:val="auto"/>
                <w:spacing w:val="-1"/>
                <w:sz w:val="24"/>
                <w:szCs w:val="24"/>
                <w:lang w:val="en-US" w:eastAsia="zh-CN"/>
              </w:rPr>
              <w:t>锦</w:t>
            </w:r>
            <w:r>
              <w:rPr>
                <w:rFonts w:hint="eastAsia" w:ascii="Times New Roman" w:hAnsi="Times New Roman" w:cs="Times New Roman"/>
                <w:color w:val="auto"/>
                <w:spacing w:val="-1"/>
                <w:sz w:val="24"/>
                <w:szCs w:val="24"/>
                <w:lang w:val="en-US" w:eastAsia="zh-CN"/>
              </w:rPr>
              <w:t>江</w:t>
            </w:r>
            <w:r>
              <w:rPr>
                <w:rFonts w:hint="eastAsia" w:cs="Times New Roman"/>
                <w:color w:val="auto"/>
                <w:spacing w:val="-1"/>
                <w:sz w:val="24"/>
                <w:szCs w:val="24"/>
                <w:lang w:val="en-US" w:eastAsia="zh-CN"/>
              </w:rPr>
              <w:t>高安市青州村</w:t>
            </w:r>
            <w:r>
              <w:rPr>
                <w:rFonts w:hint="eastAsia"/>
                <w:color w:val="auto"/>
                <w:kern w:val="0"/>
                <w:sz w:val="24"/>
                <w:szCs w:val="24"/>
                <w:lang w:val="en-US" w:eastAsia="zh-CN"/>
              </w:rPr>
              <w:t>断面</w:t>
            </w:r>
            <w:r>
              <w:rPr>
                <w:rFonts w:hint="default" w:ascii="Times New Roman" w:hAnsi="Times New Roman" w:cs="Times New Roman"/>
                <w:color w:val="auto"/>
                <w:sz w:val="24"/>
              </w:rPr>
              <w:t>水质良好</w:t>
            </w:r>
            <w:r>
              <w:rPr>
                <w:rFonts w:hint="default" w:ascii="Times New Roman" w:hAnsi="Times New Roman" w:cs="Times New Roman"/>
                <w:color w:val="auto"/>
                <w:sz w:val="24"/>
                <w:lang w:eastAsia="zh-CN"/>
              </w:rPr>
              <w:t>。</w:t>
            </w:r>
          </w:p>
          <w:p w14:paraId="066E4200">
            <w:pPr>
              <w:spacing w:line="360" w:lineRule="auto"/>
              <w:ind w:firstLine="482" w:firstLineChars="200"/>
              <w:rPr>
                <w:b/>
                <w:bCs/>
                <w:color w:val="auto"/>
                <w:sz w:val="24"/>
              </w:rPr>
            </w:pPr>
            <w:r>
              <w:rPr>
                <w:b/>
                <w:bCs/>
                <w:color w:val="auto"/>
                <w:sz w:val="24"/>
              </w:rPr>
              <w:t>3、声环境质量现状</w:t>
            </w:r>
          </w:p>
          <w:p w14:paraId="4508E7F8">
            <w:pPr>
              <w:spacing w:line="360" w:lineRule="auto"/>
              <w:ind w:firstLine="480" w:firstLineChars="200"/>
              <w:rPr>
                <w:color w:val="auto"/>
                <w:sz w:val="24"/>
              </w:rPr>
            </w:pPr>
            <w:r>
              <w:rPr>
                <w:color w:val="auto"/>
                <w:sz w:val="24"/>
              </w:rPr>
              <w:t>根据《建设项目环境影响报告表编制技术指南（污染影响类）（试行）》的相关规定：厂界外周边50m范围内存在声环境保护目标的建设项目，应监测保护目标声环境质量现状并评价达标情况。本项目50m之内无声环境保护目标，因此本次评价无需开展声环境质量现状达标情况评价。</w:t>
            </w:r>
          </w:p>
          <w:p w14:paraId="3A3BF01F">
            <w:pPr>
              <w:pStyle w:val="49"/>
              <w:ind w:firstLine="482"/>
              <w:rPr>
                <w:b/>
                <w:bCs/>
                <w:color w:val="auto"/>
              </w:rPr>
            </w:pPr>
            <w:r>
              <w:rPr>
                <w:b/>
                <w:bCs/>
                <w:color w:val="auto"/>
              </w:rPr>
              <w:t>4、生态环境</w:t>
            </w:r>
          </w:p>
          <w:p w14:paraId="53A356E0">
            <w:pPr>
              <w:spacing w:line="360" w:lineRule="auto"/>
              <w:ind w:firstLine="480" w:firstLineChars="200"/>
              <w:rPr>
                <w:color w:val="auto"/>
                <w:sz w:val="24"/>
              </w:rPr>
            </w:pPr>
            <w:r>
              <w:rPr>
                <w:color w:val="auto"/>
                <w:sz w:val="24"/>
              </w:rPr>
              <w:t>本项目位于</w:t>
            </w:r>
            <w:r>
              <w:rPr>
                <w:rFonts w:hint="eastAsia" w:cs="Times New Roman"/>
                <w:color w:val="auto"/>
                <w:sz w:val="24"/>
                <w:szCs w:val="24"/>
                <w:lang w:val="en-US" w:eastAsia="zh-CN"/>
              </w:rPr>
              <w:t>江西省宜春市</w:t>
            </w:r>
            <w:r>
              <w:rPr>
                <w:rFonts w:hint="eastAsia" w:ascii="宋体" w:hAnsi="宋体" w:eastAsia="宋体" w:cs="宋体"/>
                <w:color w:val="auto"/>
                <w:sz w:val="24"/>
                <w:lang w:val="en-US" w:eastAsia="zh-CN"/>
              </w:rPr>
              <w:t>高安市蓝坊镇燕窝村</w:t>
            </w:r>
            <w:r>
              <w:rPr>
                <w:color w:val="auto"/>
                <w:sz w:val="24"/>
              </w:rPr>
              <w:t>，建设项目</w:t>
            </w:r>
            <w:r>
              <w:rPr>
                <w:rFonts w:hint="eastAsia"/>
                <w:color w:val="auto"/>
                <w:sz w:val="24"/>
                <w:lang w:val="en-US" w:eastAsia="zh-CN"/>
              </w:rPr>
              <w:t>所在地</w:t>
            </w:r>
            <w:r>
              <w:rPr>
                <w:color w:val="auto"/>
                <w:sz w:val="24"/>
              </w:rPr>
              <w:t>不涉及生态环境保护目标，项目周边无风景名胜区和文物古迹等特殊保护对象。</w:t>
            </w:r>
          </w:p>
          <w:p w14:paraId="625006C7">
            <w:pPr>
              <w:pStyle w:val="49"/>
              <w:ind w:firstLine="482"/>
              <w:rPr>
                <w:b/>
                <w:bCs/>
                <w:color w:val="auto"/>
              </w:rPr>
            </w:pPr>
            <w:r>
              <w:rPr>
                <w:rFonts w:hint="eastAsia"/>
                <w:b/>
                <w:bCs/>
                <w:color w:val="auto"/>
              </w:rPr>
              <w:t>5</w:t>
            </w:r>
            <w:r>
              <w:rPr>
                <w:b/>
                <w:bCs/>
                <w:color w:val="auto"/>
              </w:rPr>
              <w:t>、土壤环境</w:t>
            </w:r>
          </w:p>
          <w:p w14:paraId="45EC2039">
            <w:pPr>
              <w:spacing w:line="360" w:lineRule="auto"/>
              <w:ind w:firstLine="480" w:firstLineChars="200"/>
              <w:rPr>
                <w:color w:val="auto"/>
                <w:kern w:val="0"/>
                <w:sz w:val="24"/>
                <w:lang w:bidi="ar"/>
              </w:rPr>
            </w:pPr>
            <w:r>
              <w:rPr>
                <w:color w:val="auto"/>
                <w:kern w:val="0"/>
                <w:sz w:val="24"/>
                <w:lang w:bidi="ar"/>
              </w:rPr>
              <w:t>根据《建设项目环境影响报告表编制技术指南（污染影响类）（试行）》的相关规定：原则上不开展土壤环境质量现状调查，建设项目存在土壤、地下水环境污染途径的，应结合污染源、保护目标分布情况开展现状调查以留作背景值。</w:t>
            </w:r>
            <w:r>
              <w:rPr>
                <w:rFonts w:hint="eastAsia"/>
                <w:color w:val="auto"/>
                <w:kern w:val="0"/>
                <w:sz w:val="24"/>
                <w:lang w:val="en-US" w:eastAsia="zh-CN" w:bidi="ar"/>
              </w:rPr>
              <w:t>本</w:t>
            </w:r>
            <w:r>
              <w:rPr>
                <w:color w:val="auto"/>
                <w:kern w:val="0"/>
                <w:sz w:val="24"/>
                <w:lang w:bidi="ar"/>
              </w:rPr>
              <w:t>项目</w:t>
            </w:r>
            <w:r>
              <w:rPr>
                <w:rFonts w:hint="eastAsia" w:cs="Times New Roman"/>
                <w:color w:val="auto"/>
                <w:sz w:val="24"/>
                <w:szCs w:val="24"/>
                <w:lang w:val="en-US" w:eastAsia="zh-CN"/>
              </w:rPr>
              <w:t>租用</w:t>
            </w:r>
            <w:r>
              <w:rPr>
                <w:rFonts w:hint="eastAsia"/>
                <w:color w:val="auto"/>
                <w:sz w:val="24"/>
                <w:lang w:val="en-US" w:eastAsia="zh-CN"/>
              </w:rPr>
              <w:t>高安市凯吉纸箱包装有限公司</w:t>
            </w:r>
            <w:r>
              <w:rPr>
                <w:rFonts w:hint="eastAsia" w:cs="Times New Roman"/>
                <w:color w:val="auto"/>
                <w:sz w:val="24"/>
                <w:szCs w:val="24"/>
                <w:lang w:val="en-US" w:eastAsia="zh-CN"/>
              </w:rPr>
              <w:t>闲置厂房进行建设</w:t>
            </w:r>
            <w:r>
              <w:rPr>
                <w:rFonts w:hint="eastAsia"/>
                <w:color w:val="auto"/>
                <w:kern w:val="0"/>
                <w:sz w:val="24"/>
                <w:lang w:val="en-US" w:eastAsia="zh-CN" w:bidi="ar"/>
              </w:rPr>
              <w:t>，厂房地面已做</w:t>
            </w:r>
            <w:r>
              <w:rPr>
                <w:color w:val="auto"/>
                <w:kern w:val="0"/>
                <w:sz w:val="24"/>
                <w:lang w:bidi="ar"/>
              </w:rPr>
              <w:t>防腐防渗措施，原则上不会对土壤造成污染，且</w:t>
            </w:r>
            <w:r>
              <w:rPr>
                <w:rFonts w:hint="eastAsia"/>
                <w:color w:val="auto"/>
                <w:kern w:val="0"/>
                <w:sz w:val="24"/>
                <w:lang w:val="en-US" w:eastAsia="zh-CN" w:bidi="ar"/>
              </w:rPr>
              <w:t>5</w:t>
            </w:r>
            <w:r>
              <w:rPr>
                <w:color w:val="auto"/>
                <w:kern w:val="0"/>
                <w:sz w:val="24"/>
                <w:lang w:bidi="ar"/>
              </w:rPr>
              <w:t>0m范围内无敏感目标；根据《环境影响评价技术导则土壤环境（试行）》（HJ964-2018），项目为Ⅳ类建设项目，故本项目可不开展土壤环境质量现状调查。</w:t>
            </w:r>
          </w:p>
          <w:p w14:paraId="663ABCD1">
            <w:pPr>
              <w:pStyle w:val="49"/>
              <w:ind w:firstLine="482"/>
              <w:rPr>
                <w:b/>
                <w:bCs/>
                <w:color w:val="auto"/>
              </w:rPr>
            </w:pPr>
            <w:r>
              <w:rPr>
                <w:b/>
                <w:bCs/>
                <w:color w:val="auto"/>
              </w:rPr>
              <w:t>6、地下水环境</w:t>
            </w:r>
          </w:p>
          <w:p w14:paraId="0E3A18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lang w:val="en-GB" w:eastAsia="zh-CN"/>
              </w:rPr>
            </w:pPr>
            <w:r>
              <w:rPr>
                <w:rFonts w:ascii="Times New Roman" w:hAnsi="Times New Roman" w:cs="Times New Roman"/>
                <w:color w:val="auto"/>
                <w:sz w:val="24"/>
                <w:szCs w:val="24"/>
              </w:rPr>
              <w:t>项目</w:t>
            </w:r>
            <w:r>
              <w:rPr>
                <w:rFonts w:hint="eastAsia" w:ascii="Times New Roman" w:hAnsi="Times New Roman" w:cs="Times New Roman"/>
                <w:color w:val="auto"/>
                <w:sz w:val="24"/>
                <w:szCs w:val="24"/>
                <w:lang w:val="en-US" w:eastAsia="zh-CN"/>
              </w:rPr>
              <w:t>无生产</w:t>
            </w:r>
            <w:r>
              <w:rPr>
                <w:rFonts w:hint="eastAsia" w:cs="Times New Roman"/>
                <w:color w:val="auto"/>
                <w:sz w:val="24"/>
                <w:szCs w:val="24"/>
                <w:lang w:val="en-US" w:eastAsia="zh-CN"/>
              </w:rPr>
              <w:t>性</w:t>
            </w:r>
            <w:r>
              <w:rPr>
                <w:rFonts w:hint="eastAsia" w:ascii="Times New Roman" w:hAnsi="Times New Roman" w:cs="Times New Roman"/>
                <w:color w:val="auto"/>
                <w:sz w:val="24"/>
                <w:szCs w:val="24"/>
                <w:lang w:val="en-US" w:eastAsia="zh-CN"/>
              </w:rPr>
              <w:t>废水产生，生产车间均采取</w:t>
            </w:r>
            <w:r>
              <w:rPr>
                <w:rFonts w:ascii="Times New Roman" w:hAnsi="Times New Roman" w:cs="Times New Roman"/>
                <w:color w:val="auto"/>
                <w:sz w:val="24"/>
                <w:szCs w:val="24"/>
              </w:rPr>
              <w:t>了防腐防渗措施，原则上不会对地下水造成污染；根据《环境影响评价技术导则 地下水环境》（HJ610-2016），项目为</w:t>
            </w:r>
            <w:r>
              <w:rPr>
                <w:rFonts w:hint="default" w:ascii="Times New Roman" w:hAnsi="Times New Roman" w:eastAsia="微软雅黑" w:cs="Times New Roman"/>
                <w:color w:val="auto"/>
                <w:sz w:val="24"/>
                <w:szCs w:val="24"/>
              </w:rPr>
              <w:t>Ⅲ</w:t>
            </w:r>
            <w:r>
              <w:rPr>
                <w:rFonts w:ascii="Times New Roman" w:hAnsi="Times New Roman" w:cs="Times New Roman"/>
                <w:color w:val="auto"/>
                <w:sz w:val="24"/>
                <w:szCs w:val="24"/>
              </w:rPr>
              <w:t>类建设项目，鉴于项目不以地下水作为供水水源，</w:t>
            </w:r>
            <w:r>
              <w:rPr>
                <w:rFonts w:hint="eastAsia" w:cs="Times New Roman"/>
                <w:color w:val="auto"/>
                <w:sz w:val="24"/>
                <w:szCs w:val="24"/>
                <w:lang w:val="en-US" w:eastAsia="zh-CN"/>
              </w:rPr>
              <w:t>且无生产性废水产生，</w:t>
            </w:r>
            <w:r>
              <w:rPr>
                <w:rFonts w:ascii="Times New Roman" w:hAnsi="Times New Roman" w:cs="Times New Roman"/>
                <w:color w:val="auto"/>
                <w:sz w:val="24"/>
                <w:szCs w:val="24"/>
              </w:rPr>
              <w:t>采取上述措施后，预计项目的建设对周围地下水环境影响不大</w:t>
            </w:r>
            <w:r>
              <w:rPr>
                <w:rFonts w:hint="eastAsia" w:ascii="Times New Roman" w:hAnsi="Times New Roman" w:cs="Times New Roman"/>
                <w:color w:val="auto"/>
                <w:sz w:val="24"/>
                <w:szCs w:val="24"/>
                <w:lang w:eastAsia="zh-CN"/>
              </w:rPr>
              <w:t>，</w:t>
            </w:r>
            <w:r>
              <w:rPr>
                <w:color w:val="auto"/>
                <w:kern w:val="0"/>
                <w:sz w:val="24"/>
                <w:szCs w:val="24"/>
                <w:lang w:bidi="ar"/>
              </w:rPr>
              <w:t>故本项目可不开展</w:t>
            </w:r>
            <w:r>
              <w:rPr>
                <w:rFonts w:hint="eastAsia"/>
                <w:color w:val="auto"/>
                <w:kern w:val="0"/>
                <w:sz w:val="24"/>
                <w:szCs w:val="24"/>
                <w:lang w:val="en-US" w:eastAsia="zh-CN" w:bidi="ar"/>
              </w:rPr>
              <w:t>地下水</w:t>
            </w:r>
            <w:r>
              <w:rPr>
                <w:color w:val="auto"/>
                <w:kern w:val="0"/>
                <w:sz w:val="24"/>
                <w:szCs w:val="24"/>
                <w:lang w:bidi="ar"/>
              </w:rPr>
              <w:t>环境质量现状调查。</w:t>
            </w:r>
          </w:p>
          <w:p w14:paraId="3F94CCB9">
            <w:pPr>
              <w:pStyle w:val="38"/>
              <w:ind w:firstLine="480"/>
              <w:jc w:val="left"/>
              <w:rPr>
                <w:rFonts w:hint="eastAsia" w:ascii="Times New Roman" w:hAnsi="Times New Roman" w:eastAsia="宋体" w:cs="Times New Roman"/>
                <w:b/>
                <w:color w:val="auto"/>
                <w:szCs w:val="24"/>
                <w:lang w:val="en-US" w:eastAsia="zh-CN"/>
              </w:rPr>
            </w:pPr>
            <w:r>
              <w:rPr>
                <w:rFonts w:ascii="Times New Roman" w:hAnsi="Times New Roman" w:cs="Times New Roman"/>
                <w:color w:val="auto"/>
                <w:lang w:val="en-GB"/>
              </w:rPr>
              <w:t>综合以上分析可知</w:t>
            </w:r>
            <w:r>
              <w:rPr>
                <w:rFonts w:ascii="Times New Roman" w:hAnsi="Times New Roman" w:cs="Times New Roman"/>
                <w:color w:val="auto"/>
              </w:rPr>
              <w:t>，项目选址周边环境空气质量、地表水环境质量、声环境质量均符合功能区划的要求</w:t>
            </w:r>
            <w:r>
              <w:rPr>
                <w:rFonts w:hint="eastAsia" w:ascii="Times New Roman" w:hAnsi="Times New Roman" w:cs="Times New Roman"/>
                <w:color w:val="auto"/>
                <w:lang w:eastAsia="zh-CN"/>
              </w:rPr>
              <w:t>。</w:t>
            </w:r>
          </w:p>
        </w:tc>
      </w:tr>
      <w:tr w14:paraId="5D09F8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Align w:val="center"/>
          </w:tcPr>
          <w:p w14:paraId="7D6CE23E">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14:paraId="39B21118">
            <w:pPr>
              <w:adjustRightInd w:val="0"/>
              <w:snapToGrid w:val="0"/>
              <w:jc w:val="center"/>
              <w:rPr>
                <w:rFonts w:ascii="宋体" w:hAnsi="宋体" w:cs="宋体"/>
                <w:color w:val="auto"/>
                <w:kern w:val="0"/>
                <w:szCs w:val="21"/>
              </w:rPr>
            </w:pPr>
            <w:r>
              <w:rPr>
                <w:rFonts w:hint="eastAsia" w:ascii="宋体" w:hAnsi="宋体" w:cs="宋体"/>
                <w:color w:val="auto"/>
                <w:kern w:val="0"/>
                <w:szCs w:val="21"/>
              </w:rPr>
              <w:t>保护</w:t>
            </w:r>
          </w:p>
          <w:p w14:paraId="128D682E">
            <w:pPr>
              <w:adjustRightInd w:val="0"/>
              <w:snapToGrid w:val="0"/>
              <w:jc w:val="center"/>
              <w:rPr>
                <w:rFonts w:ascii="宋体" w:hAnsi="宋体" w:cs="宋体"/>
                <w:color w:val="auto"/>
                <w:kern w:val="0"/>
                <w:szCs w:val="21"/>
              </w:rPr>
            </w:pPr>
            <w:r>
              <w:rPr>
                <w:rFonts w:hint="eastAsia" w:ascii="宋体" w:hAnsi="宋体" w:cs="宋体"/>
                <w:color w:val="auto"/>
                <w:kern w:val="0"/>
                <w:szCs w:val="21"/>
              </w:rPr>
              <w:t>目标</w:t>
            </w:r>
          </w:p>
        </w:tc>
        <w:tc>
          <w:tcPr>
            <w:tcW w:w="4764" w:type="pct"/>
            <w:vAlign w:val="center"/>
          </w:tcPr>
          <w:p w14:paraId="45830504">
            <w:pPr>
              <w:adjustRightInd w:val="0"/>
              <w:snapToGrid w:val="0"/>
              <w:spacing w:line="360" w:lineRule="auto"/>
              <w:ind w:firstLine="482" w:firstLineChars="200"/>
              <w:rPr>
                <w:b/>
                <w:bCs/>
                <w:color w:val="auto"/>
              </w:rPr>
            </w:pPr>
            <w:r>
              <w:rPr>
                <w:rFonts w:hint="eastAsia" w:ascii="宋体" w:hAnsi="宋体" w:cs="宋体"/>
                <w:b/>
                <w:bCs/>
                <w:color w:val="auto"/>
                <w:kern w:val="0"/>
                <w:sz w:val="24"/>
              </w:rPr>
              <w:t>1、环境保护目标</w:t>
            </w:r>
          </w:p>
          <w:p w14:paraId="3563694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本项目位于</w:t>
            </w:r>
            <w:r>
              <w:rPr>
                <w:rFonts w:hint="eastAsia" w:cs="Times New Roman"/>
                <w:color w:val="auto"/>
                <w:sz w:val="24"/>
                <w:szCs w:val="24"/>
                <w:lang w:val="en-US" w:eastAsia="zh-CN"/>
              </w:rPr>
              <w:t>江西省宜春市</w:t>
            </w:r>
            <w:r>
              <w:rPr>
                <w:rFonts w:hint="eastAsia" w:ascii="宋体" w:hAnsi="宋体" w:eastAsia="宋体" w:cs="宋体"/>
                <w:color w:val="auto"/>
                <w:sz w:val="24"/>
                <w:lang w:val="en-US" w:eastAsia="zh-CN"/>
              </w:rPr>
              <w:t>高安市蓝坊镇燕窝村</w:t>
            </w:r>
            <w:r>
              <w:rPr>
                <w:rFonts w:hint="default" w:ascii="Times New Roman" w:hAnsi="Times New Roman" w:cs="Times New Roman"/>
                <w:color w:val="auto"/>
                <w:sz w:val="24"/>
                <w:szCs w:val="24"/>
              </w:rPr>
              <w:t>。根据现场踏勘，主要环境保护目标见表3-3。</w:t>
            </w:r>
          </w:p>
          <w:p w14:paraId="3348970F">
            <w:pPr>
              <w:pStyle w:val="7"/>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default" w:ascii="Times New Roman" w:hAnsi="Times New Roman" w:cs="Times New Roman"/>
                <w:b/>
                <w:bCs/>
                <w:color w:val="auto"/>
                <w:kern w:val="2"/>
                <w:szCs w:val="24"/>
              </w:rPr>
            </w:pPr>
            <w:r>
              <w:rPr>
                <w:rFonts w:hint="default" w:ascii="Times New Roman" w:hAnsi="Times New Roman" w:cs="Times New Roman"/>
                <w:b/>
                <w:bCs/>
                <w:color w:val="auto"/>
                <w:kern w:val="2"/>
                <w:szCs w:val="24"/>
              </w:rPr>
              <w:t xml:space="preserve">表3-3 </w:t>
            </w:r>
            <w:r>
              <w:rPr>
                <w:rFonts w:hint="eastAsia" w:ascii="Times New Roman" w:hAnsi="Times New Roman" w:cs="Times New Roman"/>
                <w:b/>
                <w:bCs/>
                <w:color w:val="auto"/>
                <w:kern w:val="2"/>
                <w:szCs w:val="24"/>
                <w:lang w:val="en-US" w:eastAsia="zh-CN"/>
              </w:rPr>
              <w:t xml:space="preserve">  </w:t>
            </w:r>
            <w:r>
              <w:rPr>
                <w:rFonts w:hint="default" w:ascii="Times New Roman" w:hAnsi="Times New Roman" w:cs="Times New Roman"/>
                <w:b/>
                <w:bCs/>
                <w:color w:val="auto"/>
                <w:kern w:val="2"/>
                <w:szCs w:val="24"/>
              </w:rPr>
              <w:t>项目环境保护目标一览表</w:t>
            </w:r>
          </w:p>
          <w:tbl>
            <w:tblPr>
              <w:tblStyle w:val="29"/>
              <w:tblW w:w="8419"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2"/>
              <w:gridCol w:w="797"/>
              <w:gridCol w:w="757"/>
              <w:gridCol w:w="1075"/>
              <w:gridCol w:w="730"/>
              <w:gridCol w:w="1062"/>
              <w:gridCol w:w="1128"/>
              <w:gridCol w:w="2178"/>
            </w:tblGrid>
            <w:tr w14:paraId="66B41CB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692" w:type="dxa"/>
                  <w:vMerge w:val="restart"/>
                  <w:vAlign w:val="center"/>
                </w:tcPr>
                <w:p w14:paraId="778B4AC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ascii="Times New Roman" w:hAnsi="Times New Roman" w:eastAsia="宋体" w:cs="Times New Roman"/>
                      <w:b/>
                      <w:bCs/>
                      <w:color w:val="auto"/>
                      <w:szCs w:val="21"/>
                    </w:rPr>
                    <w:t>环境要素</w:t>
                  </w:r>
                </w:p>
              </w:tc>
              <w:tc>
                <w:tcPr>
                  <w:tcW w:w="1554" w:type="dxa"/>
                  <w:gridSpan w:val="2"/>
                  <w:vAlign w:val="center"/>
                </w:tcPr>
                <w:p w14:paraId="34CE99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ascii="Times New Roman" w:hAnsi="Times New Roman"/>
                      <w:b/>
                      <w:bCs/>
                      <w:color w:val="auto"/>
                      <w:szCs w:val="21"/>
                    </w:rPr>
                    <w:t>坐标</w:t>
                  </w:r>
                </w:p>
              </w:tc>
              <w:tc>
                <w:tcPr>
                  <w:tcW w:w="1075" w:type="dxa"/>
                  <w:vMerge w:val="restart"/>
                  <w:vAlign w:val="center"/>
                </w:tcPr>
                <w:p w14:paraId="5FA86451">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ascii="Times New Roman" w:hAnsi="Times New Roman"/>
                      <w:b/>
                      <w:bCs/>
                      <w:color w:val="auto"/>
                      <w:szCs w:val="21"/>
                    </w:rPr>
                    <w:t>对象名称</w:t>
                  </w:r>
                </w:p>
              </w:tc>
              <w:tc>
                <w:tcPr>
                  <w:tcW w:w="730" w:type="dxa"/>
                  <w:vMerge w:val="restart"/>
                  <w:vAlign w:val="center"/>
                </w:tcPr>
                <w:p w14:paraId="0F4082F1">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ascii="Times New Roman" w:hAnsi="Times New Roman"/>
                      <w:b/>
                      <w:bCs/>
                      <w:color w:val="auto"/>
                      <w:szCs w:val="21"/>
                    </w:rPr>
                    <w:t>方位</w:t>
                  </w:r>
                </w:p>
              </w:tc>
              <w:tc>
                <w:tcPr>
                  <w:tcW w:w="1062" w:type="dxa"/>
                  <w:vMerge w:val="restart"/>
                  <w:vAlign w:val="center"/>
                </w:tcPr>
                <w:p w14:paraId="65227D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ascii="Times New Roman" w:hAnsi="Times New Roman"/>
                      <w:b/>
                      <w:bCs/>
                      <w:color w:val="auto"/>
                      <w:szCs w:val="21"/>
                    </w:rPr>
                    <w:t>相对厂界（m）</w:t>
                  </w:r>
                </w:p>
              </w:tc>
              <w:tc>
                <w:tcPr>
                  <w:tcW w:w="1128" w:type="dxa"/>
                  <w:vMerge w:val="restart"/>
                  <w:vAlign w:val="center"/>
                </w:tcPr>
                <w:p w14:paraId="608529D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ascii="Times New Roman" w:hAnsi="Times New Roman"/>
                      <w:b/>
                      <w:bCs/>
                      <w:color w:val="auto"/>
                      <w:szCs w:val="21"/>
                    </w:rPr>
                    <w:t>规模（人）</w:t>
                  </w:r>
                </w:p>
              </w:tc>
              <w:tc>
                <w:tcPr>
                  <w:tcW w:w="2178" w:type="dxa"/>
                  <w:vMerge w:val="restart"/>
                  <w:vAlign w:val="center"/>
                </w:tcPr>
                <w:p w14:paraId="32A98AA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ascii="Times New Roman" w:hAnsi="Times New Roman"/>
                      <w:b/>
                      <w:bCs/>
                      <w:color w:val="auto"/>
                      <w:szCs w:val="21"/>
                    </w:rPr>
                    <w:t>环境功能</w:t>
                  </w:r>
                </w:p>
              </w:tc>
            </w:tr>
            <w:tr w14:paraId="6322926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692" w:type="dxa"/>
                  <w:vMerge w:val="continue"/>
                  <w:vAlign w:val="center"/>
                </w:tcPr>
                <w:p w14:paraId="1F5A3F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rPr>
                  </w:pPr>
                </w:p>
              </w:tc>
              <w:tc>
                <w:tcPr>
                  <w:tcW w:w="797" w:type="dxa"/>
                  <w:vAlign w:val="center"/>
                </w:tcPr>
                <w:p w14:paraId="60E70C7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ascii="Times New Roman" w:hAnsi="Times New Roman"/>
                      <w:b/>
                      <w:bCs/>
                      <w:color w:val="auto"/>
                      <w:szCs w:val="21"/>
                    </w:rPr>
                    <w:t>X</w:t>
                  </w:r>
                </w:p>
              </w:tc>
              <w:tc>
                <w:tcPr>
                  <w:tcW w:w="757" w:type="dxa"/>
                  <w:vAlign w:val="center"/>
                </w:tcPr>
                <w:p w14:paraId="5B573B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ascii="Times New Roman" w:hAnsi="Times New Roman"/>
                      <w:b/>
                      <w:bCs/>
                      <w:color w:val="auto"/>
                      <w:szCs w:val="21"/>
                    </w:rPr>
                    <w:t>X</w:t>
                  </w:r>
                </w:p>
              </w:tc>
              <w:tc>
                <w:tcPr>
                  <w:tcW w:w="1075" w:type="dxa"/>
                  <w:vMerge w:val="continue"/>
                  <w:vAlign w:val="center"/>
                </w:tcPr>
                <w:p w14:paraId="63D341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p>
              </w:tc>
              <w:tc>
                <w:tcPr>
                  <w:tcW w:w="730" w:type="dxa"/>
                  <w:vMerge w:val="continue"/>
                  <w:vAlign w:val="center"/>
                </w:tcPr>
                <w:p w14:paraId="30042B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p>
              </w:tc>
              <w:tc>
                <w:tcPr>
                  <w:tcW w:w="1062" w:type="dxa"/>
                  <w:vMerge w:val="continue"/>
                  <w:vAlign w:val="center"/>
                </w:tcPr>
                <w:p w14:paraId="387D8B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p>
              </w:tc>
              <w:tc>
                <w:tcPr>
                  <w:tcW w:w="1128" w:type="dxa"/>
                  <w:vMerge w:val="continue"/>
                  <w:vAlign w:val="center"/>
                </w:tcPr>
                <w:p w14:paraId="2E40D4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p>
              </w:tc>
              <w:tc>
                <w:tcPr>
                  <w:tcW w:w="2178" w:type="dxa"/>
                  <w:vMerge w:val="continue"/>
                  <w:vAlign w:val="center"/>
                </w:tcPr>
                <w:p w14:paraId="21F5C4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p>
              </w:tc>
            </w:tr>
            <w:tr w14:paraId="248CBF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2" w:type="dxa"/>
                  <w:vAlign w:val="center"/>
                </w:tcPr>
                <w:p w14:paraId="49CED9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eastAsia="新宋体"/>
                      <w:bCs/>
                      <w:color w:val="auto"/>
                      <w:kern w:val="0"/>
                      <w:szCs w:val="21"/>
                      <w:lang w:bidi="ar"/>
                    </w:rPr>
                    <w:t>大气环境</w:t>
                  </w:r>
                </w:p>
              </w:tc>
              <w:tc>
                <w:tcPr>
                  <w:tcW w:w="797" w:type="dxa"/>
                  <w:vAlign w:val="center"/>
                </w:tcPr>
                <w:p w14:paraId="3827FE67">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lang w:val="en-US"/>
                    </w:rPr>
                  </w:pPr>
                  <w:r>
                    <w:rPr>
                      <w:rFonts w:hint="eastAsia" w:ascii="Times New Roman" w:hAnsi="Times New Roman" w:cs="Times New Roman"/>
                      <w:color w:val="auto"/>
                      <w:szCs w:val="21"/>
                      <w:lang w:val="en-US" w:eastAsia="zh-CN"/>
                    </w:rPr>
                    <w:t>190.5</w:t>
                  </w:r>
                </w:p>
              </w:tc>
              <w:tc>
                <w:tcPr>
                  <w:tcW w:w="757" w:type="dxa"/>
                  <w:vAlign w:val="center"/>
                </w:tcPr>
                <w:p w14:paraId="3E068384">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lang w:val="en-US"/>
                    </w:rPr>
                  </w:pPr>
                  <w:r>
                    <w:rPr>
                      <w:rFonts w:hint="eastAsia" w:ascii="Times New Roman" w:hAnsi="Times New Roman" w:cs="Times New Roman"/>
                      <w:color w:val="auto"/>
                      <w:lang w:val="en-US" w:eastAsia="zh-CN"/>
                    </w:rPr>
                    <w:t>36.5</w:t>
                  </w:r>
                </w:p>
              </w:tc>
              <w:tc>
                <w:tcPr>
                  <w:tcW w:w="1075" w:type="dxa"/>
                  <w:vAlign w:val="center"/>
                </w:tcPr>
                <w:p w14:paraId="7082287E">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hint="eastAsia"/>
                      <w:color w:val="auto"/>
                    </w:rPr>
                    <w:t>燕窝村</w:t>
                  </w:r>
                </w:p>
              </w:tc>
              <w:tc>
                <w:tcPr>
                  <w:tcW w:w="730" w:type="dxa"/>
                  <w:vAlign w:val="center"/>
                </w:tcPr>
                <w:p w14:paraId="09E3361C">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hint="eastAsia" w:ascii="Times New Roman" w:hAnsi="Times New Roman" w:cs="Times New Roman"/>
                      <w:color w:val="auto"/>
                      <w:lang w:val="en-US" w:eastAsia="zh-CN"/>
                    </w:rPr>
                    <w:t>东</w:t>
                  </w:r>
                </w:p>
              </w:tc>
              <w:tc>
                <w:tcPr>
                  <w:tcW w:w="1062" w:type="dxa"/>
                  <w:vAlign w:val="center"/>
                </w:tcPr>
                <w:p w14:paraId="134B119B">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highlight w:val="yellow"/>
                      <w:vertAlign w:val="baseline"/>
                      <w:lang w:val="en-US"/>
                    </w:rPr>
                  </w:pPr>
                  <w:r>
                    <w:rPr>
                      <w:rFonts w:hint="eastAsia" w:ascii="Times New Roman" w:hAnsi="Times New Roman" w:cs="Times New Roman"/>
                      <w:color w:val="auto"/>
                      <w:highlight w:val="none"/>
                      <w:lang w:val="en-US" w:eastAsia="zh-CN"/>
                    </w:rPr>
                    <w:t>170</w:t>
                  </w:r>
                </w:p>
              </w:tc>
              <w:tc>
                <w:tcPr>
                  <w:tcW w:w="1128" w:type="dxa"/>
                  <w:vAlign w:val="center"/>
                </w:tcPr>
                <w:p w14:paraId="292F273E">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hint="eastAsia" w:ascii="Times New Roman" w:hAnsi="Times New Roman" w:cs="Times New Roman"/>
                      <w:color w:val="auto"/>
                      <w:lang w:val="en-US" w:eastAsia="zh-CN"/>
                    </w:rPr>
                    <w:t>200</w:t>
                  </w:r>
                </w:p>
              </w:tc>
              <w:tc>
                <w:tcPr>
                  <w:tcW w:w="2178" w:type="dxa"/>
                  <w:vAlign w:val="center"/>
                </w:tcPr>
                <w:p w14:paraId="23F108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2"/>
                      <w:szCs w:val="24"/>
                      <w:vertAlign w:val="baseline"/>
                      <w:lang w:val="en-US" w:eastAsia="zh-CN"/>
                    </w:rPr>
                  </w:pPr>
                  <w:r>
                    <w:rPr>
                      <w:rFonts w:ascii="Times New Roman" w:hAnsi="Times New Roman"/>
                      <w:color w:val="auto"/>
                      <w:kern w:val="0"/>
                      <w:szCs w:val="21"/>
                      <w:lang w:bidi="ar"/>
                    </w:rPr>
                    <w:t>《环境空气质量标准》（GB3095-2012）中二级标准</w:t>
                  </w:r>
                </w:p>
              </w:tc>
            </w:tr>
            <w:tr w14:paraId="7A3A9DE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2" w:type="dxa"/>
                  <w:vAlign w:val="center"/>
                </w:tcPr>
                <w:p w14:paraId="763A60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ascii="Times New Roman" w:hAnsi="Times New Roman"/>
                      <w:color w:val="auto"/>
                      <w:sz w:val="21"/>
                      <w:szCs w:val="21"/>
                    </w:rPr>
                    <w:t>地表水环境</w:t>
                  </w:r>
                </w:p>
              </w:tc>
              <w:tc>
                <w:tcPr>
                  <w:tcW w:w="1554" w:type="dxa"/>
                  <w:gridSpan w:val="2"/>
                  <w:vAlign w:val="center"/>
                </w:tcPr>
                <w:p w14:paraId="60769A80">
                  <w:pPr>
                    <w:pStyle w:val="5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Cs w:val="21"/>
                      <w:lang w:val="en-US" w:eastAsia="zh-CN"/>
                    </w:rPr>
                  </w:pPr>
                  <w:r>
                    <w:rPr>
                      <w:rFonts w:hint="eastAsia" w:ascii="Times New Roman" w:hAnsi="Times New Roman"/>
                      <w:color w:val="auto"/>
                      <w:sz w:val="21"/>
                      <w:szCs w:val="21"/>
                      <w:lang w:val="en-US" w:eastAsia="zh-CN"/>
                    </w:rPr>
                    <w:t>/</w:t>
                  </w:r>
                </w:p>
              </w:tc>
              <w:tc>
                <w:tcPr>
                  <w:tcW w:w="1075" w:type="dxa"/>
                  <w:vAlign w:val="center"/>
                </w:tcPr>
                <w:p w14:paraId="3B7FA508">
                  <w:pPr>
                    <w:pStyle w:val="52"/>
                    <w:spacing w:line="0" w:lineRule="atLeast"/>
                    <w:ind w:firstLine="0" w:firstLineChars="0"/>
                    <w:jc w:val="center"/>
                    <w:rPr>
                      <w:rFonts w:hint="eastAsia" w:ascii="Times New Roman" w:hAnsi="Times New Roman"/>
                      <w:color w:val="auto"/>
                      <w:sz w:val="21"/>
                      <w:szCs w:val="21"/>
                      <w:lang w:val="en-US" w:eastAsia="zh-CN" w:bidi="ar"/>
                    </w:rPr>
                  </w:pPr>
                  <w:r>
                    <w:rPr>
                      <w:rFonts w:hint="eastAsia" w:ascii="Times New Roman" w:hAnsi="Times New Roman" w:cs="Times New Roman"/>
                      <w:color w:val="auto"/>
                      <w:sz w:val="21"/>
                      <w:szCs w:val="21"/>
                      <w:lang w:val="en-US" w:eastAsia="zh-CN"/>
                    </w:rPr>
                    <w:t>锦江</w:t>
                  </w:r>
                </w:p>
              </w:tc>
              <w:tc>
                <w:tcPr>
                  <w:tcW w:w="730" w:type="dxa"/>
                  <w:vAlign w:val="center"/>
                </w:tcPr>
                <w:p w14:paraId="7FAE0F7E">
                  <w:pPr>
                    <w:pStyle w:val="52"/>
                    <w:spacing w:line="0" w:lineRule="atLeast"/>
                    <w:ind w:firstLine="0" w:firstLineChars="0"/>
                    <w:jc w:val="center"/>
                    <w:rPr>
                      <w:rFonts w:hint="eastAsia" w:ascii="Times New Roman" w:hAnsi="Times New Roman"/>
                      <w:snapToGrid w:val="0"/>
                      <w:color w:val="auto"/>
                      <w:sz w:val="21"/>
                      <w:szCs w:val="21"/>
                      <w:lang w:val="en-US" w:eastAsia="zh-CN"/>
                    </w:rPr>
                  </w:pPr>
                  <w:r>
                    <w:rPr>
                      <w:rFonts w:hint="eastAsia" w:ascii="Times New Roman" w:hAnsi="Times New Roman" w:cs="Times New Roman"/>
                      <w:color w:val="auto"/>
                      <w:sz w:val="21"/>
                      <w:szCs w:val="21"/>
                      <w:lang w:val="en-US" w:eastAsia="zh-CN"/>
                    </w:rPr>
                    <w:t>北</w:t>
                  </w:r>
                </w:p>
              </w:tc>
              <w:tc>
                <w:tcPr>
                  <w:tcW w:w="1062" w:type="dxa"/>
                  <w:vAlign w:val="center"/>
                </w:tcPr>
                <w:p w14:paraId="5CFFDE28">
                  <w:pPr>
                    <w:pStyle w:val="52"/>
                    <w:spacing w:line="0" w:lineRule="atLeast"/>
                    <w:ind w:firstLine="0" w:firstLineChars="0"/>
                    <w:jc w:val="center"/>
                    <w:rPr>
                      <w:rFonts w:hint="default" w:ascii="Times New Roman" w:hAnsi="Times New Roman"/>
                      <w:snapToGrid w:val="0"/>
                      <w:color w:val="auto"/>
                      <w:sz w:val="21"/>
                      <w:szCs w:val="21"/>
                      <w:lang w:val="en-US" w:eastAsia="zh-CN"/>
                    </w:rPr>
                  </w:pPr>
                  <w:r>
                    <w:rPr>
                      <w:rFonts w:hint="eastAsia" w:ascii="Times New Roman" w:hAnsi="Times New Roman" w:cs="Times New Roman"/>
                      <w:color w:val="auto"/>
                      <w:sz w:val="21"/>
                      <w:szCs w:val="21"/>
                      <w:lang w:val="en-US" w:eastAsia="zh-CN"/>
                    </w:rPr>
                    <w:t>4480</w:t>
                  </w:r>
                </w:p>
              </w:tc>
              <w:tc>
                <w:tcPr>
                  <w:tcW w:w="1128" w:type="dxa"/>
                  <w:vAlign w:val="center"/>
                </w:tcPr>
                <w:p w14:paraId="3E0AE45A">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snapToGrid w:val="0"/>
                      <w:color w:val="auto"/>
                      <w:sz w:val="21"/>
                      <w:szCs w:val="21"/>
                      <w:lang w:val="en-US" w:eastAsia="zh-CN"/>
                    </w:rPr>
                  </w:pPr>
                  <w:r>
                    <w:rPr>
                      <w:rFonts w:hint="eastAsia" w:ascii="Times New Roman" w:hAnsi="Times New Roman"/>
                      <w:color w:val="auto"/>
                      <w:szCs w:val="21"/>
                    </w:rPr>
                    <w:t>/</w:t>
                  </w:r>
                </w:p>
              </w:tc>
              <w:tc>
                <w:tcPr>
                  <w:tcW w:w="2178" w:type="dxa"/>
                  <w:vAlign w:val="center"/>
                </w:tcPr>
                <w:p w14:paraId="340818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ascii="Times New Roman" w:hAnsi="Times New Roman"/>
                      <w:snapToGrid w:val="0"/>
                      <w:color w:val="auto"/>
                      <w:szCs w:val="21"/>
                    </w:rPr>
                    <w:t>（GB3838-2002）中</w:t>
                  </w:r>
                  <w:r>
                    <w:rPr>
                      <w:rFonts w:ascii="Times New Roman" w:hAnsi="Times New Roman"/>
                      <w:color w:val="auto"/>
                      <w:szCs w:val="21"/>
                    </w:rPr>
                    <w:t>Ⅲ</w:t>
                  </w:r>
                  <w:r>
                    <w:rPr>
                      <w:rFonts w:ascii="Times New Roman" w:hAnsi="Times New Roman"/>
                      <w:snapToGrid w:val="0"/>
                      <w:color w:val="auto"/>
                      <w:szCs w:val="21"/>
                    </w:rPr>
                    <w:t>类标准</w:t>
                  </w:r>
                </w:p>
              </w:tc>
            </w:tr>
            <w:tr w14:paraId="21DF16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2" w:type="dxa"/>
                  <w:vAlign w:val="center"/>
                </w:tcPr>
                <w:p w14:paraId="2BDC91B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ascii="Times New Roman" w:hAnsi="Times New Roman"/>
                      <w:color w:val="auto"/>
                      <w:szCs w:val="21"/>
                    </w:rPr>
                    <w:t>声环境</w:t>
                  </w:r>
                </w:p>
              </w:tc>
              <w:tc>
                <w:tcPr>
                  <w:tcW w:w="7727" w:type="dxa"/>
                  <w:gridSpan w:val="7"/>
                  <w:vAlign w:val="center"/>
                </w:tcPr>
                <w:p w14:paraId="3405E0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hint="default" w:ascii="Times New Roman" w:hAnsi="Times New Roman" w:eastAsia="宋体" w:cs="Times New Roman"/>
                      <w:color w:val="auto"/>
                      <w:sz w:val="21"/>
                      <w:szCs w:val="21"/>
                      <w:lang w:val="en-US" w:eastAsia="zh-CN"/>
                    </w:rPr>
                    <w:t>厂界50m范围内无声环境保护目标</w:t>
                  </w:r>
                </w:p>
              </w:tc>
            </w:tr>
            <w:tr w14:paraId="2FD1B7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2" w:type="dxa"/>
                  <w:vAlign w:val="center"/>
                </w:tcPr>
                <w:p w14:paraId="24775E31">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ascii="Times New Roman" w:hAnsi="Times New Roman"/>
                      <w:snapToGrid w:val="0"/>
                      <w:color w:val="auto"/>
                      <w:szCs w:val="21"/>
                    </w:rPr>
                    <w:t>地下水环境</w:t>
                  </w:r>
                </w:p>
              </w:tc>
              <w:tc>
                <w:tcPr>
                  <w:tcW w:w="7727" w:type="dxa"/>
                  <w:gridSpan w:val="7"/>
                  <w:vAlign w:val="center"/>
                </w:tcPr>
                <w:p w14:paraId="35069D1F">
                  <w:pPr>
                    <w:pStyle w:val="16"/>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b/>
                      <w:bCs/>
                      <w:color w:val="auto"/>
                      <w:kern w:val="2"/>
                      <w:szCs w:val="24"/>
                      <w:vertAlign w:val="baseline"/>
                      <w:lang w:eastAsia="zh-CN"/>
                    </w:rPr>
                  </w:pPr>
                  <w:r>
                    <w:rPr>
                      <w:rFonts w:ascii="Times New Roman" w:hAnsi="Times New Roman"/>
                      <w:color w:val="auto"/>
                      <w:kern w:val="0"/>
                      <w:szCs w:val="21"/>
                      <w:lang w:bidi="ar"/>
                    </w:rPr>
                    <w:t>本项目厂界外500米范围内无地下水集中式饮用水水源和热水、矿泉水、温泉等特殊地下水资源</w:t>
                  </w:r>
                  <w:r>
                    <w:rPr>
                      <w:rFonts w:hint="eastAsia" w:ascii="Times New Roman" w:hAnsi="Times New Roman"/>
                      <w:color w:val="auto"/>
                      <w:kern w:val="0"/>
                      <w:szCs w:val="21"/>
                      <w:lang w:eastAsia="zh-CN" w:bidi="ar"/>
                    </w:rPr>
                    <w:t>。</w:t>
                  </w:r>
                </w:p>
              </w:tc>
            </w:tr>
            <w:tr w14:paraId="7CB6CA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2" w:type="dxa"/>
                  <w:vAlign w:val="center"/>
                </w:tcPr>
                <w:p w14:paraId="287E8E70">
                  <w:pPr>
                    <w:pStyle w:val="1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Cs w:val="24"/>
                      <w:vertAlign w:val="baseline"/>
                    </w:rPr>
                  </w:pPr>
                  <w:r>
                    <w:rPr>
                      <w:rFonts w:ascii="Times New Roman" w:hAnsi="Times New Roman"/>
                      <w:color w:val="auto"/>
                    </w:rPr>
                    <w:t>生态环境</w:t>
                  </w:r>
                </w:p>
              </w:tc>
              <w:tc>
                <w:tcPr>
                  <w:tcW w:w="7727" w:type="dxa"/>
                  <w:gridSpan w:val="7"/>
                  <w:vAlign w:val="center"/>
                </w:tcPr>
                <w:p w14:paraId="279C0FC2">
                  <w:pPr>
                    <w:pStyle w:val="16"/>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b/>
                      <w:bCs/>
                      <w:color w:val="auto"/>
                      <w:kern w:val="2"/>
                      <w:szCs w:val="24"/>
                      <w:vertAlign w:val="baseline"/>
                      <w:lang w:eastAsia="zh-CN"/>
                    </w:rPr>
                  </w:pPr>
                  <w:r>
                    <w:rPr>
                      <w:rFonts w:ascii="Times New Roman" w:hAnsi="Times New Roman"/>
                      <w:color w:val="auto"/>
                    </w:rPr>
                    <w:t>占地范围内无重要物种、自然保护区、风景名胜区、饮用水源保护区等生态敏感区</w:t>
                  </w:r>
                  <w:r>
                    <w:rPr>
                      <w:rFonts w:hint="eastAsia" w:ascii="Times New Roman" w:hAnsi="Times New Roman"/>
                      <w:color w:val="auto"/>
                      <w:lang w:eastAsia="zh-CN"/>
                    </w:rPr>
                    <w:t>。</w:t>
                  </w:r>
                </w:p>
              </w:tc>
            </w:tr>
            <w:tr w14:paraId="494C17A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419" w:type="dxa"/>
                  <w:gridSpan w:val="8"/>
                  <w:vAlign w:val="center"/>
                </w:tcPr>
                <w:p w14:paraId="63B2F7B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b/>
                      <w:bCs/>
                      <w:color w:val="auto"/>
                      <w:kern w:val="2"/>
                      <w:sz w:val="21"/>
                      <w:szCs w:val="21"/>
                      <w:vertAlign w:val="baseline"/>
                      <w:lang w:eastAsia="zh-CN"/>
                    </w:rPr>
                  </w:pPr>
                  <w:r>
                    <w:rPr>
                      <w:rFonts w:ascii="Times New Roman" w:hAnsi="Times New Roman"/>
                      <w:b/>
                      <w:bCs/>
                      <w:color w:val="auto"/>
                      <w:kern w:val="0"/>
                      <w:sz w:val="21"/>
                      <w:szCs w:val="21"/>
                    </w:rPr>
                    <w:t>以项目</w:t>
                  </w:r>
                  <w:r>
                    <w:rPr>
                      <w:rFonts w:hint="eastAsia" w:ascii="Times New Roman" w:hAnsi="Times New Roman"/>
                      <w:b/>
                      <w:bCs/>
                      <w:color w:val="auto"/>
                      <w:kern w:val="0"/>
                      <w:sz w:val="21"/>
                      <w:szCs w:val="21"/>
                      <w:lang w:val="en-US" w:eastAsia="zh-CN"/>
                    </w:rPr>
                    <w:t>生产区中心点</w:t>
                  </w:r>
                  <w:r>
                    <w:rPr>
                      <w:rFonts w:ascii="Times New Roman" w:hAnsi="Times New Roman"/>
                      <w:b/>
                      <w:bCs/>
                      <w:color w:val="auto"/>
                      <w:kern w:val="0"/>
                      <w:sz w:val="21"/>
                      <w:szCs w:val="21"/>
                    </w:rPr>
                    <w:t>为坐标原点（0，0），地理坐标为</w:t>
                  </w:r>
                  <w:r>
                    <w:rPr>
                      <w:b/>
                      <w:bCs/>
                      <w:color w:val="auto"/>
                      <w:sz w:val="21"/>
                      <w:szCs w:val="21"/>
                    </w:rPr>
                    <w:t>E</w:t>
                  </w:r>
                  <w:r>
                    <w:rPr>
                      <w:rFonts w:hint="eastAsia"/>
                      <w:b/>
                      <w:bCs/>
                      <w:color w:val="auto"/>
                      <w:sz w:val="21"/>
                      <w:szCs w:val="21"/>
                    </w:rPr>
                    <w:t>115</w:t>
                  </w:r>
                  <w:r>
                    <w:rPr>
                      <w:b/>
                      <w:bCs/>
                      <w:color w:val="auto"/>
                      <w:sz w:val="21"/>
                      <w:szCs w:val="21"/>
                    </w:rPr>
                    <w:t>°</w:t>
                  </w:r>
                  <w:r>
                    <w:rPr>
                      <w:rFonts w:hint="eastAsia"/>
                      <w:b/>
                      <w:bCs/>
                      <w:color w:val="auto"/>
                      <w:sz w:val="21"/>
                      <w:szCs w:val="21"/>
                    </w:rPr>
                    <w:t>25</w:t>
                  </w:r>
                  <w:r>
                    <w:rPr>
                      <w:b/>
                      <w:bCs/>
                      <w:color w:val="auto"/>
                      <w:sz w:val="21"/>
                      <w:szCs w:val="21"/>
                    </w:rPr>
                    <w:t>′</w:t>
                  </w:r>
                  <w:r>
                    <w:rPr>
                      <w:rFonts w:hint="eastAsia"/>
                      <w:b/>
                      <w:bCs/>
                      <w:color w:val="auto"/>
                      <w:sz w:val="21"/>
                      <w:szCs w:val="21"/>
                    </w:rPr>
                    <w:t>32.382</w:t>
                  </w:r>
                  <w:r>
                    <w:rPr>
                      <w:b/>
                      <w:bCs/>
                      <w:color w:val="auto"/>
                      <w:sz w:val="21"/>
                      <w:szCs w:val="21"/>
                    </w:rPr>
                    <w:t>″</w:t>
                  </w:r>
                  <w:r>
                    <w:rPr>
                      <w:rFonts w:hint="eastAsia"/>
                      <w:b/>
                      <w:bCs/>
                      <w:color w:val="auto"/>
                      <w:sz w:val="21"/>
                      <w:szCs w:val="21"/>
                      <w:lang w:eastAsia="zh-CN"/>
                    </w:rPr>
                    <w:t>，</w:t>
                  </w:r>
                  <w:r>
                    <w:rPr>
                      <w:b/>
                      <w:bCs/>
                      <w:color w:val="auto"/>
                      <w:sz w:val="21"/>
                      <w:szCs w:val="21"/>
                    </w:rPr>
                    <w:t>N</w:t>
                  </w:r>
                  <w:r>
                    <w:rPr>
                      <w:rFonts w:hint="eastAsia"/>
                      <w:b/>
                      <w:bCs/>
                      <w:color w:val="auto"/>
                      <w:sz w:val="21"/>
                      <w:szCs w:val="21"/>
                    </w:rPr>
                    <w:t>28</w:t>
                  </w:r>
                  <w:r>
                    <w:rPr>
                      <w:b/>
                      <w:bCs/>
                      <w:color w:val="auto"/>
                      <w:sz w:val="21"/>
                      <w:szCs w:val="21"/>
                    </w:rPr>
                    <w:t>°</w:t>
                  </w:r>
                  <w:r>
                    <w:rPr>
                      <w:rFonts w:hint="eastAsia"/>
                      <w:b/>
                      <w:bCs/>
                      <w:color w:val="auto"/>
                      <w:sz w:val="21"/>
                      <w:szCs w:val="21"/>
                    </w:rPr>
                    <w:t>23</w:t>
                  </w:r>
                  <w:r>
                    <w:rPr>
                      <w:b/>
                      <w:bCs/>
                      <w:color w:val="auto"/>
                      <w:sz w:val="21"/>
                      <w:szCs w:val="21"/>
                    </w:rPr>
                    <w:t>′</w:t>
                  </w:r>
                  <w:r>
                    <w:rPr>
                      <w:rFonts w:hint="eastAsia"/>
                      <w:b/>
                      <w:bCs/>
                      <w:color w:val="auto"/>
                      <w:sz w:val="21"/>
                      <w:szCs w:val="21"/>
                    </w:rPr>
                    <w:t>41.676</w:t>
                  </w:r>
                  <w:r>
                    <w:rPr>
                      <w:b/>
                      <w:bCs/>
                      <w:color w:val="auto"/>
                      <w:sz w:val="21"/>
                      <w:szCs w:val="21"/>
                    </w:rPr>
                    <w:t>″</w:t>
                  </w:r>
                  <w:r>
                    <w:rPr>
                      <w:rFonts w:hint="eastAsia" w:ascii="Times New Roman" w:hAnsi="Times New Roman" w:cs="Times New Roman"/>
                      <w:b/>
                      <w:bCs/>
                      <w:color w:val="auto"/>
                      <w:sz w:val="21"/>
                      <w:szCs w:val="21"/>
                      <w:lang w:eastAsia="zh-CN"/>
                    </w:rPr>
                    <w:t>。</w:t>
                  </w:r>
                </w:p>
              </w:tc>
            </w:tr>
          </w:tbl>
          <w:p w14:paraId="68D64C23">
            <w:pPr>
              <w:pStyle w:val="5"/>
              <w:numPr>
                <w:ilvl w:val="0"/>
                <w:numId w:val="0"/>
              </w:numPr>
              <w:ind w:firstLine="482" w:firstLineChars="200"/>
              <w:rPr>
                <w:rFonts w:hint="eastAsia" w:ascii="Times New Roman" w:hAnsi="Times New Roman" w:eastAsia="宋体" w:cs="Times New Roman"/>
                <w:b/>
                <w:bCs/>
                <w:color w:val="auto"/>
                <w:kern w:val="2"/>
                <w:szCs w:val="24"/>
                <w:lang w:val="en-US" w:eastAsia="zh-CN"/>
              </w:rPr>
            </w:pPr>
            <w:r>
              <w:rPr>
                <w:rFonts w:hint="eastAsia" w:cs="Times New Roman"/>
                <w:b/>
                <w:bCs/>
                <w:color w:val="auto"/>
                <w:kern w:val="2"/>
                <w:szCs w:val="24"/>
                <w:lang w:val="en-US" w:eastAsia="zh-CN"/>
              </w:rPr>
              <w:t>2、</w:t>
            </w:r>
            <w:r>
              <w:rPr>
                <w:rFonts w:hint="eastAsia"/>
                <w:b/>
                <w:bCs/>
                <w:color w:val="auto"/>
                <w:kern w:val="0"/>
              </w:rPr>
              <w:t>控制目标</w:t>
            </w:r>
          </w:p>
          <w:p w14:paraId="1FA1974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color w:val="auto"/>
                <w:sz w:val="24"/>
              </w:rPr>
            </w:pPr>
            <w:r>
              <w:rPr>
                <w:color w:val="auto"/>
                <w:sz w:val="24"/>
              </w:rPr>
              <w:t>本项目主要环境保护目标如下：</w:t>
            </w:r>
          </w:p>
          <w:p w14:paraId="5BAA1A7C">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color w:val="auto"/>
                <w:sz w:val="24"/>
              </w:rPr>
            </w:pPr>
            <w:r>
              <w:rPr>
                <w:color w:val="auto"/>
                <w:sz w:val="24"/>
              </w:rPr>
              <w:t>（1）环境空气：区域大气环境质量达到《环境空气质量标准》（GB3095-2012）二级标准；</w:t>
            </w:r>
          </w:p>
          <w:p w14:paraId="78983F5F">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color w:val="auto"/>
                <w:sz w:val="24"/>
              </w:rPr>
            </w:pPr>
            <w:r>
              <w:rPr>
                <w:color w:val="auto"/>
                <w:sz w:val="24"/>
              </w:rPr>
              <w:t>（2）地表水：地表水环境质量达到《地表水环境质量标准》（GB3838-2002）</w:t>
            </w:r>
            <w:r>
              <w:rPr>
                <w:color w:val="auto"/>
                <w:kern w:val="21"/>
                <w:sz w:val="24"/>
              </w:rPr>
              <w:t>Ⅲ</w:t>
            </w:r>
            <w:r>
              <w:rPr>
                <w:color w:val="auto"/>
                <w:sz w:val="24"/>
              </w:rPr>
              <w:t>类标准；</w:t>
            </w:r>
          </w:p>
          <w:p w14:paraId="31E811A8">
            <w:pPr>
              <w:adjustRightInd w:val="0"/>
              <w:snapToGrid w:val="0"/>
              <w:spacing w:line="360" w:lineRule="auto"/>
              <w:ind w:firstLine="480" w:firstLineChars="200"/>
              <w:rPr>
                <w:rFonts w:ascii="宋体" w:hAnsi="宋体" w:cs="宋体"/>
                <w:color w:val="auto"/>
                <w:kern w:val="0"/>
                <w:szCs w:val="21"/>
              </w:rPr>
            </w:pPr>
            <w:r>
              <w:rPr>
                <w:b w:val="0"/>
                <w:color w:val="auto"/>
                <w:sz w:val="24"/>
              </w:rPr>
              <w:t>（3）声环境：评价区域声环境质量满足《声环境质量标准》（GB3096-2008）</w:t>
            </w:r>
            <w:r>
              <w:rPr>
                <w:rFonts w:hint="eastAsia"/>
                <w:b w:val="0"/>
                <w:color w:val="auto"/>
                <w:sz w:val="24"/>
                <w:lang w:val="en-US" w:eastAsia="zh-CN"/>
              </w:rPr>
              <w:t>2</w:t>
            </w:r>
            <w:r>
              <w:rPr>
                <w:b w:val="0"/>
                <w:color w:val="auto"/>
                <w:sz w:val="24"/>
              </w:rPr>
              <w:t>类标准</w:t>
            </w:r>
            <w:r>
              <w:rPr>
                <w:rFonts w:hint="eastAsia"/>
                <w:b w:val="0"/>
                <w:color w:val="auto"/>
                <w:sz w:val="24"/>
                <w:lang w:eastAsia="zh-CN"/>
              </w:rPr>
              <w:t>。</w:t>
            </w:r>
          </w:p>
        </w:tc>
      </w:tr>
      <w:tr w14:paraId="212309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tcMar>
              <w:left w:w="28" w:type="dxa"/>
              <w:right w:w="28" w:type="dxa"/>
            </w:tcMar>
            <w:vAlign w:val="center"/>
          </w:tcPr>
          <w:p w14:paraId="4444116D">
            <w:pPr>
              <w:adjustRightInd w:val="0"/>
              <w:snapToGrid w:val="0"/>
              <w:jc w:val="center"/>
              <w:rPr>
                <w:rFonts w:ascii="宋体" w:hAnsi="宋体" w:cs="宋体"/>
                <w:color w:val="auto"/>
                <w:kern w:val="0"/>
                <w:szCs w:val="21"/>
              </w:rPr>
            </w:pPr>
            <w:r>
              <w:rPr>
                <w:rFonts w:hint="eastAsia" w:ascii="宋体" w:hAnsi="宋体" w:cs="宋体"/>
                <w:color w:val="auto"/>
                <w:kern w:val="0"/>
                <w:szCs w:val="21"/>
              </w:rPr>
              <w:t>污染</w:t>
            </w:r>
          </w:p>
          <w:p w14:paraId="3A4EAE9C">
            <w:pPr>
              <w:adjustRightInd w:val="0"/>
              <w:snapToGrid w:val="0"/>
              <w:jc w:val="center"/>
              <w:rPr>
                <w:rFonts w:ascii="宋体" w:hAnsi="宋体" w:cs="宋体"/>
                <w:color w:val="auto"/>
                <w:kern w:val="0"/>
                <w:szCs w:val="21"/>
              </w:rPr>
            </w:pPr>
            <w:r>
              <w:rPr>
                <w:rFonts w:hint="eastAsia" w:ascii="宋体" w:hAnsi="宋体" w:cs="宋体"/>
                <w:color w:val="auto"/>
                <w:kern w:val="0"/>
                <w:szCs w:val="21"/>
              </w:rPr>
              <w:t>物排</w:t>
            </w:r>
          </w:p>
          <w:p w14:paraId="45B7F96F">
            <w:pPr>
              <w:adjustRightInd w:val="0"/>
              <w:snapToGrid w:val="0"/>
              <w:jc w:val="center"/>
              <w:rPr>
                <w:rFonts w:ascii="宋体" w:hAnsi="宋体" w:cs="宋体"/>
                <w:color w:val="auto"/>
                <w:kern w:val="0"/>
                <w:szCs w:val="21"/>
              </w:rPr>
            </w:pPr>
            <w:r>
              <w:rPr>
                <w:rFonts w:hint="eastAsia" w:ascii="宋体" w:hAnsi="宋体" w:cs="宋体"/>
                <w:color w:val="auto"/>
                <w:kern w:val="0"/>
                <w:szCs w:val="21"/>
              </w:rPr>
              <w:t>放控</w:t>
            </w:r>
          </w:p>
          <w:p w14:paraId="5EF0E376">
            <w:pPr>
              <w:adjustRightInd w:val="0"/>
              <w:snapToGrid w:val="0"/>
              <w:jc w:val="center"/>
              <w:rPr>
                <w:rFonts w:ascii="宋体" w:hAnsi="宋体" w:cs="宋体"/>
                <w:color w:val="auto"/>
                <w:kern w:val="0"/>
                <w:szCs w:val="21"/>
              </w:rPr>
            </w:pPr>
            <w:r>
              <w:rPr>
                <w:rFonts w:hint="eastAsia" w:ascii="宋体" w:hAnsi="宋体" w:cs="宋体"/>
                <w:color w:val="auto"/>
                <w:kern w:val="0"/>
                <w:szCs w:val="21"/>
              </w:rPr>
              <w:t>制标</w:t>
            </w:r>
          </w:p>
          <w:p w14:paraId="5AC37081">
            <w:pPr>
              <w:adjustRightInd w:val="0"/>
              <w:snapToGrid w:val="0"/>
              <w:jc w:val="center"/>
              <w:rPr>
                <w:rFonts w:ascii="宋体" w:hAnsi="宋体" w:cs="宋体"/>
                <w:color w:val="auto"/>
                <w:kern w:val="0"/>
                <w:szCs w:val="21"/>
              </w:rPr>
            </w:pPr>
            <w:r>
              <w:rPr>
                <w:rFonts w:hint="eastAsia" w:ascii="宋体" w:hAnsi="宋体" w:cs="宋体"/>
                <w:color w:val="auto"/>
                <w:kern w:val="0"/>
                <w:szCs w:val="21"/>
              </w:rPr>
              <w:t>准</w:t>
            </w:r>
          </w:p>
        </w:tc>
        <w:tc>
          <w:tcPr>
            <w:tcW w:w="4764" w:type="pct"/>
            <w:vAlign w:val="center"/>
          </w:tcPr>
          <w:p w14:paraId="7F46C541">
            <w:pPr>
              <w:adjustRightInd w:val="0"/>
              <w:snapToGrid w:val="0"/>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1、废气</w:t>
            </w:r>
          </w:p>
          <w:p w14:paraId="2D82FB0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bCs/>
                <w:color w:val="auto"/>
                <w:sz w:val="24"/>
                <w:szCs w:val="24"/>
                <w:lang w:val="en-US" w:eastAsia="zh-CN"/>
              </w:rPr>
            </w:pPr>
            <w:r>
              <w:rPr>
                <w:rFonts w:hint="default" w:ascii="Times New Roman" w:hAnsi="Times New Roman" w:cs="Times New Roman"/>
                <w:bCs/>
                <w:color w:val="auto"/>
                <w:sz w:val="24"/>
                <w:szCs w:val="24"/>
                <w:vertAlign w:val="baseline"/>
                <w:lang w:val="en-US" w:eastAsia="zh-CN"/>
              </w:rPr>
              <w:t>项目调墨、印刷过程中会产生</w:t>
            </w:r>
            <w:r>
              <w:rPr>
                <w:rFonts w:hint="eastAsia" w:ascii="Times New Roman" w:hAnsi="Times New Roman" w:cs="Times New Roman"/>
                <w:bCs/>
                <w:color w:val="auto"/>
                <w:sz w:val="24"/>
                <w:szCs w:val="24"/>
                <w:vertAlign w:val="baseline"/>
                <w:lang w:val="en-US" w:eastAsia="zh-CN"/>
              </w:rPr>
              <w:t>有机</w:t>
            </w:r>
            <w:r>
              <w:rPr>
                <w:rFonts w:hint="default" w:ascii="Times New Roman" w:hAnsi="Times New Roman" w:cs="Times New Roman"/>
                <w:bCs/>
                <w:color w:val="auto"/>
                <w:sz w:val="24"/>
                <w:szCs w:val="24"/>
                <w:vertAlign w:val="baseline"/>
                <w:lang w:val="en-US" w:eastAsia="zh-CN"/>
              </w:rPr>
              <w:t>废气</w:t>
            </w:r>
            <w:r>
              <w:rPr>
                <w:rFonts w:hint="eastAsia" w:cs="Times New Roman"/>
                <w:bCs/>
                <w:color w:val="auto"/>
                <w:sz w:val="24"/>
                <w:szCs w:val="24"/>
                <w:vertAlign w:val="baseline"/>
                <w:lang w:val="en-US" w:eastAsia="zh-CN"/>
              </w:rPr>
              <w:t>（</w:t>
            </w:r>
            <w:r>
              <w:rPr>
                <w:rFonts w:hint="default" w:ascii="Times New Roman" w:hAnsi="Times New Roman" w:cs="Times New Roman"/>
                <w:color w:val="auto"/>
                <w:kern w:val="0"/>
                <w:sz w:val="24"/>
                <w:szCs w:val="24"/>
                <w:lang w:val="en-US" w:eastAsia="zh-CN" w:bidi="ar"/>
              </w:rPr>
              <w:t>NMHC</w:t>
            </w:r>
            <w:r>
              <w:rPr>
                <w:rFonts w:hint="default" w:ascii="Times New Roman" w:hAnsi="Times New Roman" w:cs="Times New Roman"/>
                <w:bCs/>
                <w:color w:val="auto"/>
                <w:sz w:val="24"/>
                <w:szCs w:val="24"/>
                <w:vertAlign w:val="baseline"/>
                <w:lang w:val="en-US" w:eastAsia="zh-CN"/>
              </w:rPr>
              <w:t>）。</w:t>
            </w:r>
            <w:r>
              <w:rPr>
                <w:rFonts w:hint="default" w:ascii="Times New Roman" w:hAnsi="Times New Roman" w:cs="Times New Roman"/>
                <w:bCs/>
                <w:color w:val="auto"/>
                <w:sz w:val="24"/>
                <w:szCs w:val="24"/>
                <w:lang w:val="en-US" w:eastAsia="zh-CN"/>
              </w:rPr>
              <w:t>废气</w:t>
            </w:r>
            <w:r>
              <w:rPr>
                <w:rFonts w:hint="default" w:ascii="Times New Roman" w:hAnsi="Times New Roman" w:cs="Times New Roman"/>
                <w:bCs/>
                <w:color w:val="auto"/>
                <w:sz w:val="24"/>
                <w:szCs w:val="24"/>
                <w:vertAlign w:val="baseline"/>
                <w:lang w:val="en-US" w:eastAsia="zh-CN"/>
              </w:rPr>
              <w:t>NMHC</w:t>
            </w:r>
            <w:r>
              <w:rPr>
                <w:rFonts w:hint="eastAsia" w:cs="Times New Roman"/>
                <w:bCs/>
                <w:color w:val="auto"/>
                <w:sz w:val="24"/>
                <w:szCs w:val="24"/>
                <w:vertAlign w:val="baseline"/>
                <w:lang w:val="en-US" w:eastAsia="zh-CN"/>
              </w:rPr>
              <w:t>从严</w:t>
            </w:r>
            <w:r>
              <w:rPr>
                <w:rFonts w:hint="default" w:ascii="Times New Roman" w:hAnsi="Times New Roman" w:cs="Times New Roman"/>
                <w:bCs/>
                <w:color w:val="auto"/>
                <w:sz w:val="24"/>
                <w:szCs w:val="24"/>
              </w:rPr>
              <w:t>执行</w:t>
            </w:r>
            <w:r>
              <w:rPr>
                <w:rFonts w:hint="default" w:ascii="Times New Roman" w:hAnsi="Times New Roman" w:cs="Times New Roman"/>
                <w:color w:val="auto"/>
                <w:kern w:val="0"/>
                <w:sz w:val="24"/>
                <w:szCs w:val="24"/>
                <w:lang w:bidi="ar"/>
              </w:rPr>
              <w:t>《印刷工业大气污染物排放标准》（GB41616-2022）表1</w:t>
            </w:r>
            <w:r>
              <w:rPr>
                <w:rFonts w:hint="default" w:ascii="Times New Roman" w:hAnsi="Times New Roman" w:cs="Times New Roman"/>
                <w:color w:val="auto"/>
                <w:kern w:val="0"/>
                <w:sz w:val="24"/>
                <w:szCs w:val="24"/>
                <w:lang w:val="en-US" w:eastAsia="zh-CN" w:bidi="ar"/>
              </w:rPr>
              <w:t>中</w:t>
            </w:r>
            <w:r>
              <w:rPr>
                <w:rFonts w:hint="default" w:ascii="Times New Roman" w:hAnsi="Times New Roman" w:cs="Times New Roman"/>
                <w:color w:val="auto"/>
                <w:sz w:val="24"/>
                <w:szCs w:val="24"/>
              </w:rPr>
              <w:t>相</w:t>
            </w:r>
            <w:r>
              <w:rPr>
                <w:rFonts w:hint="default" w:ascii="Times New Roman" w:hAnsi="Times New Roman" w:cs="Times New Roman"/>
                <w:bCs/>
                <w:color w:val="auto"/>
                <w:sz w:val="24"/>
                <w:szCs w:val="24"/>
              </w:rPr>
              <w:t>关限值</w:t>
            </w:r>
            <w:r>
              <w:rPr>
                <w:rFonts w:hint="default" w:ascii="Times New Roman" w:hAnsi="Times New Roman" w:cs="Times New Roman"/>
                <w:bCs/>
                <w:color w:val="auto"/>
                <w:sz w:val="24"/>
                <w:szCs w:val="24"/>
                <w:lang w:eastAsia="zh-CN"/>
              </w:rPr>
              <w:t>；</w:t>
            </w:r>
            <w:r>
              <w:rPr>
                <w:rFonts w:hint="default" w:ascii="Times New Roman" w:hAnsi="Times New Roman" w:cs="Times New Roman"/>
                <w:color w:val="auto"/>
                <w:kern w:val="0"/>
                <w:sz w:val="24"/>
                <w:szCs w:val="24"/>
                <w:lang w:val="en-US" w:eastAsia="zh-CN" w:bidi="ar"/>
              </w:rPr>
              <w:t>NMHC</w:t>
            </w:r>
            <w:r>
              <w:rPr>
                <w:rFonts w:hint="eastAsia" w:cs="Times New Roman"/>
                <w:color w:val="auto"/>
                <w:kern w:val="0"/>
                <w:sz w:val="24"/>
                <w:szCs w:val="24"/>
                <w:lang w:val="en-US" w:eastAsia="zh-CN" w:bidi="ar"/>
              </w:rPr>
              <w:t>厂区内及</w:t>
            </w:r>
            <w:r>
              <w:rPr>
                <w:rFonts w:hint="default" w:ascii="Times New Roman" w:hAnsi="Times New Roman" w:cs="Times New Roman"/>
                <w:color w:val="auto"/>
                <w:kern w:val="0"/>
                <w:sz w:val="24"/>
                <w:szCs w:val="24"/>
                <w:lang w:val="en-US" w:eastAsia="zh-CN" w:bidi="ar"/>
              </w:rPr>
              <w:t>厂界</w:t>
            </w:r>
            <w:r>
              <w:rPr>
                <w:rFonts w:hint="eastAsia" w:cs="Times New Roman"/>
                <w:color w:val="auto"/>
                <w:kern w:val="0"/>
                <w:sz w:val="24"/>
                <w:szCs w:val="24"/>
                <w:lang w:val="en-US" w:eastAsia="zh-CN" w:bidi="ar"/>
              </w:rPr>
              <w:t>无组织废气</w:t>
            </w:r>
            <w:r>
              <w:rPr>
                <w:rFonts w:hint="default" w:ascii="Times New Roman" w:hAnsi="Times New Roman" w:cs="Times New Roman"/>
                <w:color w:val="auto"/>
                <w:kern w:val="0"/>
                <w:sz w:val="24"/>
                <w:szCs w:val="24"/>
                <w:lang w:val="en-US" w:eastAsia="zh-CN" w:bidi="ar"/>
              </w:rPr>
              <w:t>浓度限值执行</w:t>
            </w:r>
            <w:r>
              <w:rPr>
                <w:rFonts w:hint="eastAsia" w:cs="Times New Roman"/>
                <w:bCs/>
                <w:color w:val="auto"/>
                <w:sz w:val="24"/>
                <w:szCs w:val="24"/>
                <w:lang w:val="en-US" w:eastAsia="zh-CN"/>
              </w:rPr>
              <w:t>江西省地方标准《挥发性有机物综合排放控制标准（试行）》</w:t>
            </w:r>
            <w:r>
              <w:rPr>
                <w:rFonts w:hint="default" w:ascii="Times New Roman" w:hAnsi="Times New Roman" w:cs="Times New Roman"/>
                <w:color w:val="auto"/>
                <w:kern w:val="0"/>
                <w:sz w:val="24"/>
                <w:szCs w:val="24"/>
                <w:lang w:bidi="ar"/>
              </w:rPr>
              <w:t>（DB36/2186-2025）</w:t>
            </w:r>
            <w:r>
              <w:rPr>
                <w:rFonts w:hint="eastAsia" w:cs="Times New Roman"/>
                <w:color w:val="auto"/>
                <w:kern w:val="0"/>
                <w:sz w:val="24"/>
                <w:szCs w:val="24"/>
                <w:lang w:val="en-US" w:eastAsia="zh-CN" w:bidi="ar"/>
              </w:rPr>
              <w:t>表2、</w:t>
            </w:r>
            <w:r>
              <w:rPr>
                <w:rFonts w:hint="default" w:ascii="Times New Roman" w:hAnsi="Times New Roman" w:cs="Times New Roman"/>
                <w:color w:val="auto"/>
                <w:kern w:val="0"/>
                <w:sz w:val="24"/>
                <w:szCs w:val="24"/>
                <w:lang w:val="en-US" w:eastAsia="zh-CN" w:bidi="ar"/>
              </w:rPr>
              <w:t>表</w:t>
            </w:r>
            <w:r>
              <w:rPr>
                <w:rFonts w:hint="eastAsia" w:cs="Times New Roman"/>
                <w:color w:val="auto"/>
                <w:kern w:val="0"/>
                <w:sz w:val="24"/>
                <w:szCs w:val="24"/>
                <w:lang w:val="en-US" w:eastAsia="zh-CN" w:bidi="ar"/>
              </w:rPr>
              <w:t>3</w:t>
            </w:r>
            <w:r>
              <w:rPr>
                <w:rFonts w:hint="default" w:ascii="Times New Roman" w:hAnsi="Times New Roman" w:cs="Times New Roman"/>
                <w:color w:val="auto"/>
                <w:kern w:val="0"/>
                <w:sz w:val="24"/>
                <w:szCs w:val="24"/>
                <w:lang w:val="en-US" w:eastAsia="zh-CN" w:bidi="ar"/>
              </w:rPr>
              <w:t>中</w:t>
            </w:r>
            <w:r>
              <w:rPr>
                <w:rFonts w:hint="default" w:ascii="Times New Roman" w:hAnsi="Times New Roman" w:cs="Times New Roman"/>
                <w:color w:val="auto"/>
                <w:sz w:val="24"/>
                <w:szCs w:val="24"/>
              </w:rPr>
              <w:t>相</w:t>
            </w:r>
            <w:r>
              <w:rPr>
                <w:rFonts w:hint="default" w:ascii="Times New Roman" w:hAnsi="Times New Roman" w:cs="Times New Roman"/>
                <w:bCs/>
                <w:color w:val="auto"/>
                <w:sz w:val="24"/>
                <w:szCs w:val="24"/>
              </w:rPr>
              <w:t>关限值</w:t>
            </w:r>
            <w:r>
              <w:rPr>
                <w:rFonts w:hint="eastAsia"/>
                <w:bCs/>
                <w:color w:val="auto"/>
                <w:sz w:val="24"/>
                <w:szCs w:val="24"/>
                <w:lang w:eastAsia="zh-CN"/>
              </w:rPr>
              <w:t>，</w:t>
            </w:r>
            <w:r>
              <w:rPr>
                <w:rFonts w:hint="eastAsia"/>
                <w:bCs/>
                <w:color w:val="auto"/>
                <w:sz w:val="24"/>
                <w:szCs w:val="24"/>
                <w:lang w:val="en-US" w:eastAsia="zh-CN"/>
              </w:rPr>
              <w:t>详见表3-4。</w:t>
            </w:r>
          </w:p>
          <w:p w14:paraId="0C1B5B6B">
            <w:pPr>
              <w:pStyle w:val="7"/>
              <w:autoSpaceDE/>
              <w:autoSpaceDN/>
              <w:adjustRightInd/>
              <w:spacing w:line="240" w:lineRule="auto"/>
              <w:ind w:left="0" w:firstLine="0"/>
              <w:jc w:val="center"/>
              <w:textAlignment w:val="auto"/>
              <w:rPr>
                <w:rFonts w:ascii="Times New Roman" w:hAnsi="Times New Roman" w:eastAsia="宋体" w:cs="Times New Roman"/>
                <w:b/>
                <w:bCs/>
                <w:color w:val="auto"/>
                <w:kern w:val="2"/>
                <w:szCs w:val="24"/>
              </w:rPr>
            </w:pPr>
            <w:r>
              <w:rPr>
                <w:rFonts w:ascii="Times New Roman" w:hAnsi="Times New Roman" w:eastAsia="宋体" w:cs="Times New Roman"/>
                <w:b/>
                <w:bCs/>
                <w:color w:val="auto"/>
                <w:kern w:val="2"/>
                <w:szCs w:val="24"/>
                <w:lang w:val="zh-CN"/>
              </w:rPr>
              <w:t>表</w:t>
            </w:r>
            <w:r>
              <w:rPr>
                <w:rFonts w:ascii="Times New Roman" w:hAnsi="Times New Roman" w:eastAsia="宋体" w:cs="Times New Roman"/>
                <w:b/>
                <w:bCs/>
                <w:color w:val="auto"/>
                <w:kern w:val="2"/>
                <w:szCs w:val="24"/>
              </w:rPr>
              <w:t>3-4</w:t>
            </w:r>
            <w:r>
              <w:rPr>
                <w:rFonts w:ascii="Times New Roman" w:hAnsi="Times New Roman" w:eastAsia="宋体" w:cs="Times New Roman"/>
                <w:b/>
                <w:bCs/>
                <w:color w:val="auto"/>
                <w:kern w:val="2"/>
                <w:szCs w:val="24"/>
                <w:lang w:val="zh-CN"/>
              </w:rPr>
              <w:t xml:space="preserve"> </w:t>
            </w:r>
            <w:r>
              <w:rPr>
                <w:rFonts w:ascii="Times New Roman" w:hAnsi="Times New Roman" w:eastAsia="宋体" w:cs="Times New Roman"/>
                <w:b/>
                <w:bCs/>
                <w:color w:val="auto"/>
                <w:kern w:val="2"/>
                <w:szCs w:val="24"/>
              </w:rPr>
              <w:t xml:space="preserve"> </w:t>
            </w:r>
            <w:r>
              <w:rPr>
                <w:rFonts w:ascii="Times New Roman" w:hAnsi="Times New Roman" w:eastAsia="宋体" w:cs="Times New Roman"/>
                <w:b/>
                <w:bCs/>
                <w:color w:val="auto"/>
                <w:kern w:val="2"/>
                <w:szCs w:val="24"/>
                <w:lang w:val="zh-CN"/>
              </w:rPr>
              <w:t>大气污染物排放标准</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825"/>
              <w:gridCol w:w="1187"/>
              <w:gridCol w:w="1293"/>
              <w:gridCol w:w="1249"/>
              <w:gridCol w:w="943"/>
              <w:gridCol w:w="948"/>
              <w:gridCol w:w="1971"/>
            </w:tblGrid>
            <w:tr w14:paraId="00C40F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69" w:hRule="atLeast"/>
                <w:jc w:val="center"/>
              </w:trPr>
              <w:tc>
                <w:tcPr>
                  <w:tcW w:w="490" w:type="pct"/>
                  <w:vMerge w:val="restart"/>
                  <w:tcBorders>
                    <w:tl2br w:val="nil"/>
                    <w:tr2bl w:val="nil"/>
                  </w:tcBorders>
                  <w:vAlign w:val="center"/>
                </w:tcPr>
                <w:p w14:paraId="61BFC211">
                  <w:pPr>
                    <w:jc w:val="center"/>
                    <w:rPr>
                      <w:b/>
                      <w:color w:val="auto"/>
                      <w:szCs w:val="21"/>
                      <w:lang w:bidi="ar"/>
                    </w:rPr>
                  </w:pPr>
                  <w:r>
                    <w:rPr>
                      <w:b/>
                      <w:color w:val="auto"/>
                      <w:szCs w:val="21"/>
                      <w:lang w:bidi="ar"/>
                    </w:rPr>
                    <w:t>污染物名称</w:t>
                  </w:r>
                </w:p>
              </w:tc>
              <w:tc>
                <w:tcPr>
                  <w:tcW w:w="705" w:type="pct"/>
                  <w:vMerge w:val="restart"/>
                  <w:tcBorders>
                    <w:tl2br w:val="nil"/>
                    <w:tr2bl w:val="nil"/>
                  </w:tcBorders>
                  <w:vAlign w:val="center"/>
                </w:tcPr>
                <w:p w14:paraId="59407191">
                  <w:pPr>
                    <w:jc w:val="center"/>
                    <w:rPr>
                      <w:rFonts w:hint="default" w:eastAsia="宋体"/>
                      <w:b/>
                      <w:color w:val="auto"/>
                      <w:szCs w:val="21"/>
                      <w:lang w:val="en-US" w:eastAsia="zh-CN" w:bidi="ar"/>
                    </w:rPr>
                  </w:pPr>
                  <w:r>
                    <w:rPr>
                      <w:rFonts w:hint="eastAsia"/>
                      <w:b/>
                      <w:color w:val="auto"/>
                      <w:szCs w:val="21"/>
                      <w:lang w:val="en-US" w:eastAsia="zh-CN" w:bidi="ar"/>
                    </w:rPr>
                    <w:t>排放形式</w:t>
                  </w:r>
                </w:p>
              </w:tc>
              <w:tc>
                <w:tcPr>
                  <w:tcW w:w="768" w:type="pct"/>
                  <w:vMerge w:val="restart"/>
                  <w:tcBorders>
                    <w:tl2br w:val="nil"/>
                    <w:tr2bl w:val="nil"/>
                  </w:tcBorders>
                  <w:vAlign w:val="center"/>
                </w:tcPr>
                <w:p w14:paraId="530A1A23">
                  <w:pPr>
                    <w:jc w:val="center"/>
                    <w:rPr>
                      <w:b/>
                      <w:color w:val="auto"/>
                      <w:szCs w:val="21"/>
                      <w:lang w:bidi="ar"/>
                    </w:rPr>
                  </w:pPr>
                  <w:r>
                    <w:rPr>
                      <w:b/>
                      <w:color w:val="auto"/>
                      <w:szCs w:val="21"/>
                      <w:lang w:bidi="ar"/>
                    </w:rPr>
                    <w:t>废气名称</w:t>
                  </w:r>
                </w:p>
              </w:tc>
              <w:tc>
                <w:tcPr>
                  <w:tcW w:w="742" w:type="pct"/>
                  <w:vMerge w:val="restart"/>
                  <w:tcBorders>
                    <w:tl2br w:val="nil"/>
                    <w:tr2bl w:val="nil"/>
                  </w:tcBorders>
                  <w:vAlign w:val="center"/>
                </w:tcPr>
                <w:p w14:paraId="656F14F7">
                  <w:pPr>
                    <w:jc w:val="center"/>
                    <w:rPr>
                      <w:color w:val="auto"/>
                      <w:szCs w:val="21"/>
                    </w:rPr>
                  </w:pPr>
                  <w:r>
                    <w:rPr>
                      <w:b/>
                      <w:color w:val="auto"/>
                      <w:szCs w:val="21"/>
                      <w:lang w:bidi="ar"/>
                    </w:rPr>
                    <w:t>最高允许排放浓度</w:t>
                  </w:r>
                  <w:r>
                    <w:rPr>
                      <w:rFonts w:hint="eastAsia"/>
                      <w:b/>
                      <w:color w:val="auto"/>
                      <w:szCs w:val="21"/>
                      <w:lang w:eastAsia="zh-CN" w:bidi="ar"/>
                    </w:rPr>
                    <w:t>（</w:t>
                  </w:r>
                  <w:r>
                    <w:rPr>
                      <w:b/>
                      <w:bCs/>
                      <w:color w:val="auto"/>
                      <w:szCs w:val="21"/>
                    </w:rPr>
                    <w:t>mg</w:t>
                  </w:r>
                  <w:r>
                    <w:rPr>
                      <w:b/>
                      <w:bCs/>
                      <w:color w:val="auto"/>
                      <w:spacing w:val="3"/>
                      <w:szCs w:val="21"/>
                    </w:rPr>
                    <w:t>/m</w:t>
                  </w:r>
                  <w:r>
                    <w:rPr>
                      <w:rFonts w:hint="eastAsia"/>
                      <w:b/>
                      <w:bCs/>
                      <w:color w:val="auto"/>
                      <w:spacing w:val="3"/>
                      <w:szCs w:val="21"/>
                      <w:vertAlign w:val="superscript"/>
                      <w:lang w:val="en-US" w:eastAsia="zh-CN"/>
                    </w:rPr>
                    <w:t>3</w:t>
                  </w:r>
                  <w:r>
                    <w:rPr>
                      <w:rFonts w:hint="eastAsia"/>
                      <w:b/>
                      <w:bCs/>
                      <w:color w:val="auto"/>
                      <w:spacing w:val="3"/>
                      <w:szCs w:val="21"/>
                      <w:vertAlign w:val="baseline"/>
                      <w:lang w:val="en-US" w:eastAsia="zh-CN"/>
                    </w:rPr>
                    <w:t>）</w:t>
                  </w:r>
                  <w:r>
                    <w:rPr>
                      <w:b/>
                      <w:bCs/>
                      <w:color w:val="auto"/>
                      <w:spacing w:val="3"/>
                      <w:position w:val="6"/>
                      <w:szCs w:val="21"/>
                    </w:rPr>
                    <w:t xml:space="preserve"> </w:t>
                  </w:r>
                </w:p>
              </w:tc>
              <w:tc>
                <w:tcPr>
                  <w:tcW w:w="1123" w:type="pct"/>
                  <w:gridSpan w:val="2"/>
                  <w:tcBorders>
                    <w:tl2br w:val="nil"/>
                    <w:tr2bl w:val="nil"/>
                  </w:tcBorders>
                  <w:vAlign w:val="center"/>
                </w:tcPr>
                <w:p w14:paraId="016E265C">
                  <w:pPr>
                    <w:jc w:val="center"/>
                    <w:rPr>
                      <w:b/>
                      <w:color w:val="auto"/>
                      <w:szCs w:val="21"/>
                      <w:lang w:bidi="ar"/>
                    </w:rPr>
                  </w:pPr>
                  <w:r>
                    <w:rPr>
                      <w:b/>
                      <w:color w:val="auto"/>
                      <w:szCs w:val="21"/>
                      <w:lang w:bidi="ar"/>
                    </w:rPr>
                    <w:t>最高允许排放速率</w:t>
                  </w:r>
                </w:p>
              </w:tc>
              <w:tc>
                <w:tcPr>
                  <w:tcW w:w="1170" w:type="pct"/>
                  <w:vMerge w:val="restart"/>
                  <w:tcBorders>
                    <w:tl2br w:val="nil"/>
                    <w:tr2bl w:val="nil"/>
                  </w:tcBorders>
                  <w:vAlign w:val="center"/>
                </w:tcPr>
                <w:p w14:paraId="279E43AF">
                  <w:pPr>
                    <w:jc w:val="center"/>
                    <w:rPr>
                      <w:b/>
                      <w:color w:val="auto"/>
                      <w:szCs w:val="21"/>
                      <w:lang w:bidi="ar"/>
                    </w:rPr>
                  </w:pPr>
                  <w:r>
                    <w:rPr>
                      <w:b/>
                      <w:color w:val="auto"/>
                      <w:szCs w:val="21"/>
                      <w:lang w:bidi="ar"/>
                    </w:rPr>
                    <w:t>标准来源</w:t>
                  </w:r>
                </w:p>
              </w:tc>
            </w:tr>
            <w:tr w14:paraId="1FEA5D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69" w:hRule="atLeast"/>
                <w:jc w:val="center"/>
              </w:trPr>
              <w:tc>
                <w:tcPr>
                  <w:tcW w:w="490" w:type="pct"/>
                  <w:vMerge w:val="continue"/>
                  <w:tcBorders>
                    <w:tl2br w:val="nil"/>
                    <w:tr2bl w:val="nil"/>
                  </w:tcBorders>
                  <w:vAlign w:val="center"/>
                </w:tcPr>
                <w:p w14:paraId="3D3885AF">
                  <w:pPr>
                    <w:jc w:val="center"/>
                    <w:rPr>
                      <w:color w:val="auto"/>
                      <w:szCs w:val="21"/>
                    </w:rPr>
                  </w:pPr>
                </w:p>
              </w:tc>
              <w:tc>
                <w:tcPr>
                  <w:tcW w:w="705" w:type="pct"/>
                  <w:vMerge w:val="continue"/>
                  <w:tcBorders>
                    <w:tl2br w:val="nil"/>
                    <w:tr2bl w:val="nil"/>
                  </w:tcBorders>
                  <w:vAlign w:val="center"/>
                </w:tcPr>
                <w:p w14:paraId="1624D1E2">
                  <w:pPr>
                    <w:jc w:val="center"/>
                    <w:rPr>
                      <w:color w:val="auto"/>
                      <w:szCs w:val="21"/>
                    </w:rPr>
                  </w:pPr>
                </w:p>
              </w:tc>
              <w:tc>
                <w:tcPr>
                  <w:tcW w:w="768" w:type="pct"/>
                  <w:vMerge w:val="continue"/>
                  <w:tcBorders>
                    <w:tl2br w:val="nil"/>
                    <w:tr2bl w:val="nil"/>
                  </w:tcBorders>
                  <w:vAlign w:val="center"/>
                </w:tcPr>
                <w:p w14:paraId="73256517">
                  <w:pPr>
                    <w:jc w:val="center"/>
                    <w:rPr>
                      <w:color w:val="auto"/>
                      <w:szCs w:val="21"/>
                    </w:rPr>
                  </w:pPr>
                </w:p>
              </w:tc>
              <w:tc>
                <w:tcPr>
                  <w:tcW w:w="742" w:type="pct"/>
                  <w:vMerge w:val="continue"/>
                  <w:tcBorders>
                    <w:tl2br w:val="nil"/>
                    <w:tr2bl w:val="nil"/>
                  </w:tcBorders>
                  <w:vAlign w:val="center"/>
                </w:tcPr>
                <w:p w14:paraId="50514D39">
                  <w:pPr>
                    <w:jc w:val="center"/>
                    <w:rPr>
                      <w:color w:val="auto"/>
                      <w:szCs w:val="21"/>
                    </w:rPr>
                  </w:pPr>
                </w:p>
              </w:tc>
              <w:tc>
                <w:tcPr>
                  <w:tcW w:w="560" w:type="pct"/>
                  <w:tcBorders>
                    <w:tl2br w:val="nil"/>
                    <w:tr2bl w:val="nil"/>
                  </w:tcBorders>
                  <w:vAlign w:val="center"/>
                </w:tcPr>
                <w:p w14:paraId="7FD0E2B2">
                  <w:pPr>
                    <w:jc w:val="center"/>
                    <w:rPr>
                      <w:b/>
                      <w:color w:val="auto"/>
                      <w:szCs w:val="21"/>
                      <w:lang w:bidi="ar"/>
                    </w:rPr>
                  </w:pPr>
                  <w:r>
                    <w:rPr>
                      <w:b/>
                      <w:color w:val="auto"/>
                      <w:szCs w:val="21"/>
                      <w:lang w:bidi="ar"/>
                    </w:rPr>
                    <w:t>排气筒（m）</w:t>
                  </w:r>
                </w:p>
              </w:tc>
              <w:tc>
                <w:tcPr>
                  <w:tcW w:w="563" w:type="pct"/>
                  <w:tcBorders>
                    <w:tl2br w:val="nil"/>
                    <w:tr2bl w:val="nil"/>
                  </w:tcBorders>
                  <w:vAlign w:val="center"/>
                </w:tcPr>
                <w:p w14:paraId="7C13C537">
                  <w:pPr>
                    <w:jc w:val="center"/>
                    <w:rPr>
                      <w:b/>
                      <w:color w:val="auto"/>
                      <w:szCs w:val="21"/>
                      <w:lang w:bidi="ar"/>
                    </w:rPr>
                  </w:pPr>
                  <w:r>
                    <w:rPr>
                      <w:b/>
                      <w:color w:val="auto"/>
                      <w:szCs w:val="21"/>
                      <w:lang w:bidi="ar"/>
                    </w:rPr>
                    <w:t>排放速率(kg/h)</w:t>
                  </w:r>
                </w:p>
              </w:tc>
              <w:tc>
                <w:tcPr>
                  <w:tcW w:w="1170" w:type="pct"/>
                  <w:vMerge w:val="continue"/>
                  <w:tcBorders>
                    <w:tl2br w:val="nil"/>
                    <w:tr2bl w:val="nil"/>
                  </w:tcBorders>
                  <w:vAlign w:val="center"/>
                </w:tcPr>
                <w:p w14:paraId="778176D7">
                  <w:pPr>
                    <w:jc w:val="center"/>
                    <w:rPr>
                      <w:b/>
                      <w:color w:val="auto"/>
                      <w:szCs w:val="21"/>
                      <w:lang w:bidi="ar"/>
                    </w:rPr>
                  </w:pPr>
                </w:p>
              </w:tc>
            </w:tr>
            <w:tr w14:paraId="098A3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969" w:hRule="atLeast"/>
                <w:jc w:val="center"/>
              </w:trPr>
              <w:tc>
                <w:tcPr>
                  <w:tcW w:w="490" w:type="pct"/>
                  <w:tcBorders>
                    <w:tl2br w:val="nil"/>
                    <w:tr2bl w:val="nil"/>
                  </w:tcBorders>
                  <w:vAlign w:val="center"/>
                </w:tcPr>
                <w:p w14:paraId="6666B5B6">
                  <w:pPr>
                    <w:pStyle w:val="10"/>
                    <w:adjustRightInd w:val="0"/>
                    <w:snapToGrid w:val="0"/>
                    <w:ind w:left="0" w:leftChars="0" w:firstLine="0" w:firstLineChars="0"/>
                    <w:jc w:val="center"/>
                    <w:rPr>
                      <w:rFonts w:hint="eastAsia"/>
                      <w:color w:val="auto"/>
                      <w:sz w:val="21"/>
                      <w:szCs w:val="21"/>
                      <w:lang w:val="en-US" w:eastAsia="zh-CN"/>
                    </w:rPr>
                  </w:pPr>
                  <w:r>
                    <w:rPr>
                      <w:rFonts w:hint="default" w:ascii="Times New Roman" w:hAnsi="Times New Roman" w:cs="Times New Roman"/>
                      <w:bCs/>
                      <w:color w:val="auto"/>
                      <w:sz w:val="21"/>
                      <w:szCs w:val="21"/>
                      <w:vertAlign w:val="baseline"/>
                      <w:lang w:val="en-US" w:eastAsia="zh-CN"/>
                    </w:rPr>
                    <w:t>NMHC</w:t>
                  </w:r>
                </w:p>
              </w:tc>
              <w:tc>
                <w:tcPr>
                  <w:tcW w:w="705" w:type="pct"/>
                  <w:tcBorders>
                    <w:tl2br w:val="nil"/>
                    <w:tr2bl w:val="nil"/>
                  </w:tcBorders>
                  <w:vAlign w:val="center"/>
                </w:tcPr>
                <w:p w14:paraId="32822A56">
                  <w:pPr>
                    <w:pStyle w:val="10"/>
                    <w:adjustRightInd w:val="0"/>
                    <w:snapToGrid w:val="0"/>
                    <w:ind w:left="0" w:firstLine="0" w:firstLineChars="0"/>
                    <w:jc w:val="center"/>
                    <w:rPr>
                      <w:rFonts w:hint="default"/>
                      <w:color w:val="auto"/>
                      <w:szCs w:val="21"/>
                      <w:lang w:val="en-US" w:eastAsia="zh-CN"/>
                    </w:rPr>
                  </w:pPr>
                  <w:r>
                    <w:rPr>
                      <w:rFonts w:hint="eastAsia"/>
                      <w:color w:val="auto"/>
                      <w:szCs w:val="21"/>
                      <w:lang w:val="en-US" w:eastAsia="zh-CN"/>
                    </w:rPr>
                    <w:t>有组织</w:t>
                  </w:r>
                </w:p>
              </w:tc>
              <w:tc>
                <w:tcPr>
                  <w:tcW w:w="768" w:type="pct"/>
                  <w:vMerge w:val="restart"/>
                  <w:tcBorders>
                    <w:tl2br w:val="nil"/>
                    <w:tr2bl w:val="nil"/>
                  </w:tcBorders>
                  <w:shd w:val="clear" w:color="auto" w:fill="auto"/>
                  <w:vAlign w:val="center"/>
                </w:tcPr>
                <w:p w14:paraId="1CBC9066">
                  <w:pPr>
                    <w:pStyle w:val="10"/>
                    <w:adjustRightInd w:val="0"/>
                    <w:snapToGrid w:val="0"/>
                    <w:ind w:left="0" w:leftChars="0" w:firstLine="0" w:firstLineChars="0"/>
                    <w:jc w:val="both"/>
                    <w:rPr>
                      <w:rFonts w:hint="eastAsia" w:ascii="Times New Roman" w:hAnsi="Times New Roman" w:eastAsia="宋体" w:cs="Times New Roman"/>
                      <w:color w:val="auto"/>
                      <w:kern w:val="2"/>
                      <w:sz w:val="21"/>
                      <w:szCs w:val="21"/>
                      <w:lang w:val="en-US" w:eastAsia="zh-CN" w:bidi="ar-SA"/>
                    </w:rPr>
                  </w:pPr>
                  <w:r>
                    <w:rPr>
                      <w:rFonts w:hint="eastAsia"/>
                      <w:bCs/>
                      <w:color w:val="auto"/>
                      <w:sz w:val="21"/>
                      <w:szCs w:val="21"/>
                      <w:vertAlign w:val="baseline"/>
                      <w:lang w:val="en-US" w:eastAsia="zh-CN"/>
                    </w:rPr>
                    <w:t>调墨、印刷废气</w:t>
                  </w:r>
                </w:p>
              </w:tc>
              <w:tc>
                <w:tcPr>
                  <w:tcW w:w="742" w:type="pct"/>
                  <w:tcBorders>
                    <w:tl2br w:val="nil"/>
                    <w:tr2bl w:val="nil"/>
                  </w:tcBorders>
                  <w:vAlign w:val="center"/>
                </w:tcPr>
                <w:p w14:paraId="70909A31">
                  <w:pPr>
                    <w:pStyle w:val="10"/>
                    <w:adjustRightInd w:val="0"/>
                    <w:snapToGrid w:val="0"/>
                    <w:ind w:left="0" w:leftChars="0" w:firstLine="0" w:firstLineChars="0"/>
                    <w:jc w:val="center"/>
                    <w:rPr>
                      <w:rFonts w:hint="default"/>
                      <w:color w:val="auto"/>
                      <w:szCs w:val="21"/>
                      <w:lang w:val="en-US" w:eastAsia="zh-CN"/>
                    </w:rPr>
                  </w:pPr>
                  <w:r>
                    <w:rPr>
                      <w:rFonts w:hint="eastAsia"/>
                      <w:color w:val="auto"/>
                      <w:szCs w:val="21"/>
                      <w:lang w:val="en-US" w:eastAsia="zh-CN"/>
                    </w:rPr>
                    <w:t>70</w:t>
                  </w:r>
                </w:p>
              </w:tc>
              <w:tc>
                <w:tcPr>
                  <w:tcW w:w="560" w:type="pct"/>
                  <w:tcBorders>
                    <w:tl2br w:val="nil"/>
                    <w:tr2bl w:val="nil"/>
                  </w:tcBorders>
                  <w:shd w:val="clear" w:color="auto" w:fill="auto"/>
                  <w:vAlign w:val="center"/>
                </w:tcPr>
                <w:p w14:paraId="601A59D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15</w:t>
                  </w:r>
                </w:p>
              </w:tc>
              <w:tc>
                <w:tcPr>
                  <w:tcW w:w="563" w:type="pct"/>
                  <w:tcBorders>
                    <w:tl2br w:val="nil"/>
                    <w:tr2bl w:val="nil"/>
                  </w:tcBorders>
                  <w:vAlign w:val="center"/>
                </w:tcPr>
                <w:p w14:paraId="2F80D2C6">
                  <w:pPr>
                    <w:adjustRightInd w:val="0"/>
                    <w:snapToGrid w:val="0"/>
                    <w:jc w:val="center"/>
                    <w:rPr>
                      <w:rFonts w:hint="eastAsia" w:eastAsia="宋体"/>
                      <w:color w:val="auto"/>
                      <w:szCs w:val="21"/>
                      <w:lang w:val="en-US" w:eastAsia="zh-CN"/>
                    </w:rPr>
                  </w:pPr>
                  <w:r>
                    <w:rPr>
                      <w:rFonts w:hint="eastAsia"/>
                      <w:color w:val="auto"/>
                      <w:szCs w:val="21"/>
                      <w:lang w:val="en-US" w:eastAsia="zh-CN"/>
                    </w:rPr>
                    <w:t>/</w:t>
                  </w:r>
                </w:p>
              </w:tc>
              <w:tc>
                <w:tcPr>
                  <w:tcW w:w="1170" w:type="pct"/>
                  <w:tcBorders>
                    <w:tl2br w:val="nil"/>
                    <w:tr2bl w:val="nil"/>
                  </w:tcBorders>
                  <w:vAlign w:val="center"/>
                </w:tcPr>
                <w:p w14:paraId="67C080F3">
                  <w:pPr>
                    <w:jc w:val="center"/>
                    <w:rPr>
                      <w:rFonts w:hint="eastAsia" w:ascii="宋体" w:hAnsi="宋体" w:cs="宋体"/>
                      <w:color w:val="auto"/>
                      <w:kern w:val="0"/>
                      <w:sz w:val="21"/>
                      <w:szCs w:val="21"/>
                      <w:lang w:bidi="ar"/>
                    </w:rPr>
                  </w:pPr>
                  <w:r>
                    <w:rPr>
                      <w:rFonts w:hint="eastAsia" w:ascii="宋体" w:hAnsi="宋体" w:cs="宋体"/>
                      <w:color w:val="auto"/>
                      <w:kern w:val="0"/>
                      <w:sz w:val="21"/>
                      <w:szCs w:val="21"/>
                      <w:lang w:bidi="ar"/>
                    </w:rPr>
                    <w:t>《印刷工业大气污染物排放标准》（</w:t>
                  </w:r>
                  <w:r>
                    <w:rPr>
                      <w:rFonts w:hint="eastAsia"/>
                      <w:color w:val="auto"/>
                      <w:kern w:val="0"/>
                      <w:sz w:val="21"/>
                      <w:szCs w:val="21"/>
                      <w:lang w:bidi="ar"/>
                    </w:rPr>
                    <w:t>GB41616-2022</w:t>
                  </w:r>
                  <w:r>
                    <w:rPr>
                      <w:rFonts w:hint="eastAsia" w:ascii="宋体" w:hAnsi="宋体" w:cs="宋体"/>
                      <w:color w:val="auto"/>
                      <w:kern w:val="0"/>
                      <w:sz w:val="21"/>
                      <w:szCs w:val="21"/>
                      <w:lang w:bidi="ar"/>
                    </w:rPr>
                    <w:t>）表</w:t>
                  </w:r>
                  <w:r>
                    <w:rPr>
                      <w:color w:val="auto"/>
                      <w:kern w:val="0"/>
                      <w:sz w:val="21"/>
                      <w:szCs w:val="21"/>
                      <w:lang w:bidi="ar"/>
                    </w:rPr>
                    <w:t>1</w:t>
                  </w:r>
                  <w:r>
                    <w:rPr>
                      <w:rFonts w:hint="eastAsia"/>
                      <w:color w:val="auto"/>
                      <w:kern w:val="0"/>
                      <w:sz w:val="21"/>
                      <w:szCs w:val="21"/>
                      <w:lang w:val="en-US" w:eastAsia="zh-CN" w:bidi="ar"/>
                    </w:rPr>
                    <w:t>中</w:t>
                  </w:r>
                  <w:r>
                    <w:rPr>
                      <w:rFonts w:hint="eastAsia"/>
                      <w:color w:val="auto"/>
                      <w:sz w:val="21"/>
                      <w:szCs w:val="21"/>
                    </w:rPr>
                    <w:t>相</w:t>
                  </w:r>
                  <w:r>
                    <w:rPr>
                      <w:rFonts w:hint="eastAsia"/>
                      <w:bCs/>
                      <w:color w:val="auto"/>
                      <w:sz w:val="21"/>
                      <w:szCs w:val="21"/>
                    </w:rPr>
                    <w:t>关限值</w:t>
                  </w:r>
                </w:p>
              </w:tc>
            </w:tr>
            <w:tr w14:paraId="3589EE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267" w:hRule="atLeast"/>
                <w:jc w:val="center"/>
              </w:trPr>
              <w:tc>
                <w:tcPr>
                  <w:tcW w:w="490" w:type="pct"/>
                  <w:vMerge w:val="restart"/>
                  <w:tcBorders>
                    <w:tl2br w:val="nil"/>
                    <w:tr2bl w:val="nil"/>
                  </w:tcBorders>
                  <w:shd w:val="clear" w:color="auto" w:fill="auto"/>
                  <w:vAlign w:val="center"/>
                </w:tcPr>
                <w:p w14:paraId="4D6591D1">
                  <w:pPr>
                    <w:pStyle w:val="10"/>
                    <w:adjustRightInd w:val="0"/>
                    <w:snapToGrid w:val="0"/>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bCs/>
                      <w:color w:val="auto"/>
                      <w:sz w:val="21"/>
                      <w:szCs w:val="21"/>
                      <w:vertAlign w:val="baseline"/>
                      <w:lang w:val="en-US" w:eastAsia="zh-CN"/>
                    </w:rPr>
                    <w:t>NMHC</w:t>
                  </w:r>
                </w:p>
              </w:tc>
              <w:tc>
                <w:tcPr>
                  <w:tcW w:w="705" w:type="pct"/>
                  <w:vMerge w:val="restart"/>
                  <w:tcBorders>
                    <w:tl2br w:val="nil"/>
                    <w:tr2bl w:val="nil"/>
                  </w:tcBorders>
                  <w:shd w:val="clear" w:color="auto" w:fill="auto"/>
                  <w:vAlign w:val="center"/>
                </w:tcPr>
                <w:p w14:paraId="72FC098D">
                  <w:pPr>
                    <w:pStyle w:val="10"/>
                    <w:adjustRightInd w:val="0"/>
                    <w:snapToGrid w:val="0"/>
                    <w:ind w:left="0" w:leftChars="0" w:firstLine="0" w:firstLineChars="0"/>
                    <w:jc w:val="center"/>
                    <w:rPr>
                      <w:rFonts w:hint="default"/>
                      <w:color w:val="auto"/>
                      <w:szCs w:val="21"/>
                      <w:lang w:val="en-US" w:eastAsia="zh-CN"/>
                    </w:rPr>
                  </w:pPr>
                  <w:r>
                    <w:rPr>
                      <w:rFonts w:hint="eastAsia"/>
                      <w:color w:val="auto"/>
                      <w:szCs w:val="21"/>
                      <w:lang w:val="en-US" w:eastAsia="zh-CN"/>
                    </w:rPr>
                    <w:t>厂区内无组织</w:t>
                  </w:r>
                </w:p>
              </w:tc>
              <w:tc>
                <w:tcPr>
                  <w:tcW w:w="768" w:type="pct"/>
                  <w:vMerge w:val="continue"/>
                  <w:tcBorders>
                    <w:tl2br w:val="nil"/>
                    <w:tr2bl w:val="nil"/>
                  </w:tcBorders>
                  <w:shd w:val="clear" w:color="auto" w:fill="auto"/>
                  <w:vAlign w:val="center"/>
                </w:tcPr>
                <w:p w14:paraId="13ACDA5A">
                  <w:pPr>
                    <w:pStyle w:val="10"/>
                    <w:adjustRightInd w:val="0"/>
                    <w:snapToGrid w:val="0"/>
                    <w:ind w:left="0" w:leftChars="0" w:firstLine="0" w:firstLineChars="0"/>
                    <w:jc w:val="both"/>
                    <w:rPr>
                      <w:rFonts w:hint="eastAsia"/>
                      <w:bCs/>
                      <w:color w:val="auto"/>
                      <w:sz w:val="21"/>
                      <w:szCs w:val="21"/>
                      <w:vertAlign w:val="baseline"/>
                      <w:lang w:val="en-US" w:eastAsia="zh-CN"/>
                    </w:rPr>
                  </w:pPr>
                </w:p>
              </w:tc>
              <w:tc>
                <w:tcPr>
                  <w:tcW w:w="742" w:type="pct"/>
                  <w:tcBorders>
                    <w:tl2br w:val="nil"/>
                    <w:tr2bl w:val="nil"/>
                  </w:tcBorders>
                  <w:vAlign w:val="center"/>
                </w:tcPr>
                <w:p w14:paraId="7520B3A0">
                  <w:pPr>
                    <w:pStyle w:val="10"/>
                    <w:adjustRightInd w:val="0"/>
                    <w:snapToGrid w:val="0"/>
                    <w:ind w:left="0"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1h平均浓度值≤10</w:t>
                  </w:r>
                </w:p>
              </w:tc>
              <w:tc>
                <w:tcPr>
                  <w:tcW w:w="1123" w:type="pct"/>
                  <w:gridSpan w:val="2"/>
                  <w:vMerge w:val="restart"/>
                  <w:tcBorders>
                    <w:tl2br w:val="nil"/>
                    <w:tr2bl w:val="nil"/>
                  </w:tcBorders>
                  <w:vAlign w:val="center"/>
                </w:tcPr>
                <w:p w14:paraId="2817A923">
                  <w:pPr>
                    <w:pStyle w:val="10"/>
                    <w:adjustRightInd w:val="0"/>
                    <w:snapToGrid w:val="0"/>
                    <w:ind w:left="0" w:leftChars="0" w:firstLine="0" w:firstLineChars="0"/>
                    <w:jc w:val="center"/>
                    <w:rPr>
                      <w:rFonts w:hint="default"/>
                      <w:color w:val="auto"/>
                      <w:szCs w:val="21"/>
                      <w:lang w:val="en-US" w:eastAsia="zh-CN"/>
                    </w:rPr>
                  </w:pPr>
                  <w:r>
                    <w:rPr>
                      <w:rFonts w:hint="eastAsia"/>
                      <w:color w:val="auto"/>
                      <w:szCs w:val="21"/>
                      <w:lang w:val="en-US" w:eastAsia="zh-CN"/>
                    </w:rPr>
                    <w:t>/</w:t>
                  </w:r>
                </w:p>
              </w:tc>
              <w:tc>
                <w:tcPr>
                  <w:tcW w:w="1170" w:type="pct"/>
                  <w:vMerge w:val="restart"/>
                  <w:tcBorders>
                    <w:tl2br w:val="nil"/>
                    <w:tr2bl w:val="nil"/>
                  </w:tcBorders>
                  <w:vAlign w:val="center"/>
                </w:tcPr>
                <w:p w14:paraId="4A0F6C1E">
                  <w:pPr>
                    <w:jc w:val="center"/>
                    <w:rPr>
                      <w:rFonts w:hint="default" w:ascii="Times New Roman" w:hAnsi="Times New Roman" w:cs="Times New Roman"/>
                      <w:color w:val="auto"/>
                      <w:sz w:val="21"/>
                      <w:szCs w:val="21"/>
                      <w:lang w:eastAsia="zh-CN"/>
                    </w:rPr>
                  </w:pPr>
                  <w:r>
                    <w:rPr>
                      <w:rFonts w:hint="default" w:ascii="Times New Roman" w:hAnsi="Times New Roman" w:cs="Times New Roman"/>
                      <w:bCs/>
                      <w:color w:val="auto"/>
                      <w:sz w:val="21"/>
                      <w:szCs w:val="21"/>
                      <w:lang w:val="en-US" w:eastAsia="zh-CN"/>
                    </w:rPr>
                    <w:t>江西省地方标准《挥发性有机物综合排放控制标准（试行）》</w:t>
                  </w:r>
                  <w:r>
                    <w:rPr>
                      <w:rFonts w:hint="default" w:ascii="Times New Roman" w:hAnsi="Times New Roman" w:cs="Times New Roman"/>
                      <w:color w:val="auto"/>
                      <w:kern w:val="0"/>
                      <w:sz w:val="21"/>
                      <w:szCs w:val="21"/>
                      <w:lang w:bidi="ar"/>
                    </w:rPr>
                    <w:t>（DB36/2186-2025）</w:t>
                  </w:r>
                  <w:r>
                    <w:rPr>
                      <w:rFonts w:hint="default" w:ascii="Times New Roman" w:hAnsi="Times New Roman" w:cs="Times New Roman"/>
                      <w:color w:val="auto"/>
                      <w:kern w:val="0"/>
                      <w:sz w:val="21"/>
                      <w:szCs w:val="21"/>
                      <w:lang w:val="en-US" w:eastAsia="zh-CN" w:bidi="ar"/>
                    </w:rPr>
                    <w:t>表2中</w:t>
                  </w:r>
                  <w:r>
                    <w:rPr>
                      <w:rFonts w:hint="default" w:ascii="Times New Roman" w:hAnsi="Times New Roman" w:cs="Times New Roman"/>
                      <w:color w:val="auto"/>
                      <w:sz w:val="21"/>
                      <w:szCs w:val="21"/>
                    </w:rPr>
                    <w:t>相</w:t>
                  </w:r>
                  <w:r>
                    <w:rPr>
                      <w:rFonts w:hint="default" w:ascii="Times New Roman" w:hAnsi="Times New Roman" w:cs="Times New Roman"/>
                      <w:bCs/>
                      <w:color w:val="auto"/>
                      <w:sz w:val="21"/>
                      <w:szCs w:val="21"/>
                    </w:rPr>
                    <w:t>关限值</w:t>
                  </w:r>
                </w:p>
              </w:tc>
            </w:tr>
            <w:tr w14:paraId="3A45B2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67" w:hRule="atLeast"/>
                <w:jc w:val="center"/>
              </w:trPr>
              <w:tc>
                <w:tcPr>
                  <w:tcW w:w="490" w:type="pct"/>
                  <w:vMerge w:val="continue"/>
                  <w:tcBorders>
                    <w:tl2br w:val="nil"/>
                    <w:tr2bl w:val="nil"/>
                  </w:tcBorders>
                  <w:shd w:val="clear" w:color="auto" w:fill="auto"/>
                  <w:vAlign w:val="center"/>
                </w:tcPr>
                <w:p w14:paraId="20C29F72">
                  <w:pPr>
                    <w:pStyle w:val="10"/>
                    <w:adjustRightInd w:val="0"/>
                    <w:snapToGrid w:val="0"/>
                    <w:ind w:left="0" w:firstLine="0" w:firstLineChars="0"/>
                    <w:jc w:val="center"/>
                    <w:rPr>
                      <w:color w:val="auto"/>
                    </w:rPr>
                  </w:pPr>
                </w:p>
              </w:tc>
              <w:tc>
                <w:tcPr>
                  <w:tcW w:w="705" w:type="pct"/>
                  <w:vMerge w:val="continue"/>
                  <w:tcBorders>
                    <w:tl2br w:val="nil"/>
                    <w:tr2bl w:val="nil"/>
                  </w:tcBorders>
                  <w:shd w:val="clear" w:color="auto" w:fill="auto"/>
                  <w:vAlign w:val="center"/>
                </w:tcPr>
                <w:p w14:paraId="4B5DD8BC">
                  <w:pPr>
                    <w:pStyle w:val="10"/>
                    <w:adjustRightInd w:val="0"/>
                    <w:snapToGrid w:val="0"/>
                    <w:ind w:left="0" w:firstLine="0" w:firstLineChars="0"/>
                    <w:jc w:val="center"/>
                    <w:rPr>
                      <w:color w:val="auto"/>
                    </w:rPr>
                  </w:pPr>
                </w:p>
              </w:tc>
              <w:tc>
                <w:tcPr>
                  <w:tcW w:w="768" w:type="pct"/>
                  <w:vMerge w:val="continue"/>
                  <w:tcBorders>
                    <w:tl2br w:val="nil"/>
                    <w:tr2bl w:val="nil"/>
                  </w:tcBorders>
                  <w:shd w:val="clear" w:color="auto" w:fill="auto"/>
                  <w:vAlign w:val="center"/>
                </w:tcPr>
                <w:p w14:paraId="783B728E">
                  <w:pPr>
                    <w:pStyle w:val="10"/>
                    <w:adjustRightInd w:val="0"/>
                    <w:snapToGrid w:val="0"/>
                    <w:ind w:left="0" w:firstLine="0" w:firstLineChars="0"/>
                    <w:jc w:val="center"/>
                    <w:rPr>
                      <w:color w:val="auto"/>
                    </w:rPr>
                  </w:pPr>
                </w:p>
              </w:tc>
              <w:tc>
                <w:tcPr>
                  <w:tcW w:w="742" w:type="pct"/>
                  <w:tcBorders>
                    <w:tl2br w:val="nil"/>
                    <w:tr2bl w:val="nil"/>
                  </w:tcBorders>
                  <w:vAlign w:val="center"/>
                </w:tcPr>
                <w:p w14:paraId="4733D472">
                  <w:pPr>
                    <w:pStyle w:val="10"/>
                    <w:adjustRightInd w:val="0"/>
                    <w:snapToGrid w:val="0"/>
                    <w:ind w:left="0" w:firstLine="0" w:firstLineChars="0"/>
                    <w:jc w:val="center"/>
                    <w:rPr>
                      <w:rFonts w:hint="default" w:ascii="Times New Roman" w:hAnsi="Times New Roman" w:cs="Times New Roman"/>
                      <w:color w:val="auto"/>
                      <w:lang w:val="en-US"/>
                    </w:rPr>
                  </w:pPr>
                  <w:r>
                    <w:rPr>
                      <w:rFonts w:hint="default" w:ascii="Times New Roman" w:hAnsi="Times New Roman" w:cs="Times New Roman"/>
                      <w:color w:val="auto"/>
                    </w:rPr>
                    <w:t>任意一次浓度值</w:t>
                  </w:r>
                  <w:r>
                    <w:rPr>
                      <w:rFonts w:hint="default" w:ascii="Times New Roman" w:hAnsi="Times New Roman" w:cs="Times New Roman"/>
                      <w:color w:val="auto"/>
                      <w:szCs w:val="21"/>
                      <w:lang w:val="en-US" w:eastAsia="zh-CN"/>
                    </w:rPr>
                    <w:t>≤30</w:t>
                  </w:r>
                </w:p>
              </w:tc>
              <w:tc>
                <w:tcPr>
                  <w:tcW w:w="1123" w:type="pct"/>
                  <w:gridSpan w:val="2"/>
                  <w:vMerge w:val="continue"/>
                  <w:tcBorders>
                    <w:tl2br w:val="nil"/>
                    <w:tr2bl w:val="nil"/>
                  </w:tcBorders>
                  <w:vAlign w:val="center"/>
                </w:tcPr>
                <w:p w14:paraId="2EA83E85">
                  <w:pPr>
                    <w:pStyle w:val="10"/>
                    <w:adjustRightInd w:val="0"/>
                    <w:snapToGrid w:val="0"/>
                    <w:ind w:left="0" w:firstLine="0" w:firstLineChars="0"/>
                    <w:jc w:val="center"/>
                    <w:rPr>
                      <w:color w:val="auto"/>
                    </w:rPr>
                  </w:pPr>
                </w:p>
              </w:tc>
              <w:tc>
                <w:tcPr>
                  <w:tcW w:w="1170" w:type="pct"/>
                  <w:vMerge w:val="continue"/>
                  <w:tcBorders>
                    <w:tl2br w:val="nil"/>
                    <w:tr2bl w:val="nil"/>
                  </w:tcBorders>
                  <w:vAlign w:val="center"/>
                </w:tcPr>
                <w:p w14:paraId="67EF64B1">
                  <w:pPr>
                    <w:pStyle w:val="10"/>
                    <w:adjustRightInd w:val="0"/>
                    <w:snapToGrid w:val="0"/>
                    <w:ind w:left="0" w:firstLine="0" w:firstLineChars="0"/>
                    <w:jc w:val="center"/>
                    <w:rPr>
                      <w:color w:val="auto"/>
                    </w:rPr>
                  </w:pPr>
                </w:p>
              </w:tc>
            </w:tr>
            <w:tr w14:paraId="0455BD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137" w:hRule="atLeast"/>
                <w:jc w:val="center"/>
              </w:trPr>
              <w:tc>
                <w:tcPr>
                  <w:tcW w:w="490" w:type="pct"/>
                  <w:vMerge w:val="restart"/>
                  <w:tcBorders>
                    <w:tl2br w:val="nil"/>
                    <w:tr2bl w:val="nil"/>
                  </w:tcBorders>
                  <w:shd w:val="clear" w:color="auto" w:fill="auto"/>
                  <w:vAlign w:val="center"/>
                </w:tcPr>
                <w:p w14:paraId="30ED6E38">
                  <w:pPr>
                    <w:pStyle w:val="10"/>
                    <w:adjustRightInd w:val="0"/>
                    <w:snapToGrid w:val="0"/>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bCs/>
                      <w:color w:val="auto"/>
                      <w:sz w:val="21"/>
                      <w:szCs w:val="21"/>
                      <w:vertAlign w:val="baseline"/>
                      <w:lang w:val="en-US" w:eastAsia="zh-CN"/>
                    </w:rPr>
                    <w:t>NMHC</w:t>
                  </w:r>
                </w:p>
              </w:tc>
              <w:tc>
                <w:tcPr>
                  <w:tcW w:w="705" w:type="pct"/>
                  <w:vMerge w:val="restart"/>
                  <w:tcBorders>
                    <w:tl2br w:val="nil"/>
                    <w:tr2bl w:val="nil"/>
                  </w:tcBorders>
                  <w:shd w:val="clear" w:color="auto" w:fill="auto"/>
                  <w:vAlign w:val="center"/>
                </w:tcPr>
                <w:p w14:paraId="6E38E069">
                  <w:pPr>
                    <w:pStyle w:val="10"/>
                    <w:adjustRightInd w:val="0"/>
                    <w:snapToGrid w:val="0"/>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厂界无组织</w:t>
                  </w:r>
                </w:p>
              </w:tc>
              <w:tc>
                <w:tcPr>
                  <w:tcW w:w="768" w:type="pct"/>
                  <w:vMerge w:val="continue"/>
                  <w:tcBorders>
                    <w:tl2br w:val="nil"/>
                    <w:tr2bl w:val="nil"/>
                  </w:tcBorders>
                  <w:shd w:val="clear" w:color="auto" w:fill="auto"/>
                  <w:vAlign w:val="center"/>
                </w:tcPr>
                <w:p w14:paraId="51E8361F">
                  <w:pPr>
                    <w:pStyle w:val="10"/>
                    <w:adjustRightInd w:val="0"/>
                    <w:snapToGrid w:val="0"/>
                    <w:ind w:left="0" w:leftChars="0" w:firstLine="0" w:firstLineChars="0"/>
                    <w:jc w:val="both"/>
                    <w:rPr>
                      <w:rFonts w:hint="eastAsia" w:ascii="Times New Roman" w:hAnsi="Times New Roman" w:eastAsia="宋体" w:cs="Times New Roman"/>
                      <w:color w:val="auto"/>
                      <w:kern w:val="2"/>
                      <w:sz w:val="21"/>
                      <w:szCs w:val="21"/>
                      <w:lang w:val="en-US" w:eastAsia="zh-CN" w:bidi="ar-SA"/>
                    </w:rPr>
                  </w:pPr>
                </w:p>
              </w:tc>
              <w:tc>
                <w:tcPr>
                  <w:tcW w:w="742" w:type="pct"/>
                  <w:tcBorders>
                    <w:tl2br w:val="nil"/>
                    <w:tr2bl w:val="nil"/>
                  </w:tcBorders>
                  <w:vAlign w:val="center"/>
                </w:tcPr>
                <w:p w14:paraId="214242E9">
                  <w:pPr>
                    <w:pStyle w:val="10"/>
                    <w:adjustRightInd w:val="0"/>
                    <w:snapToGrid w:val="0"/>
                    <w:ind w:left="0" w:leftChars="0"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1h平均浓度值≤2</w:t>
                  </w:r>
                </w:p>
              </w:tc>
              <w:tc>
                <w:tcPr>
                  <w:tcW w:w="1123" w:type="pct"/>
                  <w:gridSpan w:val="2"/>
                  <w:vMerge w:val="restart"/>
                  <w:tcBorders>
                    <w:tl2br w:val="nil"/>
                    <w:tr2bl w:val="nil"/>
                  </w:tcBorders>
                  <w:vAlign w:val="center"/>
                </w:tcPr>
                <w:p w14:paraId="77992A7E">
                  <w:pPr>
                    <w:pStyle w:val="10"/>
                    <w:adjustRightInd w:val="0"/>
                    <w:snapToGrid w:val="0"/>
                    <w:ind w:left="0" w:leftChars="0" w:firstLine="0" w:firstLineChars="0"/>
                    <w:jc w:val="center"/>
                    <w:rPr>
                      <w:rFonts w:hint="default"/>
                      <w:color w:val="auto"/>
                      <w:szCs w:val="21"/>
                      <w:lang w:val="en-US" w:eastAsia="zh-CN"/>
                    </w:rPr>
                  </w:pPr>
                  <w:r>
                    <w:rPr>
                      <w:rFonts w:hint="eastAsia"/>
                      <w:color w:val="auto"/>
                      <w:szCs w:val="21"/>
                      <w:lang w:val="en-US" w:eastAsia="zh-CN"/>
                    </w:rPr>
                    <w:t>/</w:t>
                  </w:r>
                </w:p>
              </w:tc>
              <w:tc>
                <w:tcPr>
                  <w:tcW w:w="1170" w:type="pct"/>
                  <w:vMerge w:val="restart"/>
                  <w:tcBorders>
                    <w:tl2br w:val="nil"/>
                    <w:tr2bl w:val="nil"/>
                  </w:tcBorders>
                  <w:vAlign w:val="center"/>
                </w:tcPr>
                <w:p w14:paraId="00095C1F">
                  <w:pPr>
                    <w:jc w:val="center"/>
                    <w:rPr>
                      <w:rFonts w:hint="default" w:ascii="Times New Roman" w:hAnsi="Times New Roman" w:cs="Times New Roman"/>
                      <w:color w:val="auto"/>
                      <w:sz w:val="21"/>
                      <w:szCs w:val="21"/>
                      <w:lang w:eastAsia="zh-CN"/>
                    </w:rPr>
                  </w:pPr>
                  <w:r>
                    <w:rPr>
                      <w:rFonts w:hint="eastAsia" w:cs="Times New Roman"/>
                      <w:bCs/>
                      <w:color w:val="auto"/>
                      <w:sz w:val="21"/>
                      <w:szCs w:val="21"/>
                      <w:lang w:val="en-US" w:eastAsia="zh-CN"/>
                    </w:rPr>
                    <w:t>江西省地方标准《挥发性有机物综合排放控制标准（试行）》</w:t>
                  </w:r>
                  <w:r>
                    <w:rPr>
                      <w:rFonts w:hint="default" w:ascii="Times New Roman" w:hAnsi="Times New Roman" w:cs="Times New Roman"/>
                      <w:color w:val="auto"/>
                      <w:kern w:val="0"/>
                      <w:sz w:val="21"/>
                      <w:szCs w:val="21"/>
                      <w:lang w:bidi="ar"/>
                    </w:rPr>
                    <w:t>（DB36/2186-2025）</w:t>
                  </w:r>
                  <w:r>
                    <w:rPr>
                      <w:rFonts w:hint="default" w:ascii="Times New Roman" w:hAnsi="Times New Roman" w:cs="Times New Roman"/>
                      <w:color w:val="auto"/>
                      <w:kern w:val="0"/>
                      <w:sz w:val="21"/>
                      <w:szCs w:val="21"/>
                      <w:lang w:val="en-US" w:eastAsia="zh-CN" w:bidi="ar"/>
                    </w:rPr>
                    <w:t>表</w:t>
                  </w:r>
                  <w:r>
                    <w:rPr>
                      <w:rFonts w:hint="eastAsia" w:cs="Times New Roman"/>
                      <w:color w:val="auto"/>
                      <w:kern w:val="0"/>
                      <w:sz w:val="21"/>
                      <w:szCs w:val="21"/>
                      <w:lang w:val="en-US" w:eastAsia="zh-CN" w:bidi="ar"/>
                    </w:rPr>
                    <w:t>3</w:t>
                  </w:r>
                  <w:r>
                    <w:rPr>
                      <w:rFonts w:hint="default" w:ascii="Times New Roman" w:hAnsi="Times New Roman" w:cs="Times New Roman"/>
                      <w:color w:val="auto"/>
                      <w:kern w:val="0"/>
                      <w:sz w:val="21"/>
                      <w:szCs w:val="21"/>
                      <w:lang w:val="en-US" w:eastAsia="zh-CN" w:bidi="ar"/>
                    </w:rPr>
                    <w:t>中</w:t>
                  </w:r>
                  <w:r>
                    <w:rPr>
                      <w:rFonts w:hint="default" w:ascii="Times New Roman" w:hAnsi="Times New Roman" w:cs="Times New Roman"/>
                      <w:color w:val="auto"/>
                      <w:sz w:val="21"/>
                      <w:szCs w:val="21"/>
                    </w:rPr>
                    <w:t>相</w:t>
                  </w:r>
                  <w:r>
                    <w:rPr>
                      <w:rFonts w:hint="default" w:ascii="Times New Roman" w:hAnsi="Times New Roman" w:cs="Times New Roman"/>
                      <w:bCs/>
                      <w:color w:val="auto"/>
                      <w:sz w:val="21"/>
                      <w:szCs w:val="21"/>
                    </w:rPr>
                    <w:t>关限值</w:t>
                  </w:r>
                </w:p>
              </w:tc>
            </w:tr>
            <w:tr w14:paraId="2B9399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23" w:hRule="atLeast"/>
                <w:jc w:val="center"/>
              </w:trPr>
              <w:tc>
                <w:tcPr>
                  <w:tcW w:w="490" w:type="pct"/>
                  <w:vMerge w:val="continue"/>
                  <w:tcBorders>
                    <w:tl2br w:val="nil"/>
                    <w:tr2bl w:val="nil"/>
                  </w:tcBorders>
                  <w:shd w:val="clear" w:color="auto" w:fill="auto"/>
                  <w:vAlign w:val="center"/>
                </w:tcPr>
                <w:p w14:paraId="222AC902">
                  <w:pPr>
                    <w:pStyle w:val="10"/>
                    <w:adjustRightInd w:val="0"/>
                    <w:snapToGrid w:val="0"/>
                    <w:ind w:left="0" w:firstLine="0" w:firstLineChars="0"/>
                    <w:jc w:val="center"/>
                    <w:rPr>
                      <w:color w:val="auto"/>
                    </w:rPr>
                  </w:pPr>
                </w:p>
              </w:tc>
              <w:tc>
                <w:tcPr>
                  <w:tcW w:w="705" w:type="pct"/>
                  <w:vMerge w:val="continue"/>
                  <w:tcBorders>
                    <w:tl2br w:val="nil"/>
                    <w:tr2bl w:val="nil"/>
                  </w:tcBorders>
                  <w:shd w:val="clear" w:color="auto" w:fill="auto"/>
                  <w:vAlign w:val="center"/>
                </w:tcPr>
                <w:p w14:paraId="02DDAB09">
                  <w:pPr>
                    <w:pStyle w:val="10"/>
                    <w:adjustRightInd w:val="0"/>
                    <w:snapToGrid w:val="0"/>
                    <w:ind w:left="0" w:firstLine="0" w:firstLineChars="0"/>
                    <w:jc w:val="center"/>
                    <w:rPr>
                      <w:color w:val="auto"/>
                    </w:rPr>
                  </w:pPr>
                </w:p>
              </w:tc>
              <w:tc>
                <w:tcPr>
                  <w:tcW w:w="768" w:type="pct"/>
                  <w:vMerge w:val="continue"/>
                  <w:tcBorders>
                    <w:tl2br w:val="nil"/>
                    <w:tr2bl w:val="nil"/>
                  </w:tcBorders>
                  <w:shd w:val="clear" w:color="auto" w:fill="auto"/>
                  <w:vAlign w:val="center"/>
                </w:tcPr>
                <w:p w14:paraId="5605E7AF">
                  <w:pPr>
                    <w:pStyle w:val="10"/>
                    <w:adjustRightInd w:val="0"/>
                    <w:snapToGrid w:val="0"/>
                    <w:ind w:left="0" w:firstLine="0" w:firstLineChars="0"/>
                    <w:jc w:val="center"/>
                    <w:rPr>
                      <w:color w:val="auto"/>
                    </w:rPr>
                  </w:pPr>
                </w:p>
              </w:tc>
              <w:tc>
                <w:tcPr>
                  <w:tcW w:w="742" w:type="pct"/>
                  <w:tcBorders>
                    <w:tl2br w:val="nil"/>
                    <w:tr2bl w:val="nil"/>
                  </w:tcBorders>
                  <w:vAlign w:val="center"/>
                </w:tcPr>
                <w:p w14:paraId="13D297A9">
                  <w:pPr>
                    <w:pStyle w:val="10"/>
                    <w:adjustRightInd w:val="0"/>
                    <w:snapToGrid w:val="0"/>
                    <w:ind w:left="0" w:leftChars="0" w:firstLine="0" w:firstLineChars="0"/>
                    <w:jc w:val="center"/>
                    <w:rPr>
                      <w:rFonts w:hint="default" w:ascii="Times New Roman" w:hAnsi="Times New Roman" w:cs="Times New Roman"/>
                      <w:color w:val="auto"/>
                      <w:lang w:val="en-US"/>
                    </w:rPr>
                  </w:pPr>
                  <w:r>
                    <w:rPr>
                      <w:rFonts w:hint="default" w:ascii="Times New Roman" w:hAnsi="Times New Roman" w:cs="Times New Roman"/>
                      <w:color w:val="auto"/>
                    </w:rPr>
                    <w:t>任意一次浓度值</w:t>
                  </w:r>
                  <w:r>
                    <w:rPr>
                      <w:rFonts w:hint="default" w:ascii="Times New Roman" w:hAnsi="Times New Roman" w:cs="Times New Roman"/>
                      <w:color w:val="auto"/>
                      <w:szCs w:val="21"/>
                      <w:lang w:val="en-US" w:eastAsia="zh-CN"/>
                    </w:rPr>
                    <w:t>≤4</w:t>
                  </w:r>
                </w:p>
              </w:tc>
              <w:tc>
                <w:tcPr>
                  <w:tcW w:w="1123" w:type="pct"/>
                  <w:gridSpan w:val="2"/>
                  <w:vMerge w:val="continue"/>
                  <w:tcBorders>
                    <w:tl2br w:val="nil"/>
                    <w:tr2bl w:val="nil"/>
                  </w:tcBorders>
                  <w:vAlign w:val="center"/>
                </w:tcPr>
                <w:p w14:paraId="06F9E14A">
                  <w:pPr>
                    <w:pStyle w:val="10"/>
                    <w:adjustRightInd w:val="0"/>
                    <w:snapToGrid w:val="0"/>
                    <w:ind w:left="0" w:firstLine="0" w:firstLineChars="0"/>
                    <w:jc w:val="center"/>
                    <w:rPr>
                      <w:color w:val="auto"/>
                    </w:rPr>
                  </w:pPr>
                </w:p>
              </w:tc>
              <w:tc>
                <w:tcPr>
                  <w:tcW w:w="1170" w:type="pct"/>
                  <w:vMerge w:val="continue"/>
                  <w:tcBorders>
                    <w:tl2br w:val="nil"/>
                    <w:tr2bl w:val="nil"/>
                  </w:tcBorders>
                  <w:vAlign w:val="center"/>
                </w:tcPr>
                <w:p w14:paraId="0A938DF6">
                  <w:pPr>
                    <w:pStyle w:val="10"/>
                    <w:adjustRightInd w:val="0"/>
                    <w:snapToGrid w:val="0"/>
                    <w:ind w:left="0" w:firstLine="0" w:firstLineChars="0"/>
                    <w:jc w:val="center"/>
                    <w:rPr>
                      <w:color w:val="auto"/>
                    </w:rPr>
                  </w:pPr>
                </w:p>
              </w:tc>
            </w:tr>
          </w:tbl>
          <w:p w14:paraId="2A7DAB95">
            <w:pPr>
              <w:pStyle w:val="35"/>
              <w:spacing w:before="0" w:after="0" w:line="360" w:lineRule="auto"/>
              <w:ind w:firstLine="482" w:firstLineChars="200"/>
              <w:rPr>
                <w:color w:val="auto"/>
              </w:rPr>
            </w:pPr>
            <w:r>
              <w:rPr>
                <w:rFonts w:hint="default" w:ascii="Times New Roman" w:hAnsi="Times New Roman" w:cs="Times New Roman"/>
                <w:b/>
                <w:bCs/>
                <w:color w:val="auto"/>
              </w:rPr>
              <w:t>2、废水</w:t>
            </w:r>
          </w:p>
          <w:p w14:paraId="2B0B7D8E">
            <w:pPr>
              <w:spacing w:line="360" w:lineRule="auto"/>
              <w:ind w:firstLine="480" w:firstLineChars="200"/>
              <w:rPr>
                <w:color w:val="auto"/>
                <w:sz w:val="24"/>
              </w:rPr>
            </w:pPr>
            <w:r>
              <w:rPr>
                <w:color w:val="auto"/>
                <w:sz w:val="24"/>
              </w:rPr>
              <w:t>项目</w:t>
            </w:r>
            <w:r>
              <w:rPr>
                <w:rFonts w:hint="eastAsia"/>
                <w:color w:val="auto"/>
                <w:sz w:val="24"/>
              </w:rPr>
              <w:t>废水主要为生活污水。生活污水</w:t>
            </w:r>
            <w:r>
              <w:rPr>
                <w:color w:val="auto"/>
                <w:sz w:val="24"/>
              </w:rPr>
              <w:t>经化粪池预处理</w:t>
            </w:r>
            <w:r>
              <w:rPr>
                <w:rFonts w:hint="eastAsia"/>
                <w:color w:val="auto"/>
                <w:sz w:val="24"/>
              </w:rPr>
              <w:t>后用于周边</w:t>
            </w:r>
            <w:r>
              <w:rPr>
                <w:rFonts w:hint="eastAsia"/>
                <w:color w:val="auto"/>
                <w:sz w:val="24"/>
                <w:szCs w:val="24"/>
                <w:lang w:val="en-US" w:eastAsia="zh-CN"/>
              </w:rPr>
              <w:t>林地</w:t>
            </w:r>
            <w:r>
              <w:rPr>
                <w:rFonts w:hint="eastAsia"/>
                <w:color w:val="auto"/>
                <w:sz w:val="24"/>
                <w:lang w:val="en-US" w:eastAsia="zh-CN"/>
              </w:rPr>
              <w:t>施肥</w:t>
            </w:r>
            <w:r>
              <w:rPr>
                <w:rFonts w:hint="eastAsia"/>
                <w:color w:val="auto"/>
                <w:sz w:val="24"/>
              </w:rPr>
              <w:t>，不外排。</w:t>
            </w:r>
          </w:p>
          <w:p w14:paraId="475396DE">
            <w:pPr>
              <w:pStyle w:val="53"/>
              <w:ind w:left="0" w:leftChars="0" w:firstLine="482" w:firstLineChars="200"/>
              <w:rPr>
                <w:rFonts w:eastAsia="新宋体"/>
                <w:b/>
                <w:bCs/>
                <w:color w:val="auto"/>
              </w:rPr>
            </w:pPr>
            <w:r>
              <w:rPr>
                <w:rFonts w:hint="eastAsia" w:eastAsia="新宋体"/>
                <w:b/>
                <w:bCs/>
                <w:color w:val="auto"/>
              </w:rPr>
              <w:t>3、</w:t>
            </w:r>
            <w:r>
              <w:rPr>
                <w:rFonts w:eastAsia="新宋体"/>
                <w:b/>
                <w:bCs/>
                <w:color w:val="auto"/>
              </w:rPr>
              <w:t>噪声排放标准</w:t>
            </w:r>
          </w:p>
          <w:p w14:paraId="099F9AD1">
            <w:pPr>
              <w:spacing w:line="360" w:lineRule="auto"/>
              <w:ind w:firstLine="480" w:firstLineChars="200"/>
              <w:rPr>
                <w:color w:val="auto"/>
                <w:sz w:val="24"/>
                <w:szCs w:val="20"/>
              </w:rPr>
            </w:pPr>
            <w:r>
              <w:rPr>
                <w:rFonts w:hint="eastAsia" w:ascii="宋体" w:hAnsi="宋体" w:cs="宋体"/>
                <w:bCs/>
                <w:color w:val="auto"/>
                <w:sz w:val="24"/>
              </w:rPr>
              <w:t>营运期项目厂界噪声</w:t>
            </w:r>
            <w:r>
              <w:rPr>
                <w:rFonts w:hint="eastAsia"/>
                <w:color w:val="auto"/>
                <w:sz w:val="24"/>
              </w:rPr>
              <w:t>执行《工业企业</w:t>
            </w:r>
            <w:r>
              <w:rPr>
                <w:rFonts w:hint="eastAsia"/>
                <w:color w:val="auto"/>
                <w:kern w:val="0"/>
                <w:sz w:val="24"/>
                <w:szCs w:val="20"/>
              </w:rPr>
              <w:t>厂界环境噪声排放标准》（GB12348-20</w:t>
            </w:r>
            <w:r>
              <w:rPr>
                <w:rFonts w:hint="eastAsia"/>
                <w:color w:val="auto"/>
                <w:sz w:val="24"/>
              </w:rPr>
              <w:t>08）</w:t>
            </w:r>
            <w:r>
              <w:rPr>
                <w:rFonts w:hint="eastAsia"/>
                <w:color w:val="auto"/>
                <w:sz w:val="24"/>
                <w:lang w:val="en-US" w:eastAsia="zh-CN"/>
              </w:rPr>
              <w:t>2</w:t>
            </w:r>
            <w:r>
              <w:rPr>
                <w:rFonts w:hint="eastAsia" w:ascii="宋体" w:hAnsi="宋体" w:cs="宋体"/>
                <w:bCs/>
                <w:color w:val="auto"/>
                <w:sz w:val="24"/>
              </w:rPr>
              <w:t>类标准，</w:t>
            </w:r>
            <w:r>
              <w:rPr>
                <w:color w:val="auto"/>
                <w:sz w:val="24"/>
                <w:szCs w:val="20"/>
              </w:rPr>
              <w:t>具体限值详见表3-</w:t>
            </w:r>
            <w:r>
              <w:rPr>
                <w:rFonts w:hint="eastAsia"/>
                <w:color w:val="auto"/>
                <w:sz w:val="24"/>
                <w:szCs w:val="20"/>
                <w:lang w:val="en-US" w:eastAsia="zh-CN"/>
              </w:rPr>
              <w:t>5</w:t>
            </w:r>
            <w:r>
              <w:rPr>
                <w:color w:val="auto"/>
                <w:sz w:val="24"/>
                <w:szCs w:val="20"/>
              </w:rPr>
              <w:t>。</w:t>
            </w:r>
          </w:p>
          <w:p w14:paraId="53D73004">
            <w:pPr>
              <w:jc w:val="center"/>
              <w:rPr>
                <w:rFonts w:eastAsia="新宋体"/>
                <w:b/>
                <w:bCs/>
                <w:color w:val="auto"/>
                <w:sz w:val="24"/>
              </w:rPr>
            </w:pPr>
            <w:r>
              <w:rPr>
                <w:rFonts w:eastAsia="新宋体"/>
                <w:b/>
                <w:bCs/>
                <w:color w:val="auto"/>
                <w:sz w:val="24"/>
              </w:rPr>
              <w:t>表3-</w:t>
            </w:r>
            <w:r>
              <w:rPr>
                <w:rFonts w:hint="eastAsia" w:eastAsia="新宋体"/>
                <w:b/>
                <w:bCs/>
                <w:color w:val="auto"/>
                <w:sz w:val="24"/>
                <w:lang w:val="en-US" w:eastAsia="zh-CN"/>
              </w:rPr>
              <w:t>5</w:t>
            </w:r>
            <w:r>
              <w:rPr>
                <w:rFonts w:hint="eastAsia" w:eastAsia="新宋体"/>
                <w:b/>
                <w:bCs/>
                <w:color w:val="auto"/>
                <w:sz w:val="24"/>
              </w:rPr>
              <w:t xml:space="preserve"> </w:t>
            </w:r>
            <w:r>
              <w:rPr>
                <w:rFonts w:eastAsia="新宋体"/>
                <w:b/>
                <w:bCs/>
                <w:color w:val="auto"/>
                <w:sz w:val="24"/>
              </w:rPr>
              <w:t>噪声控制标准单位：dB（A）</w:t>
            </w:r>
          </w:p>
          <w:tbl>
            <w:tblPr>
              <w:tblStyle w:val="29"/>
              <w:tblW w:w="4998"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60"/>
              <w:gridCol w:w="1108"/>
              <w:gridCol w:w="1169"/>
              <w:gridCol w:w="4779"/>
            </w:tblGrid>
            <w:tr w14:paraId="6FD904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808" w:type="pct"/>
                  <w:vAlign w:val="center"/>
                </w:tcPr>
                <w:p w14:paraId="279F4CF7">
                  <w:pPr>
                    <w:pStyle w:val="7"/>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eastAsia="新宋体"/>
                      <w:b/>
                      <w:bCs/>
                      <w:color w:val="auto"/>
                      <w:sz w:val="21"/>
                      <w:szCs w:val="21"/>
                    </w:rPr>
                  </w:pPr>
                  <w:r>
                    <w:rPr>
                      <w:b/>
                      <w:bCs/>
                      <w:color w:val="auto"/>
                      <w:sz w:val="21"/>
                      <w:szCs w:val="21"/>
                    </w:rPr>
                    <w:t>时段</w:t>
                  </w:r>
                </w:p>
              </w:tc>
              <w:tc>
                <w:tcPr>
                  <w:tcW w:w="658" w:type="pct"/>
                  <w:vAlign w:val="center"/>
                </w:tcPr>
                <w:p w14:paraId="6E540DA8">
                  <w:pPr>
                    <w:pStyle w:val="7"/>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eastAsia="新宋体"/>
                      <w:b/>
                      <w:bCs/>
                      <w:color w:val="auto"/>
                      <w:sz w:val="21"/>
                      <w:szCs w:val="21"/>
                    </w:rPr>
                  </w:pPr>
                  <w:r>
                    <w:rPr>
                      <w:b/>
                      <w:bCs/>
                      <w:color w:val="auto"/>
                      <w:sz w:val="21"/>
                      <w:szCs w:val="21"/>
                    </w:rPr>
                    <w:t>昼间</w:t>
                  </w:r>
                </w:p>
              </w:tc>
              <w:tc>
                <w:tcPr>
                  <w:tcW w:w="694" w:type="pct"/>
                  <w:vAlign w:val="center"/>
                </w:tcPr>
                <w:p w14:paraId="4E364BB7">
                  <w:pPr>
                    <w:pStyle w:val="7"/>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eastAsia="新宋体"/>
                      <w:b/>
                      <w:bCs/>
                      <w:color w:val="auto"/>
                      <w:sz w:val="21"/>
                      <w:szCs w:val="21"/>
                    </w:rPr>
                  </w:pPr>
                  <w:r>
                    <w:rPr>
                      <w:b/>
                      <w:bCs/>
                      <w:color w:val="auto"/>
                      <w:sz w:val="21"/>
                      <w:szCs w:val="21"/>
                    </w:rPr>
                    <w:t>夜间</w:t>
                  </w:r>
                </w:p>
              </w:tc>
              <w:tc>
                <w:tcPr>
                  <w:tcW w:w="2838" w:type="pct"/>
                  <w:vAlign w:val="center"/>
                </w:tcPr>
                <w:p w14:paraId="6DE37FEC">
                  <w:pPr>
                    <w:pStyle w:val="7"/>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eastAsia="新宋体"/>
                      <w:b/>
                      <w:bCs/>
                      <w:color w:val="auto"/>
                      <w:sz w:val="21"/>
                      <w:szCs w:val="21"/>
                    </w:rPr>
                  </w:pPr>
                  <w:r>
                    <w:rPr>
                      <w:b/>
                      <w:bCs/>
                      <w:color w:val="auto"/>
                      <w:sz w:val="21"/>
                      <w:szCs w:val="21"/>
                    </w:rPr>
                    <w:t>采用标准</w:t>
                  </w:r>
                </w:p>
              </w:tc>
            </w:tr>
            <w:tr w14:paraId="60C461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808" w:type="pct"/>
                  <w:vAlign w:val="center"/>
                </w:tcPr>
                <w:p w14:paraId="2082632C">
                  <w:pPr>
                    <w:pStyle w:val="7"/>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eastAsia="新宋体"/>
                      <w:color w:val="auto"/>
                      <w:sz w:val="21"/>
                      <w:szCs w:val="21"/>
                    </w:rPr>
                  </w:pPr>
                  <w:r>
                    <w:rPr>
                      <w:color w:val="auto"/>
                      <w:sz w:val="21"/>
                      <w:szCs w:val="21"/>
                    </w:rPr>
                    <w:t>营运期</w:t>
                  </w:r>
                </w:p>
              </w:tc>
              <w:tc>
                <w:tcPr>
                  <w:tcW w:w="658" w:type="pct"/>
                  <w:vAlign w:val="center"/>
                </w:tcPr>
                <w:p w14:paraId="4BAA1B93">
                  <w:pPr>
                    <w:pStyle w:val="7"/>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hint="eastAsia" w:eastAsia="宋体"/>
                      <w:color w:val="auto"/>
                      <w:sz w:val="21"/>
                      <w:szCs w:val="21"/>
                      <w:lang w:val="en-US" w:eastAsia="zh-CN"/>
                    </w:rPr>
                  </w:pPr>
                  <w:r>
                    <w:rPr>
                      <w:color w:val="auto"/>
                      <w:sz w:val="21"/>
                      <w:szCs w:val="21"/>
                    </w:rPr>
                    <w:t>6</w:t>
                  </w:r>
                  <w:r>
                    <w:rPr>
                      <w:rFonts w:hint="eastAsia"/>
                      <w:color w:val="auto"/>
                      <w:sz w:val="21"/>
                      <w:szCs w:val="21"/>
                      <w:lang w:val="en-US" w:eastAsia="zh-CN"/>
                    </w:rPr>
                    <w:t>0</w:t>
                  </w:r>
                </w:p>
              </w:tc>
              <w:tc>
                <w:tcPr>
                  <w:tcW w:w="694" w:type="pct"/>
                  <w:vAlign w:val="center"/>
                </w:tcPr>
                <w:p w14:paraId="5CA3C8E8">
                  <w:pPr>
                    <w:pStyle w:val="7"/>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hint="eastAsia" w:eastAsia="宋体"/>
                      <w:color w:val="auto"/>
                      <w:sz w:val="21"/>
                      <w:szCs w:val="21"/>
                      <w:lang w:val="en-US" w:eastAsia="zh-CN"/>
                    </w:rPr>
                  </w:pPr>
                  <w:r>
                    <w:rPr>
                      <w:color w:val="auto"/>
                      <w:sz w:val="21"/>
                      <w:szCs w:val="21"/>
                    </w:rPr>
                    <w:t>5</w:t>
                  </w:r>
                  <w:r>
                    <w:rPr>
                      <w:rFonts w:hint="eastAsia"/>
                      <w:color w:val="auto"/>
                      <w:sz w:val="21"/>
                      <w:szCs w:val="21"/>
                      <w:lang w:val="en-US" w:eastAsia="zh-CN"/>
                    </w:rPr>
                    <w:t>0</w:t>
                  </w:r>
                </w:p>
              </w:tc>
              <w:tc>
                <w:tcPr>
                  <w:tcW w:w="2838" w:type="pct"/>
                  <w:vAlign w:val="center"/>
                </w:tcPr>
                <w:p w14:paraId="1388968F">
                  <w:pPr>
                    <w:pStyle w:val="7"/>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eastAsia="新宋体"/>
                      <w:color w:val="auto"/>
                      <w:sz w:val="21"/>
                      <w:szCs w:val="21"/>
                    </w:rPr>
                  </w:pPr>
                  <w:r>
                    <w:rPr>
                      <w:color w:val="auto"/>
                      <w:sz w:val="21"/>
                      <w:szCs w:val="21"/>
                    </w:rPr>
                    <w:t>《工业企业厂界环境噪声排放标准》</w:t>
                  </w:r>
                  <w:r>
                    <w:rPr>
                      <w:rFonts w:hint="eastAsia"/>
                      <w:color w:val="auto"/>
                      <w:sz w:val="21"/>
                      <w:szCs w:val="21"/>
                      <w:lang w:eastAsia="zh-CN"/>
                    </w:rPr>
                    <w:t>（</w:t>
                  </w:r>
                  <w:r>
                    <w:rPr>
                      <w:color w:val="auto"/>
                      <w:sz w:val="21"/>
                      <w:szCs w:val="21"/>
                    </w:rPr>
                    <w:t>GB12348-2008</w:t>
                  </w:r>
                  <w:r>
                    <w:rPr>
                      <w:rFonts w:hint="eastAsia"/>
                      <w:color w:val="auto"/>
                      <w:sz w:val="21"/>
                      <w:szCs w:val="21"/>
                      <w:lang w:eastAsia="zh-CN"/>
                    </w:rPr>
                    <w:t>）</w:t>
                  </w:r>
                  <w:r>
                    <w:rPr>
                      <w:rFonts w:hint="eastAsia"/>
                      <w:color w:val="auto"/>
                      <w:sz w:val="21"/>
                      <w:szCs w:val="21"/>
                      <w:lang w:val="en-US" w:eastAsia="zh-CN"/>
                    </w:rPr>
                    <w:t>2</w:t>
                  </w:r>
                  <w:r>
                    <w:rPr>
                      <w:color w:val="auto"/>
                      <w:sz w:val="21"/>
                      <w:szCs w:val="21"/>
                    </w:rPr>
                    <w:t>类区标准</w:t>
                  </w:r>
                </w:p>
              </w:tc>
            </w:tr>
          </w:tbl>
          <w:p w14:paraId="2F5DA4B6">
            <w:pPr>
              <w:tabs>
                <w:tab w:val="left" w:pos="6840"/>
              </w:tabs>
              <w:spacing w:line="360" w:lineRule="auto"/>
              <w:ind w:firstLine="482" w:firstLineChars="200"/>
              <w:rPr>
                <w:rFonts w:hAnsi="宋体"/>
                <w:b/>
                <w:bCs/>
                <w:color w:val="auto"/>
                <w:sz w:val="24"/>
              </w:rPr>
            </w:pPr>
            <w:r>
              <w:rPr>
                <w:rFonts w:hint="eastAsia" w:hAnsi="宋体"/>
                <w:b/>
                <w:bCs/>
                <w:color w:val="auto"/>
                <w:sz w:val="24"/>
              </w:rPr>
              <w:t>4、固体废物</w:t>
            </w:r>
          </w:p>
          <w:p w14:paraId="2175FD84">
            <w:pPr>
              <w:pStyle w:val="12"/>
              <w:spacing w:line="360" w:lineRule="auto"/>
              <w:ind w:firstLine="480" w:firstLineChars="200"/>
              <w:jc w:val="both"/>
              <w:rPr>
                <w:rFonts w:ascii="宋体" w:hAnsi="宋体" w:cs="宋体"/>
                <w:color w:val="auto"/>
                <w:szCs w:val="21"/>
              </w:rPr>
            </w:pPr>
            <w:r>
              <w:rPr>
                <w:color w:val="auto"/>
              </w:rPr>
              <w:t>一般固体废物满足相应防渗漏、防雨淋、防扬尘等环境保护要求；危险废物暂存执行《危险废物贮存污染控制标准》（GB18597-2023）。</w:t>
            </w:r>
          </w:p>
        </w:tc>
      </w:tr>
      <w:tr w14:paraId="5CB03F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32" w:hRule="atLeast"/>
          <w:jc w:val="center"/>
        </w:trPr>
        <w:tc>
          <w:tcPr>
            <w:tcW w:w="235" w:type="pct"/>
            <w:vAlign w:val="center"/>
          </w:tcPr>
          <w:p w14:paraId="606A65EA">
            <w:pPr>
              <w:adjustRightInd w:val="0"/>
              <w:snapToGrid w:val="0"/>
              <w:jc w:val="left"/>
              <w:rPr>
                <w:rFonts w:ascii="宋体" w:hAnsi="宋体" w:cs="宋体"/>
                <w:color w:val="auto"/>
                <w:kern w:val="0"/>
                <w:szCs w:val="21"/>
              </w:rPr>
            </w:pPr>
            <w:r>
              <w:rPr>
                <w:rFonts w:hint="eastAsia" w:ascii="宋体" w:hAnsi="宋体" w:cs="宋体"/>
                <w:color w:val="auto"/>
                <w:kern w:val="0"/>
                <w:szCs w:val="21"/>
              </w:rPr>
              <w:t>总量</w:t>
            </w:r>
          </w:p>
          <w:p w14:paraId="1E8E581F">
            <w:pPr>
              <w:adjustRightInd w:val="0"/>
              <w:snapToGrid w:val="0"/>
              <w:jc w:val="left"/>
              <w:rPr>
                <w:rFonts w:ascii="宋体" w:hAnsi="宋体" w:cs="宋体"/>
                <w:color w:val="auto"/>
                <w:kern w:val="0"/>
                <w:szCs w:val="21"/>
              </w:rPr>
            </w:pPr>
            <w:r>
              <w:rPr>
                <w:rFonts w:hint="eastAsia" w:ascii="宋体" w:hAnsi="宋体" w:cs="宋体"/>
                <w:color w:val="auto"/>
                <w:kern w:val="0"/>
                <w:szCs w:val="21"/>
              </w:rPr>
              <w:t>控制</w:t>
            </w:r>
          </w:p>
          <w:p w14:paraId="03C7B302">
            <w:pPr>
              <w:adjustRightInd w:val="0"/>
              <w:snapToGrid w:val="0"/>
              <w:jc w:val="left"/>
              <w:rPr>
                <w:rFonts w:ascii="宋体" w:hAnsi="宋体" w:cs="宋体"/>
                <w:color w:val="auto"/>
                <w:kern w:val="0"/>
                <w:szCs w:val="21"/>
              </w:rPr>
            </w:pPr>
            <w:r>
              <w:rPr>
                <w:rFonts w:hint="eastAsia" w:ascii="宋体" w:hAnsi="宋体" w:cs="宋体"/>
                <w:color w:val="auto"/>
                <w:kern w:val="0"/>
                <w:szCs w:val="21"/>
              </w:rPr>
              <w:t>指标</w:t>
            </w:r>
          </w:p>
        </w:tc>
        <w:tc>
          <w:tcPr>
            <w:tcW w:w="4764" w:type="pct"/>
            <w:vAlign w:val="center"/>
          </w:tcPr>
          <w:p w14:paraId="71A19488">
            <w:pPr>
              <w:pStyle w:val="87"/>
              <w:spacing w:line="360" w:lineRule="auto"/>
              <w:ind w:firstLine="480" w:firstLineChars="200"/>
              <w:jc w:val="left"/>
              <w:rPr>
                <w:rFonts w:ascii="Times New Roman" w:hAnsi="Times New Roman" w:cs="Times New Roman"/>
                <w:color w:val="auto"/>
                <w:sz w:val="24"/>
                <w:szCs w:val="24"/>
                <w:lang w:eastAsia="zh-CN"/>
              </w:rPr>
            </w:pPr>
            <w:r>
              <w:rPr>
                <w:rFonts w:ascii="Times New Roman" w:hAnsi="Times New Roman" w:cs="Times New Roman"/>
                <w:color w:val="auto"/>
                <w:sz w:val="24"/>
                <w:szCs w:val="24"/>
                <w:lang w:eastAsia="zh-CN"/>
              </w:rPr>
              <w:t>污染物排放实施总量控制是执行环保管理目标责任制的基本原则之一。本环评结合环保管理要求，对项目主要污染物的排放量进行总量控制分析。根据《关于印发</w:t>
            </w:r>
            <w:r>
              <w:rPr>
                <w:rFonts w:hint="eastAsia" w:ascii="Times New Roman" w:hAnsi="Times New Roman" w:cs="Times New Roman"/>
                <w:color w:val="auto"/>
                <w:sz w:val="24"/>
                <w:szCs w:val="24"/>
                <w:lang w:eastAsia="zh-CN"/>
              </w:rPr>
              <w:t>“</w:t>
            </w:r>
            <w:r>
              <w:rPr>
                <w:rFonts w:ascii="Times New Roman" w:hAnsi="Times New Roman" w:cs="Times New Roman"/>
                <w:color w:val="auto"/>
                <w:sz w:val="24"/>
                <w:szCs w:val="24"/>
                <w:lang w:eastAsia="zh-CN"/>
              </w:rPr>
              <w:t>十四五</w:t>
            </w:r>
            <w:r>
              <w:rPr>
                <w:rFonts w:hint="eastAsia" w:ascii="Times New Roman" w:hAnsi="Times New Roman" w:cs="Times New Roman"/>
                <w:color w:val="auto"/>
                <w:sz w:val="24"/>
                <w:szCs w:val="24"/>
                <w:lang w:eastAsia="zh-CN"/>
              </w:rPr>
              <w:t>”</w:t>
            </w:r>
            <w:r>
              <w:rPr>
                <w:rFonts w:ascii="Times New Roman" w:hAnsi="Times New Roman" w:cs="Times New Roman"/>
                <w:color w:val="auto"/>
                <w:sz w:val="24"/>
                <w:szCs w:val="24"/>
                <w:lang w:eastAsia="zh-CN"/>
              </w:rPr>
              <w:t>生态保护监管规划的通知 》（环生态〔2022〕15 号）以及《江西省</w:t>
            </w:r>
            <w:r>
              <w:rPr>
                <w:rFonts w:hint="eastAsia" w:ascii="Times New Roman" w:hAnsi="Times New Roman" w:cs="Times New Roman"/>
                <w:color w:val="auto"/>
                <w:sz w:val="24"/>
                <w:szCs w:val="24"/>
                <w:lang w:eastAsia="zh-CN"/>
              </w:rPr>
              <w:t>“</w:t>
            </w:r>
            <w:r>
              <w:rPr>
                <w:rFonts w:ascii="Times New Roman" w:hAnsi="Times New Roman" w:cs="Times New Roman"/>
                <w:color w:val="auto"/>
                <w:sz w:val="24"/>
                <w:szCs w:val="24"/>
                <w:lang w:eastAsia="zh-CN"/>
              </w:rPr>
              <w:t>十四五</w:t>
            </w:r>
            <w:r>
              <w:rPr>
                <w:rFonts w:hint="eastAsia" w:ascii="Times New Roman" w:hAnsi="Times New Roman" w:cs="Times New Roman"/>
                <w:color w:val="auto"/>
                <w:sz w:val="24"/>
                <w:szCs w:val="24"/>
                <w:lang w:eastAsia="zh-CN"/>
              </w:rPr>
              <w:t>”</w:t>
            </w:r>
            <w:r>
              <w:rPr>
                <w:rFonts w:ascii="Times New Roman" w:hAnsi="Times New Roman" w:cs="Times New Roman"/>
                <w:color w:val="auto"/>
                <w:sz w:val="24"/>
                <w:szCs w:val="24"/>
                <w:lang w:eastAsia="zh-CN"/>
              </w:rPr>
              <w:t>生态环境 保护规划的通知》（赣府发〔2021〕25 号），建设项目总量指标审核和管理的污染物范围包括：NO</w:t>
            </w:r>
            <w:r>
              <w:rPr>
                <w:rFonts w:hint="eastAsia" w:ascii="Times New Roman" w:hAnsi="Times New Roman" w:cs="Times New Roman"/>
                <w:color w:val="auto"/>
                <w:sz w:val="24"/>
                <w:szCs w:val="24"/>
                <w:vertAlign w:val="subscript"/>
                <w:lang w:eastAsia="zh-CN"/>
              </w:rPr>
              <w:t>X</w:t>
            </w:r>
            <w:r>
              <w:rPr>
                <w:rFonts w:ascii="Times New Roman" w:hAnsi="Times New Roman" w:cs="Times New Roman"/>
                <w:color w:val="auto"/>
                <w:sz w:val="24"/>
                <w:szCs w:val="24"/>
                <w:lang w:eastAsia="zh-CN"/>
              </w:rPr>
              <w:t xml:space="preserve"> 、挥发性有机物及 COD</w:t>
            </w:r>
            <w:r>
              <w:rPr>
                <w:rFonts w:hint="eastAsia" w:ascii="Times New Roman" w:hAnsi="Times New Roman" w:cs="Times New Roman"/>
                <w:color w:val="auto"/>
                <w:sz w:val="24"/>
                <w:szCs w:val="24"/>
                <w:lang w:eastAsia="zh-CN"/>
              </w:rPr>
              <w:t>cr</w:t>
            </w:r>
            <w:r>
              <w:rPr>
                <w:rFonts w:ascii="Times New Roman" w:hAnsi="Times New Roman" w:cs="Times New Roman"/>
                <w:color w:val="auto"/>
                <w:sz w:val="24"/>
                <w:szCs w:val="24"/>
                <w:lang w:eastAsia="zh-CN"/>
              </w:rPr>
              <w:t>、NH</w:t>
            </w:r>
            <w:r>
              <w:rPr>
                <w:rFonts w:ascii="Times New Roman" w:hAnsi="Times New Roman" w:cs="Times New Roman"/>
                <w:color w:val="auto"/>
                <w:sz w:val="24"/>
                <w:szCs w:val="24"/>
                <w:vertAlign w:val="subscript"/>
                <w:lang w:eastAsia="zh-CN"/>
              </w:rPr>
              <w:t>3</w:t>
            </w:r>
            <w:r>
              <w:rPr>
                <w:rFonts w:ascii="Times New Roman" w:hAnsi="Times New Roman" w:cs="Times New Roman"/>
                <w:color w:val="auto"/>
                <w:sz w:val="24"/>
                <w:szCs w:val="24"/>
                <w:lang w:eastAsia="zh-CN"/>
              </w:rPr>
              <w:t>-N。</w:t>
            </w:r>
          </w:p>
          <w:p w14:paraId="594B9DD5">
            <w:pPr>
              <w:spacing w:line="360" w:lineRule="auto"/>
              <w:ind w:firstLine="482" w:firstLineChars="200"/>
              <w:rPr>
                <w:b/>
                <w:bCs/>
                <w:color w:val="auto"/>
                <w:sz w:val="24"/>
                <w:lang w:val="zh-CN"/>
              </w:rPr>
            </w:pPr>
            <w:r>
              <w:rPr>
                <w:b/>
                <w:bCs/>
                <w:color w:val="auto"/>
                <w:sz w:val="24"/>
                <w:lang w:val="zh-CN"/>
              </w:rPr>
              <w:t>2、废</w:t>
            </w:r>
            <w:r>
              <w:rPr>
                <w:rFonts w:hint="eastAsia"/>
                <w:b/>
                <w:bCs/>
                <w:color w:val="auto"/>
                <w:sz w:val="24"/>
                <w:lang w:val="en-US" w:eastAsia="zh-CN"/>
              </w:rPr>
              <w:t>水</w:t>
            </w:r>
            <w:r>
              <w:rPr>
                <w:b/>
                <w:bCs/>
                <w:color w:val="auto"/>
                <w:sz w:val="24"/>
                <w:lang w:val="zh-CN"/>
              </w:rPr>
              <w:t>污染物总量控制指标</w:t>
            </w:r>
          </w:p>
          <w:p w14:paraId="10C86299">
            <w:pPr>
              <w:spacing w:line="360" w:lineRule="auto"/>
              <w:ind w:firstLine="480" w:firstLineChars="200"/>
              <w:rPr>
                <w:color w:val="auto"/>
                <w:sz w:val="24"/>
              </w:rPr>
            </w:pPr>
            <w:r>
              <w:rPr>
                <w:color w:val="auto"/>
                <w:sz w:val="24"/>
              </w:rPr>
              <w:t>本项目废水总量控制因子为COD</w:t>
            </w:r>
            <w:r>
              <w:rPr>
                <w:color w:val="auto"/>
                <w:sz w:val="24"/>
                <w:vertAlign w:val="subscript"/>
              </w:rPr>
              <w:t>Cr</w:t>
            </w:r>
            <w:r>
              <w:rPr>
                <w:color w:val="auto"/>
                <w:sz w:val="24"/>
              </w:rPr>
              <w:t xml:space="preserve"> 、NH</w:t>
            </w:r>
            <w:r>
              <w:rPr>
                <w:color w:val="auto"/>
                <w:sz w:val="24"/>
                <w:vertAlign w:val="subscript"/>
              </w:rPr>
              <w:t>3</w:t>
            </w:r>
            <w:r>
              <w:rPr>
                <w:color w:val="auto"/>
                <w:sz w:val="24"/>
              </w:rPr>
              <w:t>-N。</w:t>
            </w:r>
            <w:r>
              <w:rPr>
                <w:rFonts w:hint="eastAsia"/>
                <w:color w:val="auto"/>
                <w:sz w:val="24"/>
              </w:rPr>
              <w:t>项目无生产废水</w:t>
            </w:r>
            <w:r>
              <w:rPr>
                <w:color w:val="auto"/>
                <w:sz w:val="24"/>
              </w:rPr>
              <w:t>，</w:t>
            </w:r>
            <w:r>
              <w:rPr>
                <w:rFonts w:hint="eastAsia"/>
                <w:color w:val="auto"/>
                <w:sz w:val="24"/>
              </w:rPr>
              <w:t>生活污水经化粪池处理</w:t>
            </w:r>
            <w:r>
              <w:rPr>
                <w:color w:val="auto"/>
                <w:sz w:val="24"/>
                <w:lang w:val="zh-CN"/>
              </w:rPr>
              <w:t>后</w:t>
            </w:r>
            <w:r>
              <w:rPr>
                <w:rFonts w:hint="eastAsia"/>
                <w:color w:val="auto"/>
                <w:sz w:val="24"/>
              </w:rPr>
              <w:t>用于周边</w:t>
            </w:r>
            <w:r>
              <w:rPr>
                <w:rFonts w:hint="eastAsia"/>
                <w:color w:val="auto"/>
                <w:sz w:val="24"/>
                <w:szCs w:val="24"/>
                <w:lang w:val="en-US" w:eastAsia="zh-CN"/>
              </w:rPr>
              <w:t>林地</w:t>
            </w:r>
            <w:r>
              <w:rPr>
                <w:rFonts w:hint="eastAsia"/>
                <w:color w:val="auto"/>
                <w:sz w:val="24"/>
                <w:lang w:val="en-US" w:eastAsia="zh-CN"/>
              </w:rPr>
              <w:t>施肥</w:t>
            </w:r>
            <w:r>
              <w:rPr>
                <w:rFonts w:hint="eastAsia"/>
                <w:color w:val="auto"/>
                <w:sz w:val="24"/>
              </w:rPr>
              <w:t>，不外排。</w:t>
            </w:r>
          </w:p>
          <w:p w14:paraId="77A4214B">
            <w:pPr>
              <w:pStyle w:val="5"/>
              <w:ind w:firstLine="480"/>
              <w:rPr>
                <w:color w:val="auto"/>
              </w:rPr>
            </w:pPr>
            <w:r>
              <w:rPr>
                <w:rFonts w:hint="eastAsia"/>
                <w:color w:val="auto"/>
              </w:rPr>
              <w:t>故本项目无需进行废水总量控制。</w:t>
            </w:r>
          </w:p>
          <w:p w14:paraId="6E02A9B7">
            <w:pPr>
              <w:spacing w:line="360" w:lineRule="auto"/>
              <w:ind w:firstLine="482" w:firstLineChars="200"/>
              <w:rPr>
                <w:b/>
                <w:bCs/>
                <w:color w:val="auto"/>
                <w:sz w:val="24"/>
                <w:lang w:val="zh-CN"/>
              </w:rPr>
            </w:pPr>
            <w:r>
              <w:rPr>
                <w:b/>
                <w:bCs/>
                <w:color w:val="auto"/>
                <w:sz w:val="24"/>
                <w:lang w:val="zh-CN"/>
              </w:rPr>
              <w:t>2、废气污染物总量控制指标</w:t>
            </w:r>
          </w:p>
          <w:p w14:paraId="1CF892F4">
            <w:pPr>
              <w:pStyle w:val="94"/>
              <w:adjustRightInd/>
              <w:snapToGrid/>
              <w:spacing w:line="360" w:lineRule="auto"/>
              <w:ind w:left="0" w:leftChars="0" w:firstLine="480" w:firstLineChars="200"/>
              <w:rPr>
                <w:rFonts w:hint="default" w:ascii="Times New Roman" w:hAnsi="Times New Roman" w:cs="Times New Roman"/>
                <w:color w:val="auto"/>
                <w:sz w:val="24"/>
                <w:szCs w:val="24"/>
              </w:rPr>
            </w:pPr>
            <w:r>
              <w:rPr>
                <w:color w:val="auto"/>
                <w:sz w:val="24"/>
                <w:szCs w:val="24"/>
              </w:rPr>
              <w:t>本项目</w:t>
            </w:r>
            <w:r>
              <w:rPr>
                <w:rFonts w:hint="eastAsia"/>
                <w:color w:val="auto"/>
                <w:sz w:val="24"/>
                <w:szCs w:val="24"/>
                <w:lang w:val="en-US" w:eastAsia="zh-CN"/>
              </w:rPr>
              <w:t>生产过程</w:t>
            </w:r>
            <w:r>
              <w:rPr>
                <w:rFonts w:hint="default" w:ascii="Times New Roman" w:hAnsi="Times New Roman" w:cs="Times New Roman"/>
                <w:color w:val="auto"/>
                <w:sz w:val="24"/>
                <w:szCs w:val="24"/>
                <w:lang w:val="en-US" w:eastAsia="zh-CN"/>
              </w:rPr>
              <w:t>中会产生废气</w:t>
            </w:r>
            <w:r>
              <w:rPr>
                <w:rFonts w:hint="default" w:ascii="Times New Roman" w:hAnsi="Times New Roman" w:cs="Times New Roman"/>
                <w:bCs/>
                <w:color w:val="auto"/>
                <w:sz w:val="24"/>
                <w:szCs w:val="24"/>
                <w:vertAlign w:val="baseline"/>
                <w:lang w:val="en-US" w:eastAsia="zh-CN"/>
              </w:rPr>
              <w:t>NMHC</w:t>
            </w:r>
            <w:r>
              <w:rPr>
                <w:rFonts w:hint="eastAsia" w:ascii="Times New Roman" w:hAnsi="Times New Roman" w:cs="Times New Roman"/>
                <w:snapToGrid w:val="0"/>
                <w:color w:val="auto"/>
                <w:kern w:val="0"/>
                <w:sz w:val="24"/>
                <w:szCs w:val="24"/>
                <w:lang w:val="en-US" w:eastAsia="zh-CN"/>
              </w:rPr>
              <w:t>（以VOCs计）。</w:t>
            </w:r>
          </w:p>
          <w:p w14:paraId="03F0E482">
            <w:pPr>
              <w:spacing w:line="360" w:lineRule="auto"/>
              <w:ind w:left="479" w:leftChars="228"/>
              <w:jc w:val="left"/>
              <w:rPr>
                <w:rFonts w:hint="default"/>
                <w:color w:val="auto"/>
                <w:sz w:val="24"/>
                <w:lang w:val="en-US"/>
              </w:rPr>
            </w:pPr>
            <w:r>
              <w:rPr>
                <w:color w:val="auto"/>
                <w:sz w:val="24"/>
              </w:rPr>
              <w:t>根据表4-</w:t>
            </w:r>
            <w:r>
              <w:rPr>
                <w:rFonts w:hint="eastAsia"/>
                <w:color w:val="auto"/>
                <w:sz w:val="24"/>
              </w:rPr>
              <w:t>1</w:t>
            </w:r>
            <w:r>
              <w:rPr>
                <w:color w:val="auto"/>
                <w:sz w:val="24"/>
              </w:rPr>
              <w:t>源强核算，</w:t>
            </w:r>
            <w:r>
              <w:rPr>
                <w:rFonts w:hint="eastAsia"/>
                <w:color w:val="auto"/>
                <w:sz w:val="24"/>
                <w:lang w:val="en-US" w:eastAsia="zh-CN"/>
              </w:rPr>
              <w:t>项目</w:t>
            </w:r>
            <w:r>
              <w:rPr>
                <w:rFonts w:hint="eastAsia" w:ascii="Times New Roman" w:hAnsi="Times New Roman" w:cs="Times New Roman"/>
                <w:snapToGrid w:val="0"/>
                <w:color w:val="auto"/>
                <w:kern w:val="0"/>
                <w:sz w:val="24"/>
                <w:szCs w:val="24"/>
                <w:lang w:val="en-US" w:eastAsia="zh-CN"/>
              </w:rPr>
              <w:t>VOC</w:t>
            </w:r>
            <w:r>
              <w:rPr>
                <w:rFonts w:hint="eastAsia" w:ascii="Times New Roman" w:hAnsi="Times New Roman" w:cs="Times New Roman"/>
                <w:snapToGrid w:val="0"/>
                <w:color w:val="auto"/>
                <w:kern w:val="0"/>
                <w:sz w:val="24"/>
                <w:szCs w:val="24"/>
                <w:vertAlign w:val="subscript"/>
                <w:lang w:val="en-US" w:eastAsia="zh-CN"/>
              </w:rPr>
              <w:t>S</w:t>
            </w:r>
            <w:r>
              <w:rPr>
                <w:color w:val="auto"/>
                <w:sz w:val="24"/>
              </w:rPr>
              <w:t>的排放量为</w:t>
            </w:r>
            <w:r>
              <w:rPr>
                <w:rFonts w:hint="eastAsia" w:cs="Times New Roman"/>
                <w:b w:val="0"/>
                <w:bCs w:val="0"/>
                <w:color w:val="auto"/>
                <w:sz w:val="24"/>
                <w:szCs w:val="24"/>
                <w:vertAlign w:val="baseline"/>
                <w:lang w:val="en-US" w:eastAsia="zh-CN"/>
              </w:rPr>
              <w:t>0.713</w:t>
            </w:r>
            <w:r>
              <w:rPr>
                <w:rFonts w:hint="eastAsia"/>
                <w:color w:val="auto"/>
                <w:sz w:val="24"/>
                <w:lang w:val="en-US" w:eastAsia="zh-CN"/>
              </w:rPr>
              <w:t>t/a。</w:t>
            </w:r>
          </w:p>
          <w:p w14:paraId="676BB2A7">
            <w:pPr>
              <w:spacing w:line="360" w:lineRule="auto"/>
              <w:ind w:left="479" w:leftChars="228"/>
              <w:jc w:val="left"/>
              <w:rPr>
                <w:rFonts w:hint="default" w:ascii="Times New Roman" w:hAnsi="Times New Roman" w:eastAsia="宋体" w:cs="Times New Roman"/>
                <w:color w:val="auto"/>
                <w:sz w:val="24"/>
                <w:szCs w:val="24"/>
              </w:rPr>
            </w:pPr>
            <w:r>
              <w:rPr>
                <w:rFonts w:hint="eastAsia"/>
                <w:color w:val="auto"/>
                <w:sz w:val="24"/>
                <w:lang w:val="en-US" w:eastAsia="zh-CN"/>
              </w:rPr>
              <w:t>故本项目</w:t>
            </w:r>
            <w:r>
              <w:rPr>
                <w:rFonts w:hint="eastAsia" w:ascii="Times New Roman" w:hAnsi="Times New Roman" w:cs="Times New Roman"/>
                <w:snapToGrid w:val="0"/>
                <w:color w:val="auto"/>
                <w:kern w:val="0"/>
                <w:sz w:val="24"/>
                <w:szCs w:val="24"/>
                <w:lang w:val="en-US" w:eastAsia="zh-CN"/>
              </w:rPr>
              <w:t>VOC</w:t>
            </w:r>
            <w:r>
              <w:rPr>
                <w:rFonts w:hint="eastAsia" w:ascii="Times New Roman" w:hAnsi="Times New Roman" w:cs="Times New Roman"/>
                <w:snapToGrid w:val="0"/>
                <w:color w:val="auto"/>
                <w:kern w:val="0"/>
                <w:sz w:val="24"/>
                <w:szCs w:val="24"/>
                <w:vertAlign w:val="subscript"/>
                <w:lang w:val="en-US" w:eastAsia="zh-CN"/>
              </w:rPr>
              <w:t>S</w:t>
            </w:r>
            <w:r>
              <w:rPr>
                <w:color w:val="auto"/>
                <w:sz w:val="24"/>
              </w:rPr>
              <w:t>控制量为</w:t>
            </w:r>
            <w:r>
              <w:rPr>
                <w:rFonts w:hint="default" w:ascii="Times New Roman" w:hAnsi="Times New Roman" w:eastAsia="宋体" w:cs="Times New Roman"/>
                <w:color w:val="auto"/>
                <w:sz w:val="24"/>
                <w:szCs w:val="24"/>
                <w:lang w:val="zh-CN"/>
              </w:rPr>
              <w:t>：</w:t>
            </w:r>
            <w:r>
              <w:rPr>
                <w:rFonts w:hint="eastAsia" w:cs="Times New Roman"/>
                <w:b w:val="0"/>
                <w:bCs w:val="0"/>
                <w:color w:val="auto"/>
                <w:sz w:val="24"/>
                <w:szCs w:val="24"/>
                <w:vertAlign w:val="baseline"/>
                <w:lang w:val="en-US" w:eastAsia="zh-CN"/>
              </w:rPr>
              <w:t>0.713</w:t>
            </w:r>
            <w:r>
              <w:rPr>
                <w:rFonts w:hint="eastAsia"/>
                <w:color w:val="auto"/>
                <w:sz w:val="24"/>
                <w:lang w:val="en-US" w:eastAsia="zh-CN"/>
              </w:rPr>
              <w:t>t/a</w:t>
            </w:r>
          </w:p>
        </w:tc>
      </w:tr>
    </w:tbl>
    <w:p w14:paraId="281A4F4B">
      <w:pPr>
        <w:pStyle w:val="24"/>
        <w:spacing w:before="0" w:beforeAutospacing="0" w:after="0" w:afterAutospacing="0"/>
        <w:jc w:val="center"/>
        <w:rPr>
          <w:rFonts w:ascii="Times New Roman" w:hAnsi="Times New Roman"/>
          <w:snapToGrid w:val="0"/>
          <w:color w:val="auto"/>
          <w:sz w:val="30"/>
          <w:szCs w:val="30"/>
        </w:rPr>
      </w:pPr>
    </w:p>
    <w:p w14:paraId="3EE91D82">
      <w:pPr>
        <w:pStyle w:val="24"/>
        <w:spacing w:before="0" w:beforeAutospacing="0" w:after="0" w:afterAutospacing="0"/>
        <w:jc w:val="both"/>
        <w:outlineLvl w:val="9"/>
        <w:rPr>
          <w:rFonts w:hint="eastAsia" w:ascii="Times New Roman" w:hAnsi="Times New Roman"/>
          <w:snapToGrid w:val="0"/>
          <w:color w:val="auto"/>
          <w:sz w:val="30"/>
          <w:szCs w:val="30"/>
        </w:rPr>
        <w:sectPr>
          <w:pgSz w:w="11907" w:h="16840"/>
          <w:pgMar w:top="1701" w:right="1531" w:bottom="2127" w:left="1531" w:header="851" w:footer="851" w:gutter="0"/>
          <w:pgNumType w:fmt="decimal"/>
          <w:cols w:space="720" w:num="1"/>
          <w:docGrid w:linePitch="312" w:charSpace="0"/>
        </w:sectPr>
      </w:pPr>
    </w:p>
    <w:p w14:paraId="2F1F94E5">
      <w:pPr>
        <w:widowControl/>
        <w:spacing w:before="0" w:beforeAutospacing="0" w:after="0" w:afterAutospacing="0"/>
        <w:jc w:val="center"/>
        <w:outlineLvl w:val="0"/>
        <w:rPr>
          <w:rFonts w:ascii="Times New Roman" w:hAnsi="Times New Roman" w:eastAsia="宋体" w:cs="Times New Roman"/>
          <w:snapToGrid w:val="0"/>
          <w:color w:val="auto"/>
          <w:kern w:val="0"/>
          <w:sz w:val="30"/>
          <w:szCs w:val="30"/>
          <w:lang w:val="en-US" w:eastAsia="zh-CN" w:bidi="ar-SA"/>
        </w:rPr>
      </w:pPr>
      <w:r>
        <w:rPr>
          <w:rFonts w:hint="eastAsia" w:ascii="Times New Roman" w:hAnsi="Times New Roman" w:eastAsia="宋体" w:cs="Times New Roman"/>
          <w:snapToGrid w:val="0"/>
          <w:color w:val="auto"/>
          <w:kern w:val="0"/>
          <w:sz w:val="30"/>
          <w:szCs w:val="30"/>
          <w:lang w:val="en-US" w:eastAsia="zh-CN" w:bidi="ar-SA"/>
        </w:rPr>
        <w:t>四、主要环境影响和保护措施</w:t>
      </w:r>
    </w:p>
    <w:tbl>
      <w:tblPr>
        <w:tblStyle w:val="28"/>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70"/>
        <w:gridCol w:w="8638"/>
      </w:tblGrid>
      <w:tr w14:paraId="2823A4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70" w:type="dxa"/>
            <w:tcMar>
              <w:left w:w="28" w:type="dxa"/>
              <w:right w:w="28" w:type="dxa"/>
            </w:tcMar>
            <w:vAlign w:val="center"/>
          </w:tcPr>
          <w:p w14:paraId="0D0556D9">
            <w:pPr>
              <w:widowControl/>
              <w:adjustRightInd w:val="0"/>
              <w:snapToGrid w:val="0"/>
              <w:spacing w:before="0" w:beforeAutospacing="0" w:after="0" w:afterAutospacing="0"/>
              <w:jc w:val="center"/>
              <w:rPr>
                <w:rFonts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施工</w:t>
            </w:r>
          </w:p>
          <w:p w14:paraId="7EDBC58F">
            <w:pPr>
              <w:widowControl/>
              <w:adjustRightInd w:val="0"/>
              <w:snapToGrid w:val="0"/>
              <w:spacing w:before="0" w:beforeAutospacing="0" w:after="0" w:afterAutospacing="0"/>
              <w:jc w:val="center"/>
              <w:rPr>
                <w:rFonts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期环</w:t>
            </w:r>
          </w:p>
          <w:p w14:paraId="3F0AA2E6">
            <w:pPr>
              <w:widowControl/>
              <w:adjustRightInd w:val="0"/>
              <w:snapToGrid w:val="0"/>
              <w:spacing w:before="0" w:beforeAutospacing="0" w:after="0" w:afterAutospacing="0"/>
              <w:jc w:val="center"/>
              <w:rPr>
                <w:rFonts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境保</w:t>
            </w:r>
          </w:p>
          <w:p w14:paraId="5D95A6B2">
            <w:pPr>
              <w:widowControl/>
              <w:adjustRightInd w:val="0"/>
              <w:snapToGrid w:val="0"/>
              <w:spacing w:before="0" w:beforeAutospacing="0" w:after="0" w:afterAutospacing="0"/>
              <w:jc w:val="center"/>
              <w:rPr>
                <w:rFonts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护措</w:t>
            </w:r>
          </w:p>
          <w:p w14:paraId="3767519E">
            <w:pPr>
              <w:widowControl/>
              <w:adjustRightInd w:val="0"/>
              <w:snapToGrid w:val="0"/>
              <w:spacing w:before="0" w:beforeAutospacing="0" w:after="0" w:afterAutospacing="0"/>
              <w:jc w:val="center"/>
              <w:rPr>
                <w:rFonts w:ascii="宋体" w:hAnsi="宋体" w:eastAsia="宋体" w:cs="宋体"/>
                <w:bCs/>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施</w:t>
            </w:r>
          </w:p>
        </w:tc>
        <w:tc>
          <w:tcPr>
            <w:tcW w:w="8638" w:type="dxa"/>
          </w:tcPr>
          <w:p w14:paraId="5EFCAC04">
            <w:pPr>
              <w:keepNext w:val="0"/>
              <w:keepLines w:val="0"/>
              <w:pageBreakBefore w:val="0"/>
              <w:widowControl/>
              <w:suppressLineNumbers w:val="0"/>
              <w:kinsoku/>
              <w:wordWrap/>
              <w:autoSpaceDN/>
              <w:bidi w:val="0"/>
              <w:adjustRightInd/>
              <w:spacing w:before="0" w:beforeAutospacing="0" w:after="0" w:afterAutospacing="0" w:line="360" w:lineRule="auto"/>
              <w:ind w:left="0" w:right="0" w:firstLine="480" w:firstLineChars="200"/>
              <w:jc w:val="left"/>
              <w:textAlignment w:val="auto"/>
              <w:rPr>
                <w:rFonts w:hint="default" w:ascii="Times New Roman" w:hAnsi="Times New Roman" w:cs="Times New Roman"/>
                <w:color w:val="auto"/>
                <w:sz w:val="24"/>
              </w:rPr>
            </w:pPr>
            <w:r>
              <w:rPr>
                <w:rFonts w:hint="eastAsia" w:cs="Times New Roman"/>
                <w:color w:val="auto"/>
                <w:sz w:val="24"/>
                <w:szCs w:val="24"/>
                <w:lang w:val="en-US" w:eastAsia="zh-CN"/>
              </w:rPr>
              <w:t>项目租赁已建成厂房进行建设，施工期主要是厂房改造、装修、设备与生产线安装调试过程</w:t>
            </w:r>
            <w:r>
              <w:rPr>
                <w:rFonts w:hint="default" w:ascii="Times New Roman" w:hAnsi="Times New Roman" w:cs="Times New Roman"/>
                <w:color w:val="auto"/>
                <w:sz w:val="24"/>
              </w:rPr>
              <w:t>。施工期主要影响是：</w:t>
            </w:r>
            <w:r>
              <w:rPr>
                <w:rFonts w:hint="eastAsia" w:cs="Times New Roman"/>
                <w:color w:val="auto"/>
                <w:sz w:val="24"/>
                <w:szCs w:val="24"/>
                <w:lang w:val="en-US" w:eastAsia="zh-CN"/>
              </w:rPr>
              <w:t>噪声、建筑垃圾、扬尘、装修废气以及少量的废水</w:t>
            </w:r>
            <w:r>
              <w:rPr>
                <w:rFonts w:hint="default" w:ascii="Times New Roman" w:hAnsi="Times New Roman" w:cs="Times New Roman"/>
                <w:color w:val="auto"/>
                <w:sz w:val="24"/>
              </w:rPr>
              <w:t>。针对施工活动提出以下环境保护措施：</w:t>
            </w:r>
          </w:p>
          <w:p w14:paraId="7842E227">
            <w:pPr>
              <w:keepNext w:val="0"/>
              <w:keepLines w:val="0"/>
              <w:pageBreakBefore w:val="0"/>
              <w:widowControl/>
              <w:tabs>
                <w:tab w:val="left" w:pos="1275"/>
              </w:tabs>
              <w:kinsoku/>
              <w:wordWrap/>
              <w:overflowPunct w:val="0"/>
              <w:topLinePunct/>
              <w:autoSpaceDE w:val="0"/>
              <w:autoSpaceDN/>
              <w:bidi w:val="0"/>
              <w:adjustRightInd/>
              <w:snapToGrid w:val="0"/>
              <w:spacing w:line="360" w:lineRule="auto"/>
              <w:ind w:firstLine="482"/>
              <w:textAlignment w:val="auto"/>
              <w:rPr>
                <w:rFonts w:ascii="Times New Roman" w:hAnsi="Times New Roman" w:eastAsia="宋体" w:cs="Times New Roman"/>
                <w:b/>
                <w:color w:val="auto"/>
                <w:sz w:val="24"/>
              </w:rPr>
            </w:pPr>
            <w:r>
              <w:rPr>
                <w:rFonts w:ascii="Times New Roman" w:hAnsi="Times New Roman" w:eastAsia="宋体" w:cs="Times New Roman"/>
                <w:b/>
                <w:color w:val="auto"/>
                <w:sz w:val="24"/>
              </w:rPr>
              <w:t>1、施工期废水</w:t>
            </w:r>
          </w:p>
          <w:p w14:paraId="4265091E">
            <w:pPr>
              <w:adjustRightInd w:val="0"/>
              <w:snapToGrid w:val="0"/>
              <w:spacing w:line="360" w:lineRule="auto"/>
              <w:ind w:firstLine="480"/>
              <w:rPr>
                <w:rFonts w:ascii="Times New Roman" w:hAnsi="Times New Roman" w:eastAsia="宋体" w:cs="Times New Roman"/>
                <w:color w:val="auto"/>
                <w:sz w:val="24"/>
              </w:rPr>
            </w:pPr>
            <w:r>
              <w:rPr>
                <w:rFonts w:ascii="Times New Roman" w:hAnsi="Times New Roman" w:eastAsia="宋体" w:cs="Times New Roman"/>
                <w:color w:val="auto"/>
                <w:sz w:val="24"/>
              </w:rPr>
              <w:t>本项目施工期废水主要为施工人员生活污水。</w:t>
            </w:r>
          </w:p>
          <w:p w14:paraId="03312F0D">
            <w:pPr>
              <w:spacing w:line="360" w:lineRule="auto"/>
              <w:ind w:firstLine="480" w:firstLineChars="200"/>
              <w:rPr>
                <w:color w:val="auto"/>
                <w:sz w:val="24"/>
              </w:rPr>
            </w:pPr>
            <w:r>
              <w:rPr>
                <w:color w:val="auto"/>
                <w:sz w:val="24"/>
              </w:rPr>
              <w:t>施工期不设施工营地，施工人员食宿依托周围建成区域，生活污水产生量较少，</w:t>
            </w:r>
            <w:r>
              <w:rPr>
                <w:rFonts w:hint="eastAsia"/>
                <w:color w:val="auto"/>
                <w:sz w:val="24"/>
              </w:rPr>
              <w:t>生活污水</w:t>
            </w:r>
            <w:r>
              <w:rPr>
                <w:color w:val="auto"/>
                <w:sz w:val="24"/>
              </w:rPr>
              <w:t>经化粪池预处理</w:t>
            </w:r>
            <w:r>
              <w:rPr>
                <w:rFonts w:hint="eastAsia"/>
                <w:color w:val="auto"/>
                <w:sz w:val="24"/>
              </w:rPr>
              <w:t>后用于周边</w:t>
            </w:r>
            <w:r>
              <w:rPr>
                <w:rFonts w:hint="eastAsia"/>
                <w:color w:val="auto"/>
                <w:sz w:val="24"/>
                <w:szCs w:val="24"/>
                <w:lang w:val="en-US" w:eastAsia="zh-CN"/>
              </w:rPr>
              <w:t>林地</w:t>
            </w:r>
            <w:r>
              <w:rPr>
                <w:rFonts w:hint="eastAsia"/>
                <w:color w:val="auto"/>
                <w:sz w:val="24"/>
                <w:lang w:val="en-US" w:eastAsia="zh-CN"/>
              </w:rPr>
              <w:t>施肥</w:t>
            </w:r>
            <w:r>
              <w:rPr>
                <w:rFonts w:hint="eastAsia"/>
                <w:color w:val="auto"/>
                <w:sz w:val="24"/>
              </w:rPr>
              <w:t>，不外排。</w:t>
            </w:r>
          </w:p>
          <w:p w14:paraId="24044C8D">
            <w:pPr>
              <w:adjustRightInd w:val="0"/>
              <w:snapToGrid w:val="0"/>
              <w:spacing w:line="360" w:lineRule="auto"/>
              <w:ind w:firstLine="482"/>
              <w:rPr>
                <w:rFonts w:ascii="Times New Roman" w:hAnsi="Times New Roman" w:eastAsia="宋体" w:cs="Times New Roman"/>
                <w:b/>
                <w:bCs/>
                <w:color w:val="auto"/>
                <w:sz w:val="24"/>
              </w:rPr>
            </w:pPr>
            <w:r>
              <w:rPr>
                <w:rFonts w:ascii="Times New Roman" w:hAnsi="Times New Roman" w:eastAsia="宋体" w:cs="Times New Roman"/>
                <w:b/>
                <w:bCs/>
                <w:color w:val="auto"/>
                <w:sz w:val="24"/>
              </w:rPr>
              <w:t>2、施工期废气</w:t>
            </w:r>
          </w:p>
          <w:p w14:paraId="12D48886">
            <w:pPr>
              <w:adjustRightInd w:val="0"/>
              <w:snapToGrid w:val="0"/>
              <w:spacing w:line="360" w:lineRule="auto"/>
              <w:ind w:firstLine="480" w:firstLineChars="200"/>
              <w:jc w:val="left"/>
              <w:rPr>
                <w:rFonts w:ascii="Times New Roman" w:hAnsi="Times New Roman" w:eastAsia="宋体" w:cs="Times New Roman"/>
                <w:color w:val="auto"/>
                <w:sz w:val="24"/>
              </w:rPr>
            </w:pPr>
            <w:r>
              <w:rPr>
                <w:rFonts w:ascii="Times New Roman" w:hAnsi="Times New Roman" w:eastAsia="宋体" w:cs="Times New Roman"/>
                <w:color w:val="auto"/>
                <w:sz w:val="24"/>
              </w:rPr>
              <w:t>项目施工期废气主要</w:t>
            </w:r>
            <w:r>
              <w:rPr>
                <w:rFonts w:hint="eastAsia" w:cs="Times New Roman"/>
                <w:color w:val="auto"/>
                <w:sz w:val="24"/>
                <w:lang w:val="en-US" w:eastAsia="zh-CN"/>
              </w:rPr>
              <w:t>为</w:t>
            </w:r>
            <w:r>
              <w:rPr>
                <w:rFonts w:ascii="Times New Roman" w:hAnsi="Times New Roman" w:eastAsia="宋体" w:cs="Times New Roman"/>
                <w:color w:val="auto"/>
                <w:sz w:val="24"/>
              </w:rPr>
              <w:t>装修粉尘，评价提出以下保护措施要求：</w:t>
            </w:r>
          </w:p>
          <w:p w14:paraId="3E831A25">
            <w:pPr>
              <w:numPr>
                <w:ilvl w:val="0"/>
                <w:numId w:val="6"/>
              </w:numPr>
              <w:adjustRightInd w:val="0"/>
              <w:snapToGrid w:val="0"/>
              <w:spacing w:line="360" w:lineRule="auto"/>
              <w:ind w:firstLine="480" w:firstLineChars="200"/>
              <w:jc w:val="left"/>
              <w:rPr>
                <w:rFonts w:ascii="Times New Roman" w:hAnsi="Times New Roman" w:eastAsia="宋体" w:cs="Times New Roman"/>
                <w:snapToGrid w:val="0"/>
                <w:color w:val="auto"/>
                <w:kern w:val="0"/>
                <w:sz w:val="24"/>
              </w:rPr>
            </w:pPr>
            <w:r>
              <w:rPr>
                <w:rFonts w:ascii="Times New Roman" w:hAnsi="Times New Roman" w:eastAsia="宋体" w:cs="Times New Roman"/>
                <w:color w:val="auto"/>
                <w:sz w:val="24"/>
              </w:rPr>
              <w:t>严格按照有关控制扬尘污染规定，强化施工期环境管理，制定合理施工计划，缩短工期，采取集中力量逐项施工方法，坚决杜绝粗放式施工现象发生。</w:t>
            </w:r>
          </w:p>
          <w:p w14:paraId="4585B370">
            <w:pPr>
              <w:adjustRightInd w:val="0"/>
              <w:snapToGrid w:val="0"/>
              <w:spacing w:line="360" w:lineRule="auto"/>
              <w:ind w:firstLine="482"/>
              <w:rPr>
                <w:rFonts w:ascii="Times New Roman" w:hAnsi="Times New Roman" w:eastAsia="宋体" w:cs="Times New Roman"/>
                <w:b/>
                <w:bCs/>
                <w:color w:val="auto"/>
                <w:sz w:val="24"/>
              </w:rPr>
            </w:pPr>
            <w:r>
              <w:rPr>
                <w:rFonts w:ascii="Times New Roman" w:hAnsi="Times New Roman" w:eastAsia="宋体" w:cs="Times New Roman"/>
                <w:b/>
                <w:bCs/>
                <w:color w:val="auto"/>
                <w:sz w:val="24"/>
              </w:rPr>
              <w:t>3、噪声</w:t>
            </w:r>
          </w:p>
          <w:p w14:paraId="7A636151">
            <w:pPr>
              <w:adjustRightInd w:val="0"/>
              <w:snapToGrid w:val="0"/>
              <w:spacing w:line="360" w:lineRule="auto"/>
              <w:ind w:firstLine="480"/>
              <w:rPr>
                <w:rFonts w:ascii="Times New Roman" w:hAnsi="Times New Roman" w:eastAsia="宋体" w:cs="Times New Roman"/>
                <w:color w:val="auto"/>
                <w:sz w:val="24"/>
              </w:rPr>
            </w:pPr>
            <w:r>
              <w:rPr>
                <w:rFonts w:ascii="Times New Roman" w:hAnsi="Times New Roman" w:eastAsia="宋体" w:cs="Times New Roman"/>
                <w:color w:val="auto"/>
                <w:sz w:val="24"/>
              </w:rPr>
              <w:t>（1）从声源上控制：要求其使用的主要机械设备为低噪声机械设备，同时在施工过程中采用合理的施工方式，减少高噪声机械设备的同时运行，施工单位应设专人对设备进行定期保养和维护，并负责对现场工作人员进行培训，严格按操作规范使用各类机械。</w:t>
            </w:r>
          </w:p>
          <w:p w14:paraId="431D6216">
            <w:pPr>
              <w:adjustRightInd w:val="0"/>
              <w:snapToGrid w:val="0"/>
              <w:spacing w:line="360" w:lineRule="auto"/>
              <w:ind w:firstLine="480"/>
              <w:rPr>
                <w:rFonts w:ascii="Times New Roman" w:hAnsi="Times New Roman" w:eastAsia="宋体" w:cs="Times New Roman"/>
                <w:color w:val="auto"/>
                <w:sz w:val="24"/>
              </w:rPr>
            </w:pPr>
            <w:r>
              <w:rPr>
                <w:rFonts w:ascii="Times New Roman" w:hAnsi="Times New Roman" w:eastAsia="宋体" w:cs="Times New Roman"/>
                <w:color w:val="auto"/>
                <w:sz w:val="24"/>
              </w:rPr>
              <w:t>（2）合理安排施工时间</w:t>
            </w:r>
            <w:r>
              <w:rPr>
                <w:rFonts w:hint="eastAsia" w:ascii="Times New Roman" w:hAnsi="Times New Roman" w:eastAsia="宋体" w:cs="Times New Roman"/>
                <w:color w:val="auto"/>
                <w:sz w:val="24"/>
              </w:rPr>
              <w:t>，</w:t>
            </w:r>
            <w:r>
              <w:rPr>
                <w:rFonts w:ascii="Times New Roman" w:hAnsi="Times New Roman" w:eastAsia="宋体" w:cs="Times New Roman"/>
                <w:color w:val="auto"/>
                <w:sz w:val="24"/>
              </w:rPr>
              <w:t>严禁午间、夜间休息时间施工。</w:t>
            </w:r>
          </w:p>
          <w:p w14:paraId="0B3B5F87">
            <w:pPr>
              <w:widowControl/>
              <w:tabs>
                <w:tab w:val="left" w:pos="1275"/>
              </w:tabs>
              <w:overflowPunct w:val="0"/>
              <w:topLinePunct/>
              <w:autoSpaceDE w:val="0"/>
              <w:snapToGrid w:val="0"/>
              <w:spacing w:line="360" w:lineRule="auto"/>
              <w:ind w:firstLine="482" w:firstLineChars="200"/>
              <w:rPr>
                <w:rFonts w:ascii="Times New Roman" w:hAnsi="Times New Roman" w:eastAsia="宋体" w:cs="Times New Roman"/>
                <w:b/>
                <w:color w:val="auto"/>
                <w:sz w:val="24"/>
              </w:rPr>
            </w:pPr>
            <w:r>
              <w:rPr>
                <w:rFonts w:ascii="Times New Roman" w:hAnsi="Times New Roman" w:eastAsia="宋体" w:cs="Times New Roman"/>
                <w:b/>
                <w:color w:val="auto"/>
                <w:sz w:val="24"/>
              </w:rPr>
              <w:t>4、施工期固体废物</w:t>
            </w:r>
          </w:p>
          <w:p w14:paraId="78607B97">
            <w:pPr>
              <w:adjustRightInd w:val="0"/>
              <w:snapToGrid w:val="0"/>
              <w:spacing w:line="360" w:lineRule="auto"/>
              <w:ind w:firstLine="480" w:firstLineChars="200"/>
              <w:rPr>
                <w:rFonts w:ascii="宋体" w:hAnsi="宋体" w:eastAsia="宋体" w:cs="宋体"/>
                <w:bCs/>
                <w:color w:val="auto"/>
                <w:spacing w:val="-10"/>
                <w:szCs w:val="21"/>
              </w:rPr>
            </w:pPr>
            <w:r>
              <w:rPr>
                <w:rFonts w:ascii="Times New Roman" w:hAnsi="Times New Roman" w:eastAsia="宋体" w:cs="Times New Roman"/>
                <w:color w:val="auto"/>
                <w:sz w:val="24"/>
              </w:rPr>
              <w:t>施工期固体废物主要为生活垃圾</w:t>
            </w:r>
            <w:r>
              <w:rPr>
                <w:rFonts w:hint="eastAsia" w:ascii="Times New Roman" w:hAnsi="Times New Roman" w:eastAsia="宋体" w:cs="Times New Roman"/>
                <w:color w:val="auto"/>
                <w:sz w:val="24"/>
                <w:lang w:eastAsia="zh-CN"/>
              </w:rPr>
              <w:t>，</w:t>
            </w:r>
            <w:r>
              <w:rPr>
                <w:rFonts w:ascii="Times New Roman" w:hAnsi="Times New Roman" w:eastAsia="宋体" w:cs="Times New Roman"/>
                <w:color w:val="auto"/>
                <w:sz w:val="24"/>
              </w:rPr>
              <w:t>施工期施工人员生活垃圾应集中收集，交由环卫部门处理</w:t>
            </w:r>
            <w:r>
              <w:rPr>
                <w:rFonts w:hint="eastAsia" w:cs="Times New Roman"/>
                <w:color w:val="auto"/>
                <w:sz w:val="24"/>
                <w:lang w:eastAsia="zh-CN"/>
              </w:rPr>
              <w:t>。</w:t>
            </w:r>
          </w:p>
        </w:tc>
      </w:tr>
    </w:tbl>
    <w:p w14:paraId="4E00B8E5">
      <w:pPr>
        <w:pStyle w:val="25"/>
        <w:rPr>
          <w:rFonts w:hint="eastAsia"/>
          <w:color w:val="auto"/>
          <w:lang w:val="en-US" w:eastAsia="zh-CN"/>
        </w:rPr>
        <w:sectPr>
          <w:pgSz w:w="11907" w:h="16840"/>
          <w:pgMar w:top="1701" w:right="1531" w:bottom="2127" w:left="1531" w:header="851" w:footer="851" w:gutter="0"/>
          <w:pgNumType w:fmt="decimal"/>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5"/>
        <w:gridCol w:w="12853"/>
      </w:tblGrid>
      <w:tr w14:paraId="442B6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8" w:hRule="atLeast"/>
        </w:trPr>
        <w:tc>
          <w:tcPr>
            <w:tcW w:w="0" w:type="auto"/>
            <w:vAlign w:val="center"/>
          </w:tcPr>
          <w:p w14:paraId="19075FAE">
            <w:pPr>
              <w:adjustRightInd w:val="0"/>
              <w:snapToGrid w:val="0"/>
              <w:jc w:val="center"/>
              <w:rPr>
                <w:rFonts w:cs="宋体"/>
                <w:b/>
                <w:color w:val="auto"/>
                <w:kern w:val="0"/>
                <w:sz w:val="28"/>
                <w:szCs w:val="28"/>
              </w:rPr>
            </w:pPr>
            <w:r>
              <w:rPr>
                <w:rFonts w:hint="eastAsia" w:ascii="宋体" w:hAnsi="宋体" w:cs="宋体"/>
                <w:bCs/>
                <w:color w:val="auto"/>
                <w:szCs w:val="21"/>
              </w:rPr>
              <w:t>运营期环境影响和保护</w:t>
            </w:r>
            <w:r>
              <w:rPr>
                <w:rFonts w:hint="eastAsia" w:hAnsi="宋体" w:cs="宋体"/>
                <w:bCs/>
                <w:color w:val="auto"/>
                <w:szCs w:val="21"/>
              </w:rPr>
              <w:t>措施</w:t>
            </w:r>
          </w:p>
        </w:tc>
        <w:tc>
          <w:tcPr>
            <w:tcW w:w="0" w:type="auto"/>
          </w:tcPr>
          <w:p w14:paraId="74DE9C3D">
            <w:pPr>
              <w:spacing w:line="360" w:lineRule="auto"/>
              <w:rPr>
                <w:b/>
                <w:bCs/>
                <w:color w:val="auto"/>
                <w:sz w:val="24"/>
              </w:rPr>
            </w:pPr>
            <w:r>
              <w:rPr>
                <w:b/>
                <w:bCs/>
                <w:color w:val="auto"/>
                <w:sz w:val="24"/>
              </w:rPr>
              <w:t>一、废气</w:t>
            </w:r>
          </w:p>
          <w:p w14:paraId="35C41BB4">
            <w:pPr>
              <w:spacing w:line="360" w:lineRule="auto"/>
              <w:ind w:firstLine="482" w:firstLineChars="200"/>
              <w:rPr>
                <w:color w:val="auto"/>
                <w:sz w:val="24"/>
              </w:rPr>
            </w:pPr>
            <w:r>
              <w:rPr>
                <w:b/>
                <w:bCs/>
                <w:color w:val="auto"/>
                <w:sz w:val="24"/>
              </w:rPr>
              <w:t>1、废气污染源情况</w:t>
            </w:r>
          </w:p>
          <w:p w14:paraId="5083807E">
            <w:pPr>
              <w:pStyle w:val="7"/>
              <w:autoSpaceDE/>
              <w:autoSpaceDN/>
              <w:adjustRightInd/>
              <w:spacing w:line="240" w:lineRule="auto"/>
              <w:ind w:left="0" w:firstLine="480" w:firstLineChars="200"/>
              <w:jc w:val="both"/>
              <w:textAlignment w:val="auto"/>
              <w:rPr>
                <w:b/>
                <w:bCs/>
                <w:color w:val="auto"/>
                <w:spacing w:val="-10"/>
                <w:szCs w:val="24"/>
              </w:rPr>
            </w:pPr>
            <w:r>
              <w:rPr>
                <w:color w:val="auto"/>
              </w:rPr>
              <w:t>本项目废气污染源排放情况见表4-1。</w:t>
            </w:r>
          </w:p>
          <w:p w14:paraId="07E21DCA">
            <w:pPr>
              <w:pStyle w:val="7"/>
              <w:autoSpaceDE/>
              <w:autoSpaceDN/>
              <w:adjustRightInd/>
              <w:spacing w:line="240" w:lineRule="auto"/>
              <w:ind w:left="0" w:firstLine="0"/>
              <w:jc w:val="center"/>
              <w:textAlignment w:val="auto"/>
              <w:rPr>
                <w:b/>
                <w:bCs/>
                <w:color w:val="auto"/>
                <w:spacing w:val="-10"/>
                <w:szCs w:val="24"/>
              </w:rPr>
            </w:pPr>
            <w:r>
              <w:rPr>
                <w:rFonts w:hint="eastAsia"/>
                <w:b/>
                <w:bCs/>
                <w:color w:val="auto"/>
                <w:spacing w:val="-10"/>
                <w:szCs w:val="24"/>
              </w:rPr>
              <w:t>表4-1项目废气产排情况汇总表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55"/>
              <w:gridCol w:w="355"/>
              <w:gridCol w:w="640"/>
              <w:gridCol w:w="722"/>
              <w:gridCol w:w="613"/>
              <w:gridCol w:w="613"/>
              <w:gridCol w:w="657"/>
              <w:gridCol w:w="494"/>
              <w:gridCol w:w="613"/>
              <w:gridCol w:w="355"/>
              <w:gridCol w:w="355"/>
              <w:gridCol w:w="722"/>
              <w:gridCol w:w="613"/>
              <w:gridCol w:w="613"/>
              <w:gridCol w:w="680"/>
              <w:gridCol w:w="393"/>
              <w:gridCol w:w="436"/>
              <w:gridCol w:w="393"/>
              <w:gridCol w:w="355"/>
              <w:gridCol w:w="1381"/>
              <w:gridCol w:w="722"/>
              <w:gridCol w:w="557"/>
            </w:tblGrid>
            <w:tr w14:paraId="65D2AC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51" w:type="pct"/>
                  <w:vMerge w:val="restart"/>
                  <w:tcBorders>
                    <w:tl2br w:val="nil"/>
                    <w:tr2bl w:val="nil"/>
                  </w:tcBorders>
                  <w:vAlign w:val="center"/>
                </w:tcPr>
                <w:p w14:paraId="464CE9D7">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产排污环节</w:t>
                  </w:r>
                </w:p>
              </w:tc>
              <w:tc>
                <w:tcPr>
                  <w:tcW w:w="151" w:type="pct"/>
                  <w:vMerge w:val="restart"/>
                  <w:tcBorders>
                    <w:tl2br w:val="nil"/>
                    <w:tr2bl w:val="nil"/>
                  </w:tcBorders>
                  <w:vAlign w:val="center"/>
                </w:tcPr>
                <w:p w14:paraId="0DC7404B">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排放形式</w:t>
                  </w:r>
                </w:p>
              </w:tc>
              <w:tc>
                <w:tcPr>
                  <w:tcW w:w="284" w:type="pct"/>
                  <w:vMerge w:val="restart"/>
                  <w:tcBorders>
                    <w:tl2br w:val="nil"/>
                    <w:tr2bl w:val="nil"/>
                  </w:tcBorders>
                  <w:vAlign w:val="center"/>
                </w:tcPr>
                <w:p w14:paraId="184967A9">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污染物种类</w:t>
                  </w:r>
                </w:p>
              </w:tc>
              <w:tc>
                <w:tcPr>
                  <w:tcW w:w="738" w:type="pct"/>
                  <w:gridSpan w:val="3"/>
                  <w:tcBorders>
                    <w:tl2br w:val="nil"/>
                    <w:tr2bl w:val="nil"/>
                  </w:tcBorders>
                  <w:vAlign w:val="center"/>
                </w:tcPr>
                <w:p w14:paraId="18A650CA">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污染物产生量和浓度</w:t>
                  </w:r>
                </w:p>
              </w:tc>
              <w:tc>
                <w:tcPr>
                  <w:tcW w:w="1007" w:type="pct"/>
                  <w:gridSpan w:val="5"/>
                  <w:tcBorders>
                    <w:tl2br w:val="nil"/>
                    <w:tr2bl w:val="nil"/>
                  </w:tcBorders>
                  <w:vAlign w:val="center"/>
                </w:tcPr>
                <w:p w14:paraId="49890536">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污染物治理设施</w:t>
                  </w:r>
                </w:p>
              </w:tc>
              <w:tc>
                <w:tcPr>
                  <w:tcW w:w="738" w:type="pct"/>
                  <w:gridSpan w:val="3"/>
                  <w:tcBorders>
                    <w:tl2br w:val="nil"/>
                    <w:tr2bl w:val="nil"/>
                  </w:tcBorders>
                  <w:vAlign w:val="center"/>
                </w:tcPr>
                <w:p w14:paraId="5068F31B">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污染物排放量和浓度</w:t>
                  </w:r>
                </w:p>
              </w:tc>
              <w:tc>
                <w:tcPr>
                  <w:tcW w:w="1449" w:type="pct"/>
                  <w:gridSpan w:val="6"/>
                  <w:tcBorders>
                    <w:tl2br w:val="nil"/>
                    <w:tr2bl w:val="nil"/>
                  </w:tcBorders>
                  <w:vAlign w:val="center"/>
                </w:tcPr>
                <w:p w14:paraId="7CF2B71C">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rFonts w:hint="eastAsia"/>
                      <w:color w:val="auto"/>
                      <w:sz w:val="21"/>
                      <w:szCs w:val="21"/>
                    </w:rPr>
                    <w:t>排气筒基本情况</w:t>
                  </w:r>
                </w:p>
              </w:tc>
              <w:tc>
                <w:tcPr>
                  <w:tcW w:w="479" w:type="pct"/>
                  <w:gridSpan w:val="2"/>
                  <w:tcBorders>
                    <w:tl2br w:val="nil"/>
                    <w:tr2bl w:val="nil"/>
                  </w:tcBorders>
                  <w:vAlign w:val="center"/>
                </w:tcPr>
                <w:p w14:paraId="7CD14D47">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排放标准</w:t>
                  </w:r>
                </w:p>
              </w:tc>
            </w:tr>
            <w:tr w14:paraId="68FE6F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51" w:type="pct"/>
                  <w:vMerge w:val="continue"/>
                  <w:tcBorders>
                    <w:tl2br w:val="nil"/>
                    <w:tr2bl w:val="nil"/>
                  </w:tcBorders>
                  <w:vAlign w:val="center"/>
                </w:tcPr>
                <w:p w14:paraId="59952747">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151" w:type="pct"/>
                  <w:vMerge w:val="continue"/>
                  <w:tcBorders>
                    <w:tl2br w:val="nil"/>
                    <w:tr2bl w:val="nil"/>
                  </w:tcBorders>
                  <w:vAlign w:val="center"/>
                </w:tcPr>
                <w:p w14:paraId="46393001">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84" w:type="pct"/>
                  <w:vMerge w:val="continue"/>
                  <w:tcBorders>
                    <w:tl2br w:val="nil"/>
                    <w:tr2bl w:val="nil"/>
                  </w:tcBorders>
                  <w:vAlign w:val="center"/>
                </w:tcPr>
                <w:p w14:paraId="2DD03A99">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68" w:type="pct"/>
                  <w:vMerge w:val="restart"/>
                  <w:tcBorders>
                    <w:tl2br w:val="nil"/>
                    <w:tr2bl w:val="nil"/>
                  </w:tcBorders>
                  <w:vAlign w:val="center"/>
                </w:tcPr>
                <w:p w14:paraId="7D51CE3F">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vertAlign w:val="superscript"/>
                    </w:rPr>
                  </w:pPr>
                  <w:r>
                    <w:rPr>
                      <w:color w:val="auto"/>
                      <w:sz w:val="21"/>
                      <w:szCs w:val="21"/>
                    </w:rPr>
                    <w:t>产生浓度mg/m</w:t>
                  </w:r>
                  <w:r>
                    <w:rPr>
                      <w:color w:val="auto"/>
                      <w:sz w:val="21"/>
                      <w:szCs w:val="21"/>
                      <w:vertAlign w:val="superscript"/>
                    </w:rPr>
                    <w:t>3</w:t>
                  </w:r>
                </w:p>
              </w:tc>
              <w:tc>
                <w:tcPr>
                  <w:tcW w:w="234" w:type="pct"/>
                  <w:vMerge w:val="restart"/>
                  <w:tcBorders>
                    <w:tl2br w:val="nil"/>
                    <w:tr2bl w:val="nil"/>
                  </w:tcBorders>
                  <w:vAlign w:val="center"/>
                </w:tcPr>
                <w:p w14:paraId="1EFC8055">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产生速率kg/h</w:t>
                  </w:r>
                </w:p>
              </w:tc>
              <w:tc>
                <w:tcPr>
                  <w:tcW w:w="234" w:type="pct"/>
                  <w:vMerge w:val="restart"/>
                  <w:tcBorders>
                    <w:tl2br w:val="nil"/>
                    <w:tr2bl w:val="nil"/>
                  </w:tcBorders>
                  <w:vAlign w:val="center"/>
                </w:tcPr>
                <w:p w14:paraId="0D287E66">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产生量t/a</w:t>
                  </w:r>
                </w:p>
              </w:tc>
              <w:tc>
                <w:tcPr>
                  <w:tcW w:w="250" w:type="pct"/>
                  <w:vMerge w:val="restart"/>
                  <w:tcBorders>
                    <w:tl2br w:val="nil"/>
                    <w:tr2bl w:val="nil"/>
                  </w:tcBorders>
                  <w:vAlign w:val="center"/>
                </w:tcPr>
                <w:p w14:paraId="0BA8CBA4">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风量m</w:t>
                  </w:r>
                  <w:r>
                    <w:rPr>
                      <w:color w:val="auto"/>
                      <w:sz w:val="21"/>
                      <w:szCs w:val="21"/>
                      <w:vertAlign w:val="superscript"/>
                    </w:rPr>
                    <w:t>3</w:t>
                  </w:r>
                  <w:r>
                    <w:rPr>
                      <w:color w:val="auto"/>
                      <w:sz w:val="21"/>
                      <w:szCs w:val="21"/>
                    </w:rPr>
                    <w:t>/h</w:t>
                  </w:r>
                </w:p>
              </w:tc>
              <w:tc>
                <w:tcPr>
                  <w:tcW w:w="217" w:type="pct"/>
                  <w:vMerge w:val="restart"/>
                  <w:tcBorders>
                    <w:tl2br w:val="nil"/>
                    <w:tr2bl w:val="nil"/>
                  </w:tcBorders>
                  <w:vAlign w:val="center"/>
                </w:tcPr>
                <w:p w14:paraId="2246AFDB">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收集效率%</w:t>
                  </w:r>
                </w:p>
              </w:tc>
              <w:tc>
                <w:tcPr>
                  <w:tcW w:w="234" w:type="pct"/>
                  <w:vMerge w:val="restart"/>
                  <w:tcBorders>
                    <w:tl2br w:val="nil"/>
                    <w:tr2bl w:val="nil"/>
                  </w:tcBorders>
                  <w:vAlign w:val="center"/>
                </w:tcPr>
                <w:p w14:paraId="62AEFC8C">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去除效率%</w:t>
                  </w:r>
                </w:p>
              </w:tc>
              <w:tc>
                <w:tcPr>
                  <w:tcW w:w="152" w:type="pct"/>
                  <w:vMerge w:val="restart"/>
                  <w:tcBorders>
                    <w:tl2br w:val="nil"/>
                    <w:tr2bl w:val="nil"/>
                  </w:tcBorders>
                  <w:vAlign w:val="center"/>
                </w:tcPr>
                <w:p w14:paraId="5C1BCCE7">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处理工艺</w:t>
                  </w:r>
                </w:p>
              </w:tc>
              <w:tc>
                <w:tcPr>
                  <w:tcW w:w="152" w:type="pct"/>
                  <w:vMerge w:val="restart"/>
                  <w:tcBorders>
                    <w:tl2br w:val="nil"/>
                    <w:tr2bl w:val="nil"/>
                  </w:tcBorders>
                  <w:vAlign w:val="center"/>
                </w:tcPr>
                <w:p w14:paraId="184B54E1">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是否为可行技术</w:t>
                  </w:r>
                </w:p>
              </w:tc>
              <w:tc>
                <w:tcPr>
                  <w:tcW w:w="268" w:type="pct"/>
                  <w:vMerge w:val="restart"/>
                  <w:tcBorders>
                    <w:tl2br w:val="nil"/>
                    <w:tr2bl w:val="nil"/>
                  </w:tcBorders>
                  <w:vAlign w:val="center"/>
                </w:tcPr>
                <w:p w14:paraId="115F6C24">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排放浓度mg/m</w:t>
                  </w:r>
                  <w:r>
                    <w:rPr>
                      <w:color w:val="auto"/>
                      <w:sz w:val="21"/>
                      <w:szCs w:val="21"/>
                      <w:vertAlign w:val="superscript"/>
                    </w:rPr>
                    <w:t>3</w:t>
                  </w:r>
                </w:p>
              </w:tc>
              <w:tc>
                <w:tcPr>
                  <w:tcW w:w="234" w:type="pct"/>
                  <w:vMerge w:val="restart"/>
                  <w:tcBorders>
                    <w:tl2br w:val="nil"/>
                    <w:tr2bl w:val="nil"/>
                  </w:tcBorders>
                  <w:vAlign w:val="center"/>
                </w:tcPr>
                <w:p w14:paraId="696A84B2">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排放速率kg/h</w:t>
                  </w:r>
                </w:p>
              </w:tc>
              <w:tc>
                <w:tcPr>
                  <w:tcW w:w="234" w:type="pct"/>
                  <w:vMerge w:val="restart"/>
                  <w:tcBorders>
                    <w:tl2br w:val="nil"/>
                    <w:tr2bl w:val="nil"/>
                  </w:tcBorders>
                  <w:vAlign w:val="center"/>
                </w:tcPr>
                <w:p w14:paraId="63423C16">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排放量t/a</w:t>
                  </w:r>
                </w:p>
              </w:tc>
              <w:tc>
                <w:tcPr>
                  <w:tcW w:w="280" w:type="pct"/>
                  <w:vMerge w:val="restart"/>
                  <w:tcBorders>
                    <w:tl2br w:val="nil"/>
                    <w:tr2bl w:val="nil"/>
                  </w:tcBorders>
                  <w:vAlign w:val="center"/>
                </w:tcPr>
                <w:p w14:paraId="0224FC38">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排放筒编号</w:t>
                  </w:r>
                </w:p>
              </w:tc>
              <w:tc>
                <w:tcPr>
                  <w:tcW w:w="152" w:type="pct"/>
                  <w:tcBorders>
                    <w:tl2br w:val="nil"/>
                    <w:tr2bl w:val="nil"/>
                  </w:tcBorders>
                  <w:vAlign w:val="center"/>
                </w:tcPr>
                <w:p w14:paraId="689D12AF">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rFonts w:hint="eastAsia"/>
                      <w:color w:val="auto"/>
                      <w:sz w:val="21"/>
                      <w:szCs w:val="21"/>
                    </w:rPr>
                    <w:t>高度</w:t>
                  </w:r>
                </w:p>
              </w:tc>
              <w:tc>
                <w:tcPr>
                  <w:tcW w:w="168" w:type="pct"/>
                  <w:tcBorders>
                    <w:tl2br w:val="nil"/>
                    <w:tr2bl w:val="nil"/>
                  </w:tcBorders>
                  <w:vAlign w:val="center"/>
                </w:tcPr>
                <w:p w14:paraId="51264D20">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rFonts w:hint="eastAsia"/>
                      <w:color w:val="auto"/>
                      <w:sz w:val="21"/>
                      <w:szCs w:val="21"/>
                    </w:rPr>
                    <w:t>内径</w:t>
                  </w:r>
                </w:p>
              </w:tc>
              <w:tc>
                <w:tcPr>
                  <w:tcW w:w="153" w:type="pct"/>
                  <w:tcBorders>
                    <w:tl2br w:val="nil"/>
                    <w:tr2bl w:val="nil"/>
                  </w:tcBorders>
                  <w:vAlign w:val="center"/>
                </w:tcPr>
                <w:p w14:paraId="3F0FC140">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rFonts w:hint="eastAsia"/>
                      <w:color w:val="auto"/>
                      <w:sz w:val="21"/>
                      <w:szCs w:val="21"/>
                    </w:rPr>
                    <w:t>温度</w:t>
                  </w:r>
                </w:p>
              </w:tc>
              <w:tc>
                <w:tcPr>
                  <w:tcW w:w="152" w:type="pct"/>
                  <w:tcBorders>
                    <w:tl2br w:val="nil"/>
                    <w:tr2bl w:val="nil"/>
                  </w:tcBorders>
                  <w:vAlign w:val="center"/>
                </w:tcPr>
                <w:p w14:paraId="77FF88D1">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rFonts w:hint="eastAsia"/>
                      <w:color w:val="auto"/>
                      <w:sz w:val="21"/>
                      <w:szCs w:val="21"/>
                    </w:rPr>
                    <w:t>类型</w:t>
                  </w:r>
                </w:p>
              </w:tc>
              <w:tc>
                <w:tcPr>
                  <w:tcW w:w="541" w:type="pct"/>
                  <w:vMerge w:val="restart"/>
                  <w:tcBorders>
                    <w:tl2br w:val="nil"/>
                    <w:tr2bl w:val="nil"/>
                  </w:tcBorders>
                  <w:vAlign w:val="center"/>
                </w:tcPr>
                <w:p w14:paraId="4A333A07">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rFonts w:hint="eastAsia"/>
                      <w:color w:val="auto"/>
                      <w:sz w:val="21"/>
                      <w:szCs w:val="21"/>
                    </w:rPr>
                    <w:t>地理坐标</w:t>
                  </w:r>
                </w:p>
              </w:tc>
              <w:tc>
                <w:tcPr>
                  <w:tcW w:w="268" w:type="pct"/>
                  <w:vMerge w:val="restart"/>
                  <w:tcBorders>
                    <w:tl2br w:val="nil"/>
                    <w:tr2bl w:val="nil"/>
                  </w:tcBorders>
                  <w:vAlign w:val="center"/>
                </w:tcPr>
                <w:p w14:paraId="54DC06B4">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vertAlign w:val="superscript"/>
                    </w:rPr>
                  </w:pPr>
                  <w:r>
                    <w:rPr>
                      <w:color w:val="auto"/>
                      <w:sz w:val="21"/>
                      <w:szCs w:val="21"/>
                    </w:rPr>
                    <w:t>浓度mg/m</w:t>
                  </w:r>
                  <w:r>
                    <w:rPr>
                      <w:color w:val="auto"/>
                      <w:sz w:val="21"/>
                      <w:szCs w:val="21"/>
                      <w:vertAlign w:val="superscript"/>
                    </w:rPr>
                    <w:t>3</w:t>
                  </w:r>
                </w:p>
              </w:tc>
              <w:tc>
                <w:tcPr>
                  <w:tcW w:w="210" w:type="pct"/>
                  <w:vMerge w:val="restart"/>
                  <w:tcBorders>
                    <w:tl2br w:val="nil"/>
                    <w:tr2bl w:val="nil"/>
                  </w:tcBorders>
                  <w:vAlign w:val="center"/>
                </w:tcPr>
                <w:p w14:paraId="5B9B6340">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color w:val="auto"/>
                      <w:sz w:val="21"/>
                      <w:szCs w:val="21"/>
                    </w:rPr>
                    <w:t>速率kg/h</w:t>
                  </w:r>
                </w:p>
              </w:tc>
            </w:tr>
            <w:tr w14:paraId="7AB39E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1" w:type="pct"/>
                  <w:vMerge w:val="continue"/>
                  <w:tcBorders>
                    <w:tl2br w:val="nil"/>
                    <w:tr2bl w:val="nil"/>
                  </w:tcBorders>
                  <w:vAlign w:val="center"/>
                </w:tcPr>
                <w:p w14:paraId="30C9A253">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151" w:type="pct"/>
                  <w:vMerge w:val="continue"/>
                  <w:tcBorders>
                    <w:tl2br w:val="nil"/>
                    <w:tr2bl w:val="nil"/>
                  </w:tcBorders>
                  <w:vAlign w:val="center"/>
                </w:tcPr>
                <w:p w14:paraId="4537EC3E">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84" w:type="pct"/>
                  <w:vMerge w:val="continue"/>
                  <w:tcBorders>
                    <w:tl2br w:val="nil"/>
                    <w:tr2bl w:val="nil"/>
                  </w:tcBorders>
                  <w:vAlign w:val="center"/>
                </w:tcPr>
                <w:p w14:paraId="57BF937A">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68" w:type="pct"/>
                  <w:vMerge w:val="continue"/>
                  <w:tcBorders>
                    <w:tl2br w:val="nil"/>
                    <w:tr2bl w:val="nil"/>
                  </w:tcBorders>
                  <w:vAlign w:val="center"/>
                </w:tcPr>
                <w:p w14:paraId="08B75F6F">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34" w:type="pct"/>
                  <w:vMerge w:val="continue"/>
                  <w:tcBorders>
                    <w:tl2br w:val="nil"/>
                    <w:tr2bl w:val="nil"/>
                  </w:tcBorders>
                  <w:vAlign w:val="center"/>
                </w:tcPr>
                <w:p w14:paraId="7840EB18">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34" w:type="pct"/>
                  <w:vMerge w:val="continue"/>
                  <w:tcBorders>
                    <w:tl2br w:val="nil"/>
                    <w:tr2bl w:val="nil"/>
                  </w:tcBorders>
                  <w:vAlign w:val="center"/>
                </w:tcPr>
                <w:p w14:paraId="6070F140">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50" w:type="pct"/>
                  <w:vMerge w:val="continue"/>
                  <w:tcBorders>
                    <w:tl2br w:val="nil"/>
                    <w:tr2bl w:val="nil"/>
                  </w:tcBorders>
                  <w:vAlign w:val="center"/>
                </w:tcPr>
                <w:p w14:paraId="04399896">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17" w:type="pct"/>
                  <w:vMerge w:val="continue"/>
                  <w:tcBorders>
                    <w:tl2br w:val="nil"/>
                    <w:tr2bl w:val="nil"/>
                  </w:tcBorders>
                  <w:vAlign w:val="center"/>
                </w:tcPr>
                <w:p w14:paraId="10E09D37">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34" w:type="pct"/>
                  <w:vMerge w:val="continue"/>
                  <w:tcBorders>
                    <w:tl2br w:val="nil"/>
                    <w:tr2bl w:val="nil"/>
                  </w:tcBorders>
                  <w:vAlign w:val="center"/>
                </w:tcPr>
                <w:p w14:paraId="4406EBC9">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152" w:type="pct"/>
                  <w:vMerge w:val="continue"/>
                  <w:tcBorders>
                    <w:tl2br w:val="nil"/>
                    <w:tr2bl w:val="nil"/>
                  </w:tcBorders>
                  <w:vAlign w:val="center"/>
                </w:tcPr>
                <w:p w14:paraId="1C62D087">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152" w:type="pct"/>
                  <w:vMerge w:val="continue"/>
                  <w:tcBorders>
                    <w:tl2br w:val="nil"/>
                    <w:tr2bl w:val="nil"/>
                  </w:tcBorders>
                  <w:vAlign w:val="center"/>
                </w:tcPr>
                <w:p w14:paraId="7A3C4FBD">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68" w:type="pct"/>
                  <w:vMerge w:val="continue"/>
                  <w:tcBorders>
                    <w:tl2br w:val="nil"/>
                    <w:tr2bl w:val="nil"/>
                  </w:tcBorders>
                  <w:vAlign w:val="center"/>
                </w:tcPr>
                <w:p w14:paraId="7CC3F851">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34" w:type="pct"/>
                  <w:vMerge w:val="continue"/>
                  <w:tcBorders>
                    <w:tl2br w:val="nil"/>
                    <w:tr2bl w:val="nil"/>
                  </w:tcBorders>
                  <w:vAlign w:val="center"/>
                </w:tcPr>
                <w:p w14:paraId="475DAC3C">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34" w:type="pct"/>
                  <w:vMerge w:val="continue"/>
                  <w:tcBorders>
                    <w:tl2br w:val="nil"/>
                    <w:tr2bl w:val="nil"/>
                  </w:tcBorders>
                  <w:vAlign w:val="center"/>
                </w:tcPr>
                <w:p w14:paraId="1AD683E7">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80" w:type="pct"/>
                  <w:vMerge w:val="continue"/>
                  <w:tcBorders>
                    <w:tl2br w:val="nil"/>
                    <w:tr2bl w:val="nil"/>
                  </w:tcBorders>
                  <w:vAlign w:val="center"/>
                </w:tcPr>
                <w:p w14:paraId="26ED73CC">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152" w:type="pct"/>
                  <w:tcBorders>
                    <w:tl2br w:val="nil"/>
                    <w:tr2bl w:val="nil"/>
                  </w:tcBorders>
                  <w:vAlign w:val="center"/>
                </w:tcPr>
                <w:p w14:paraId="1BB9F90E">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rFonts w:hint="eastAsia"/>
                      <w:color w:val="auto"/>
                      <w:sz w:val="21"/>
                      <w:szCs w:val="21"/>
                    </w:rPr>
                    <w:t>m</w:t>
                  </w:r>
                </w:p>
              </w:tc>
              <w:tc>
                <w:tcPr>
                  <w:tcW w:w="168" w:type="pct"/>
                  <w:tcBorders>
                    <w:tl2br w:val="nil"/>
                    <w:tr2bl w:val="nil"/>
                  </w:tcBorders>
                  <w:vAlign w:val="center"/>
                </w:tcPr>
                <w:p w14:paraId="17CF9155">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rFonts w:hint="eastAsia"/>
                      <w:color w:val="auto"/>
                      <w:sz w:val="21"/>
                      <w:szCs w:val="21"/>
                    </w:rPr>
                    <w:t>m</w:t>
                  </w:r>
                </w:p>
              </w:tc>
              <w:tc>
                <w:tcPr>
                  <w:tcW w:w="153" w:type="pct"/>
                  <w:tcBorders>
                    <w:tl2br w:val="nil"/>
                    <w:tr2bl w:val="nil"/>
                  </w:tcBorders>
                  <w:shd w:val="clear" w:color="auto" w:fill="auto"/>
                  <w:vAlign w:val="center"/>
                </w:tcPr>
                <w:p w14:paraId="1C6D9FEA">
                  <w:pPr>
                    <w:pageBreakBefore w:val="0"/>
                    <w:kinsoku/>
                    <w:wordWrap/>
                    <w:overflowPunct/>
                    <w:topLinePunct w:val="0"/>
                    <w:autoSpaceDE/>
                    <w:autoSpaceDN/>
                    <w:bidi w:val="0"/>
                    <w:adjustRightInd w:val="0"/>
                    <w:snapToGrid w:val="0"/>
                    <w:spacing w:line="240" w:lineRule="auto"/>
                    <w:ind w:left="0" w:leftChars="0" w:right="0" w:rightChars="0"/>
                    <w:jc w:val="center"/>
                    <w:rPr>
                      <w:color w:val="auto"/>
                      <w:szCs w:val="21"/>
                    </w:rPr>
                  </w:pPr>
                  <w:r>
                    <w:rPr>
                      <w:color w:val="auto"/>
                      <w:szCs w:val="21"/>
                    </w:rPr>
                    <w:t>℃</w:t>
                  </w:r>
                </w:p>
              </w:tc>
              <w:tc>
                <w:tcPr>
                  <w:tcW w:w="152" w:type="pct"/>
                  <w:tcBorders>
                    <w:tl2br w:val="nil"/>
                    <w:tr2bl w:val="nil"/>
                  </w:tcBorders>
                  <w:vAlign w:val="center"/>
                </w:tcPr>
                <w:p w14:paraId="477CAFB7">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r>
                    <w:rPr>
                      <w:rFonts w:hint="eastAsia"/>
                      <w:color w:val="auto"/>
                      <w:sz w:val="21"/>
                      <w:szCs w:val="21"/>
                    </w:rPr>
                    <w:t>/</w:t>
                  </w:r>
                </w:p>
              </w:tc>
              <w:tc>
                <w:tcPr>
                  <w:tcW w:w="541" w:type="pct"/>
                  <w:vMerge w:val="continue"/>
                  <w:tcBorders>
                    <w:tl2br w:val="nil"/>
                    <w:tr2bl w:val="nil"/>
                  </w:tcBorders>
                  <w:vAlign w:val="center"/>
                </w:tcPr>
                <w:p w14:paraId="2B568214">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68" w:type="pct"/>
                  <w:vMerge w:val="continue"/>
                  <w:tcBorders>
                    <w:tl2br w:val="nil"/>
                    <w:tr2bl w:val="nil"/>
                  </w:tcBorders>
                  <w:vAlign w:val="center"/>
                </w:tcPr>
                <w:p w14:paraId="617B179E">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c>
                <w:tcPr>
                  <w:tcW w:w="210" w:type="pct"/>
                  <w:vMerge w:val="continue"/>
                  <w:tcBorders>
                    <w:tl2br w:val="nil"/>
                    <w:tr2bl w:val="nil"/>
                  </w:tcBorders>
                  <w:vAlign w:val="center"/>
                </w:tcPr>
                <w:p w14:paraId="4ADA726F">
                  <w:pPr>
                    <w:pStyle w:val="3"/>
                    <w:pageBreakBefore w:val="0"/>
                    <w:kinsoku/>
                    <w:wordWrap/>
                    <w:overflowPunct/>
                    <w:topLinePunct w:val="0"/>
                    <w:autoSpaceDE/>
                    <w:autoSpaceDN/>
                    <w:bidi w:val="0"/>
                    <w:spacing w:before="0" w:after="0" w:line="240" w:lineRule="auto"/>
                    <w:ind w:left="0" w:leftChars="0" w:right="0" w:rightChars="0"/>
                    <w:jc w:val="center"/>
                    <w:rPr>
                      <w:color w:val="auto"/>
                      <w:sz w:val="21"/>
                      <w:szCs w:val="21"/>
                    </w:rPr>
                  </w:pPr>
                </w:p>
              </w:tc>
            </w:tr>
            <w:tr w14:paraId="3017BB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51" w:type="pct"/>
                  <w:tcBorders>
                    <w:tl2br w:val="nil"/>
                    <w:tr2bl w:val="nil"/>
                  </w:tcBorders>
                  <w:vAlign w:val="center"/>
                </w:tcPr>
                <w:p w14:paraId="3107213B">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r>
                    <w:rPr>
                      <w:rFonts w:hint="eastAsia"/>
                      <w:b w:val="0"/>
                      <w:bCs w:val="0"/>
                      <w:color w:val="auto"/>
                      <w:sz w:val="21"/>
                      <w:szCs w:val="21"/>
                      <w:lang w:val="en-US" w:eastAsia="zh-CN"/>
                    </w:rPr>
                    <w:t>调墨废气</w:t>
                  </w:r>
                </w:p>
              </w:tc>
              <w:tc>
                <w:tcPr>
                  <w:tcW w:w="151" w:type="pct"/>
                  <w:vMerge w:val="restart"/>
                  <w:tcBorders>
                    <w:tl2br w:val="nil"/>
                    <w:tr2bl w:val="nil"/>
                  </w:tcBorders>
                  <w:vAlign w:val="center"/>
                </w:tcPr>
                <w:p w14:paraId="31218CFE">
                  <w:pPr>
                    <w:pStyle w:val="3"/>
                    <w:pageBreakBefore w:val="0"/>
                    <w:kinsoku/>
                    <w:wordWrap/>
                    <w:overflowPunct/>
                    <w:topLinePunct w:val="0"/>
                    <w:autoSpaceDE/>
                    <w:autoSpaceDN/>
                    <w:bidi w:val="0"/>
                    <w:spacing w:before="0" w:after="0" w:line="240" w:lineRule="auto"/>
                    <w:ind w:left="0" w:leftChars="0" w:right="0" w:rightChars="0"/>
                    <w:jc w:val="center"/>
                    <w:rPr>
                      <w:b w:val="0"/>
                      <w:bCs w:val="0"/>
                      <w:color w:val="auto"/>
                      <w:sz w:val="21"/>
                      <w:szCs w:val="21"/>
                    </w:rPr>
                  </w:pPr>
                  <w:r>
                    <w:rPr>
                      <w:b w:val="0"/>
                      <w:bCs w:val="0"/>
                      <w:color w:val="auto"/>
                      <w:sz w:val="21"/>
                      <w:szCs w:val="21"/>
                    </w:rPr>
                    <w:t>有组织</w:t>
                  </w:r>
                </w:p>
              </w:tc>
              <w:tc>
                <w:tcPr>
                  <w:tcW w:w="284" w:type="pct"/>
                  <w:vMerge w:val="restart"/>
                  <w:tcBorders>
                    <w:tl2br w:val="nil"/>
                    <w:tr2bl w:val="nil"/>
                  </w:tcBorders>
                  <w:vAlign w:val="center"/>
                </w:tcPr>
                <w:p w14:paraId="2D70852D">
                  <w:pPr>
                    <w:keepNext/>
                    <w:keepLines/>
                    <w:pageBreakBefore w:val="0"/>
                    <w:kinsoku/>
                    <w:wordWrap/>
                    <w:overflowPunct/>
                    <w:topLinePunct w:val="0"/>
                    <w:autoSpaceDE/>
                    <w:autoSpaceDN/>
                    <w:bidi w:val="0"/>
                    <w:spacing w:line="240" w:lineRule="auto"/>
                    <w:ind w:left="0" w:leftChars="0" w:right="0" w:rightChars="0"/>
                    <w:jc w:val="center"/>
                    <w:rPr>
                      <w:rFonts w:hint="eastAsia" w:eastAsia="宋体"/>
                      <w:color w:val="auto"/>
                      <w:szCs w:val="21"/>
                      <w:lang w:eastAsia="zh-CN"/>
                    </w:rPr>
                  </w:pPr>
                  <w:r>
                    <w:rPr>
                      <w:rFonts w:hint="default" w:ascii="Times New Roman" w:hAnsi="Times New Roman" w:cs="Times New Roman"/>
                      <w:bCs/>
                      <w:color w:val="auto"/>
                      <w:sz w:val="21"/>
                      <w:szCs w:val="21"/>
                      <w:vertAlign w:val="baseline"/>
                      <w:lang w:val="en-US" w:eastAsia="zh-CN"/>
                    </w:rPr>
                    <w:t>NMHC</w:t>
                  </w:r>
                </w:p>
              </w:tc>
              <w:tc>
                <w:tcPr>
                  <w:tcW w:w="268" w:type="pct"/>
                  <w:tcBorders>
                    <w:tl2br w:val="nil"/>
                    <w:tr2bl w:val="nil"/>
                  </w:tcBorders>
                  <w:vAlign w:val="center"/>
                </w:tcPr>
                <w:p w14:paraId="62F0B304">
                  <w:pPr>
                    <w:pStyle w:val="3"/>
                    <w:pageBreakBefore w:val="0"/>
                    <w:kinsoku/>
                    <w:wordWrap/>
                    <w:overflowPunct/>
                    <w:topLinePunct w:val="0"/>
                    <w:autoSpaceDE/>
                    <w:autoSpaceDN/>
                    <w:bidi w:val="0"/>
                    <w:spacing w:before="0" w:after="0" w:line="240" w:lineRule="auto"/>
                    <w:ind w:left="0" w:leftChars="0" w:right="0" w:right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1.6</w:t>
                  </w:r>
                </w:p>
              </w:tc>
              <w:tc>
                <w:tcPr>
                  <w:tcW w:w="234" w:type="pct"/>
                  <w:tcBorders>
                    <w:tl2br w:val="nil"/>
                    <w:tr2bl w:val="nil"/>
                  </w:tcBorders>
                  <w:vAlign w:val="center"/>
                </w:tcPr>
                <w:p w14:paraId="672EF5C7">
                  <w:pPr>
                    <w:pStyle w:val="3"/>
                    <w:pageBreakBefore w:val="0"/>
                    <w:kinsoku/>
                    <w:wordWrap/>
                    <w:overflowPunct/>
                    <w:topLinePunct w:val="0"/>
                    <w:autoSpaceDE/>
                    <w:autoSpaceDN/>
                    <w:bidi w:val="0"/>
                    <w:spacing w:before="0" w:after="0" w:line="240" w:lineRule="auto"/>
                    <w:ind w:left="0" w:leftChars="0" w:right="0" w:right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0.032</w:t>
                  </w:r>
                </w:p>
              </w:tc>
              <w:tc>
                <w:tcPr>
                  <w:tcW w:w="234" w:type="pct"/>
                  <w:tcBorders>
                    <w:tl2br w:val="nil"/>
                    <w:tr2bl w:val="nil"/>
                  </w:tcBorders>
                  <w:vAlign w:val="center"/>
                </w:tcPr>
                <w:p w14:paraId="028B9531">
                  <w:pPr>
                    <w:pStyle w:val="3"/>
                    <w:pageBreakBefore w:val="0"/>
                    <w:kinsoku/>
                    <w:wordWrap/>
                    <w:overflowPunct/>
                    <w:topLinePunct w:val="0"/>
                    <w:autoSpaceDE/>
                    <w:autoSpaceDN/>
                    <w:bidi w:val="0"/>
                    <w:spacing w:before="0" w:after="0" w:line="240" w:lineRule="auto"/>
                    <w:ind w:left="0" w:leftChars="0" w:right="0" w:rightChars="0"/>
                    <w:jc w:val="center"/>
                    <w:rPr>
                      <w:rFonts w:hint="default" w:ascii="Times New Roman" w:hAnsi="Times New Roman" w:cs="Times New Roman"/>
                      <w:color w:val="auto"/>
                      <w:sz w:val="21"/>
                      <w:szCs w:val="21"/>
                      <w:lang w:val="en-US"/>
                    </w:rPr>
                  </w:pPr>
                  <w:r>
                    <w:rPr>
                      <w:rFonts w:hint="eastAsia" w:cs="Times New Roman"/>
                      <w:b w:val="0"/>
                      <w:bCs w:val="0"/>
                      <w:color w:val="auto"/>
                      <w:sz w:val="21"/>
                      <w:szCs w:val="21"/>
                      <w:lang w:val="en-US" w:eastAsia="zh-CN"/>
                    </w:rPr>
                    <w:t>0.099</w:t>
                  </w:r>
                </w:p>
              </w:tc>
              <w:tc>
                <w:tcPr>
                  <w:tcW w:w="250" w:type="pct"/>
                  <w:vMerge w:val="restart"/>
                  <w:tcBorders>
                    <w:tl2br w:val="nil"/>
                    <w:tr2bl w:val="nil"/>
                  </w:tcBorders>
                  <w:vAlign w:val="center"/>
                </w:tcPr>
                <w:p w14:paraId="1D5ABBF0">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r>
                    <w:rPr>
                      <w:rFonts w:hint="eastAsia"/>
                      <w:b w:val="0"/>
                      <w:bCs w:val="0"/>
                      <w:color w:val="auto"/>
                      <w:sz w:val="21"/>
                      <w:szCs w:val="21"/>
                      <w:lang w:val="en-US" w:eastAsia="zh-CN"/>
                    </w:rPr>
                    <w:t>20000</w:t>
                  </w:r>
                </w:p>
              </w:tc>
              <w:tc>
                <w:tcPr>
                  <w:tcW w:w="217" w:type="pct"/>
                  <w:vMerge w:val="restart"/>
                  <w:tcBorders>
                    <w:tl2br w:val="nil"/>
                    <w:tr2bl w:val="nil"/>
                  </w:tcBorders>
                  <w:vAlign w:val="center"/>
                </w:tcPr>
                <w:p w14:paraId="5054B8C9">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r>
                    <w:rPr>
                      <w:rFonts w:hint="eastAsia"/>
                      <w:b w:val="0"/>
                      <w:bCs w:val="0"/>
                      <w:color w:val="auto"/>
                      <w:sz w:val="21"/>
                      <w:szCs w:val="21"/>
                      <w:lang w:val="en-US" w:eastAsia="zh-CN"/>
                    </w:rPr>
                    <w:t>90</w:t>
                  </w:r>
                </w:p>
              </w:tc>
              <w:tc>
                <w:tcPr>
                  <w:tcW w:w="234" w:type="pct"/>
                  <w:vMerge w:val="restart"/>
                  <w:tcBorders>
                    <w:tl2br w:val="nil"/>
                    <w:tr2bl w:val="nil"/>
                  </w:tcBorders>
                  <w:vAlign w:val="center"/>
                </w:tcPr>
                <w:p w14:paraId="6FD0DE45">
                  <w:pPr>
                    <w:keepNext/>
                    <w:keepLines/>
                    <w:pageBreakBefore w:val="0"/>
                    <w:kinsoku/>
                    <w:wordWrap/>
                    <w:overflowPunct/>
                    <w:topLinePunct w:val="0"/>
                    <w:autoSpaceDE/>
                    <w:autoSpaceDN/>
                    <w:bidi w:val="0"/>
                    <w:spacing w:line="240" w:lineRule="auto"/>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r>
                    <w:rPr>
                      <w:rFonts w:hint="eastAsia"/>
                      <w:color w:val="auto"/>
                      <w:szCs w:val="21"/>
                      <w:lang w:val="en-US" w:eastAsia="zh-CN"/>
                    </w:rPr>
                    <w:t>27.75</w:t>
                  </w:r>
                </w:p>
              </w:tc>
              <w:tc>
                <w:tcPr>
                  <w:tcW w:w="152" w:type="pct"/>
                  <w:vMerge w:val="restart"/>
                  <w:tcBorders>
                    <w:tl2br w:val="nil"/>
                    <w:tr2bl w:val="nil"/>
                  </w:tcBorders>
                  <w:vAlign w:val="center"/>
                </w:tcPr>
                <w:p w14:paraId="52519B31">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r>
                    <w:rPr>
                      <w:rFonts w:hint="eastAsia"/>
                      <w:b w:val="0"/>
                      <w:bCs w:val="0"/>
                      <w:color w:val="auto"/>
                      <w:sz w:val="21"/>
                      <w:szCs w:val="21"/>
                      <w:lang w:val="en-US" w:eastAsia="zh-CN"/>
                    </w:rPr>
                    <w:t>二级活性炭吸附</w:t>
                  </w:r>
                </w:p>
              </w:tc>
              <w:tc>
                <w:tcPr>
                  <w:tcW w:w="152" w:type="pct"/>
                  <w:vMerge w:val="restart"/>
                  <w:tcBorders>
                    <w:tl2br w:val="nil"/>
                    <w:tr2bl w:val="nil"/>
                  </w:tcBorders>
                  <w:vAlign w:val="center"/>
                </w:tcPr>
                <w:p w14:paraId="14F0F992">
                  <w:pPr>
                    <w:pStyle w:val="3"/>
                    <w:pageBreakBefore w:val="0"/>
                    <w:kinsoku/>
                    <w:wordWrap/>
                    <w:overflowPunct/>
                    <w:topLinePunct w:val="0"/>
                    <w:autoSpaceDE/>
                    <w:autoSpaceDN/>
                    <w:bidi w:val="0"/>
                    <w:spacing w:before="0" w:after="0" w:line="240" w:lineRule="auto"/>
                    <w:ind w:left="0" w:leftChars="0" w:right="0" w:rightChars="0"/>
                    <w:jc w:val="center"/>
                    <w:rPr>
                      <w:b w:val="0"/>
                      <w:bCs w:val="0"/>
                      <w:color w:val="auto"/>
                      <w:sz w:val="21"/>
                      <w:szCs w:val="21"/>
                    </w:rPr>
                  </w:pPr>
                  <w:r>
                    <w:rPr>
                      <w:b w:val="0"/>
                      <w:bCs w:val="0"/>
                      <w:color w:val="auto"/>
                      <w:sz w:val="21"/>
                      <w:szCs w:val="21"/>
                    </w:rPr>
                    <w:t>是</w:t>
                  </w:r>
                </w:p>
              </w:tc>
              <w:tc>
                <w:tcPr>
                  <w:tcW w:w="268" w:type="pct"/>
                  <w:tcBorders>
                    <w:tl2br w:val="nil"/>
                    <w:tr2bl w:val="nil"/>
                  </w:tcBorders>
                  <w:vAlign w:val="center"/>
                </w:tcPr>
                <w:p w14:paraId="2FE516A1">
                  <w:pPr>
                    <w:keepNext/>
                    <w:keepLines/>
                    <w:pageBreakBefore w:val="0"/>
                    <w:kinsoku/>
                    <w:wordWrap/>
                    <w:overflowPunct/>
                    <w:topLinePunct w:val="0"/>
                    <w:autoSpaceDE/>
                    <w:autoSpaceDN/>
                    <w:bidi w:val="0"/>
                    <w:spacing w:line="240" w:lineRule="auto"/>
                    <w:ind w:left="0" w:leftChars="0" w:right="0" w:rightChars="0"/>
                    <w:jc w:val="center"/>
                    <w:rPr>
                      <w:rFonts w:hint="default"/>
                      <w:b w:val="0"/>
                      <w:bCs w:val="0"/>
                      <w:color w:val="auto"/>
                      <w:sz w:val="21"/>
                      <w:szCs w:val="21"/>
                      <w:lang w:val="en-US"/>
                    </w:rPr>
                  </w:pPr>
                  <w:r>
                    <w:rPr>
                      <w:color w:val="auto"/>
                      <w:szCs w:val="21"/>
                    </w:rPr>
                    <w:t>/</w:t>
                  </w:r>
                </w:p>
              </w:tc>
              <w:tc>
                <w:tcPr>
                  <w:tcW w:w="234" w:type="pct"/>
                  <w:tcBorders>
                    <w:tl2br w:val="nil"/>
                    <w:tr2bl w:val="nil"/>
                  </w:tcBorders>
                  <w:vAlign w:val="center"/>
                </w:tcPr>
                <w:p w14:paraId="4B8AE1BA">
                  <w:pPr>
                    <w:keepNext/>
                    <w:keepLines/>
                    <w:pageBreakBefore w:val="0"/>
                    <w:kinsoku/>
                    <w:wordWrap/>
                    <w:overflowPunct/>
                    <w:topLinePunct w:val="0"/>
                    <w:autoSpaceDE/>
                    <w:autoSpaceDN/>
                    <w:bidi w:val="0"/>
                    <w:spacing w:line="240" w:lineRule="auto"/>
                    <w:ind w:left="0" w:leftChars="0" w:right="0" w:rightChars="0"/>
                    <w:jc w:val="center"/>
                    <w:rPr>
                      <w:rFonts w:hint="default"/>
                      <w:b w:val="0"/>
                      <w:bCs w:val="0"/>
                      <w:color w:val="auto"/>
                      <w:sz w:val="21"/>
                      <w:szCs w:val="21"/>
                      <w:lang w:val="en-US"/>
                    </w:rPr>
                  </w:pPr>
                  <w:r>
                    <w:rPr>
                      <w:color w:val="auto"/>
                      <w:szCs w:val="21"/>
                    </w:rPr>
                    <w:t>/</w:t>
                  </w:r>
                </w:p>
              </w:tc>
              <w:tc>
                <w:tcPr>
                  <w:tcW w:w="234" w:type="pct"/>
                  <w:tcBorders>
                    <w:tl2br w:val="nil"/>
                    <w:tr2bl w:val="nil"/>
                  </w:tcBorders>
                  <w:vAlign w:val="center"/>
                </w:tcPr>
                <w:p w14:paraId="4F98EB01">
                  <w:pPr>
                    <w:keepNext/>
                    <w:keepLines/>
                    <w:pageBreakBefore w:val="0"/>
                    <w:kinsoku/>
                    <w:wordWrap/>
                    <w:overflowPunct/>
                    <w:topLinePunct w:val="0"/>
                    <w:autoSpaceDE/>
                    <w:autoSpaceDN/>
                    <w:bidi w:val="0"/>
                    <w:spacing w:line="240" w:lineRule="auto"/>
                    <w:ind w:left="0" w:leftChars="0" w:right="0" w:rightChars="0"/>
                    <w:jc w:val="center"/>
                    <w:rPr>
                      <w:rFonts w:hint="default" w:eastAsia="宋体"/>
                      <w:b w:val="0"/>
                      <w:bCs w:val="0"/>
                      <w:color w:val="auto"/>
                      <w:sz w:val="21"/>
                      <w:szCs w:val="21"/>
                      <w:lang w:val="en-US" w:eastAsia="zh-CN"/>
                    </w:rPr>
                  </w:pPr>
                  <w:r>
                    <w:rPr>
                      <w:color w:val="auto"/>
                      <w:szCs w:val="21"/>
                    </w:rPr>
                    <w:t>/</w:t>
                  </w:r>
                </w:p>
              </w:tc>
              <w:tc>
                <w:tcPr>
                  <w:tcW w:w="280" w:type="pct"/>
                  <w:vMerge w:val="restart"/>
                  <w:tcBorders>
                    <w:tl2br w:val="nil"/>
                    <w:tr2bl w:val="nil"/>
                  </w:tcBorders>
                  <w:vAlign w:val="center"/>
                </w:tcPr>
                <w:p w14:paraId="5B088B6C">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r>
                    <w:rPr>
                      <w:rFonts w:hint="eastAsia"/>
                      <w:b w:val="0"/>
                      <w:bCs w:val="0"/>
                      <w:color w:val="auto"/>
                      <w:sz w:val="21"/>
                      <w:szCs w:val="21"/>
                      <w:lang w:val="en-US" w:eastAsia="zh-CN"/>
                    </w:rPr>
                    <w:t>DA001</w:t>
                  </w:r>
                </w:p>
              </w:tc>
              <w:tc>
                <w:tcPr>
                  <w:tcW w:w="152" w:type="pct"/>
                  <w:vMerge w:val="restart"/>
                  <w:tcBorders>
                    <w:tl2br w:val="nil"/>
                    <w:tr2bl w:val="nil"/>
                  </w:tcBorders>
                  <w:vAlign w:val="center"/>
                </w:tcPr>
                <w:p w14:paraId="4F589EB0">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r>
                    <w:rPr>
                      <w:rFonts w:hint="eastAsia"/>
                      <w:b w:val="0"/>
                      <w:bCs w:val="0"/>
                      <w:color w:val="auto"/>
                      <w:sz w:val="21"/>
                      <w:szCs w:val="21"/>
                      <w:lang w:val="en-US" w:eastAsia="zh-CN"/>
                    </w:rPr>
                    <w:t>15</w:t>
                  </w:r>
                </w:p>
              </w:tc>
              <w:tc>
                <w:tcPr>
                  <w:tcW w:w="168" w:type="pct"/>
                  <w:vMerge w:val="restart"/>
                  <w:tcBorders>
                    <w:tl2br w:val="nil"/>
                    <w:tr2bl w:val="nil"/>
                  </w:tcBorders>
                  <w:vAlign w:val="center"/>
                </w:tcPr>
                <w:p w14:paraId="031D3A9E">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FF0000"/>
                      <w:sz w:val="21"/>
                      <w:szCs w:val="21"/>
                      <w:lang w:val="en-US" w:eastAsia="zh-CN"/>
                    </w:rPr>
                  </w:pPr>
                  <w:r>
                    <w:rPr>
                      <w:rFonts w:hint="eastAsia"/>
                      <w:b w:val="0"/>
                      <w:bCs w:val="0"/>
                      <w:color w:val="FF0000"/>
                      <w:sz w:val="21"/>
                      <w:szCs w:val="21"/>
                      <w:lang w:val="en-US" w:eastAsia="zh-CN"/>
                    </w:rPr>
                    <w:t>0.8</w:t>
                  </w:r>
                </w:p>
              </w:tc>
              <w:tc>
                <w:tcPr>
                  <w:tcW w:w="153" w:type="pct"/>
                  <w:vMerge w:val="restart"/>
                  <w:tcBorders>
                    <w:tl2br w:val="nil"/>
                    <w:tr2bl w:val="nil"/>
                  </w:tcBorders>
                  <w:vAlign w:val="center"/>
                </w:tcPr>
                <w:p w14:paraId="08995B82">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r>
                    <w:rPr>
                      <w:rFonts w:hint="eastAsia"/>
                      <w:b w:val="0"/>
                      <w:bCs w:val="0"/>
                      <w:color w:val="auto"/>
                      <w:sz w:val="21"/>
                      <w:szCs w:val="21"/>
                      <w:lang w:val="en-US" w:eastAsia="zh-CN"/>
                    </w:rPr>
                    <w:t>25</w:t>
                  </w:r>
                </w:p>
              </w:tc>
              <w:tc>
                <w:tcPr>
                  <w:tcW w:w="152" w:type="pct"/>
                  <w:vMerge w:val="restart"/>
                  <w:tcBorders>
                    <w:tl2br w:val="nil"/>
                    <w:tr2bl w:val="nil"/>
                  </w:tcBorders>
                  <w:vAlign w:val="center"/>
                </w:tcPr>
                <w:p w14:paraId="46BBED77">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r>
                    <w:rPr>
                      <w:rFonts w:hint="eastAsia"/>
                      <w:b w:val="0"/>
                      <w:bCs w:val="0"/>
                      <w:color w:val="auto"/>
                      <w:sz w:val="21"/>
                      <w:szCs w:val="21"/>
                      <w:lang w:val="en-US" w:eastAsia="zh-CN"/>
                    </w:rPr>
                    <w:t>一般排放口</w:t>
                  </w:r>
                </w:p>
              </w:tc>
              <w:tc>
                <w:tcPr>
                  <w:tcW w:w="541" w:type="pct"/>
                  <w:vMerge w:val="restart"/>
                  <w:tcBorders>
                    <w:tl2br w:val="nil"/>
                    <w:tr2bl w:val="nil"/>
                  </w:tcBorders>
                  <w:vAlign w:val="center"/>
                </w:tcPr>
                <w:p w14:paraId="3CD5B675">
                  <w:pPr>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center"/>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val="en-US" w:eastAsia="zh-CN" w:bidi="ar"/>
                    </w:rPr>
                    <w:t>E</w:t>
                  </w:r>
                  <w:r>
                    <w:rPr>
                      <w:rFonts w:hint="default" w:ascii="Times New Roman" w:hAnsi="Times New Roman" w:cs="Times New Roman"/>
                      <w:color w:val="auto"/>
                      <w:kern w:val="0"/>
                      <w:sz w:val="21"/>
                      <w:szCs w:val="21"/>
                      <w:highlight w:val="none"/>
                      <w:lang w:bidi="ar"/>
                    </w:rPr>
                    <w:t>115°25′31.421″</w:t>
                  </w:r>
                </w:p>
                <w:p w14:paraId="34036D38">
                  <w:pPr>
                    <w:pageBreakBefore w:val="0"/>
                    <w:kinsoku/>
                    <w:wordWrap/>
                    <w:overflowPunct/>
                    <w:topLinePunct w:val="0"/>
                    <w:autoSpaceDE/>
                    <w:autoSpaceDN/>
                    <w:bidi w:val="0"/>
                    <w:adjustRightInd w:val="0"/>
                    <w:snapToGrid w:val="0"/>
                    <w:spacing w:line="240" w:lineRule="auto"/>
                    <w:ind w:left="0" w:leftChars="0" w:right="0" w:rightChars="0"/>
                    <w:jc w:val="center"/>
                    <w:rPr>
                      <w:rFonts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0"/>
                      <w:sz w:val="21"/>
                      <w:szCs w:val="21"/>
                      <w:highlight w:val="none"/>
                      <w:lang w:val="en-US" w:eastAsia="zh-CN" w:bidi="ar"/>
                    </w:rPr>
                    <w:t>N</w:t>
                  </w:r>
                  <w:r>
                    <w:rPr>
                      <w:rFonts w:hint="default" w:ascii="Times New Roman" w:hAnsi="Times New Roman" w:cs="Times New Roman"/>
                      <w:color w:val="auto"/>
                      <w:kern w:val="0"/>
                      <w:sz w:val="21"/>
                      <w:szCs w:val="21"/>
                      <w:highlight w:val="none"/>
                      <w:lang w:bidi="ar"/>
                    </w:rPr>
                    <w:t>28°23′41.992″</w:t>
                  </w:r>
                </w:p>
              </w:tc>
              <w:tc>
                <w:tcPr>
                  <w:tcW w:w="268" w:type="pct"/>
                  <w:tcBorders>
                    <w:tl2br w:val="nil"/>
                    <w:tr2bl w:val="nil"/>
                  </w:tcBorders>
                  <w:vAlign w:val="center"/>
                </w:tcPr>
                <w:p w14:paraId="76FE0AA4">
                  <w:pPr>
                    <w:keepNext/>
                    <w:keepLines/>
                    <w:pageBreakBefore w:val="0"/>
                    <w:kinsoku/>
                    <w:wordWrap/>
                    <w:overflowPunct/>
                    <w:topLinePunct w:val="0"/>
                    <w:autoSpaceDE/>
                    <w:autoSpaceDN/>
                    <w:bidi w:val="0"/>
                    <w:spacing w:line="240" w:lineRule="auto"/>
                    <w:ind w:left="0" w:leftChars="0" w:right="0" w:rightChars="0"/>
                    <w:jc w:val="center"/>
                    <w:rPr>
                      <w:rFonts w:hint="default" w:eastAsia="宋体"/>
                      <w:b w:val="0"/>
                      <w:bCs w:val="0"/>
                      <w:color w:val="auto"/>
                      <w:sz w:val="21"/>
                      <w:szCs w:val="21"/>
                      <w:lang w:val="en-US" w:eastAsia="zh-CN"/>
                    </w:rPr>
                  </w:pPr>
                  <w:r>
                    <w:rPr>
                      <w:color w:val="auto"/>
                      <w:szCs w:val="21"/>
                    </w:rPr>
                    <w:t>/</w:t>
                  </w:r>
                </w:p>
              </w:tc>
              <w:tc>
                <w:tcPr>
                  <w:tcW w:w="210" w:type="pct"/>
                  <w:tcBorders>
                    <w:tl2br w:val="nil"/>
                    <w:tr2bl w:val="nil"/>
                  </w:tcBorders>
                  <w:vAlign w:val="center"/>
                </w:tcPr>
                <w:p w14:paraId="16247441">
                  <w:pPr>
                    <w:keepNext/>
                    <w:keepLines/>
                    <w:pageBreakBefore w:val="0"/>
                    <w:kinsoku/>
                    <w:wordWrap/>
                    <w:overflowPunct/>
                    <w:topLinePunct w:val="0"/>
                    <w:autoSpaceDE/>
                    <w:autoSpaceDN/>
                    <w:bidi w:val="0"/>
                    <w:spacing w:line="240" w:lineRule="auto"/>
                    <w:ind w:left="0" w:leftChars="0" w:right="0" w:rightChars="0"/>
                    <w:jc w:val="center"/>
                    <w:rPr>
                      <w:rFonts w:hint="default" w:eastAsia="宋体"/>
                      <w:b w:val="0"/>
                      <w:bCs w:val="0"/>
                      <w:color w:val="auto"/>
                      <w:sz w:val="21"/>
                      <w:szCs w:val="21"/>
                      <w:lang w:val="en-US" w:eastAsia="zh-CN"/>
                    </w:rPr>
                  </w:pPr>
                  <w:r>
                    <w:rPr>
                      <w:color w:val="auto"/>
                      <w:szCs w:val="21"/>
                    </w:rPr>
                    <w:t>/</w:t>
                  </w:r>
                </w:p>
              </w:tc>
            </w:tr>
            <w:tr w14:paraId="230109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51" w:type="pct"/>
                  <w:tcBorders>
                    <w:tl2br w:val="nil"/>
                    <w:tr2bl w:val="nil"/>
                  </w:tcBorders>
                  <w:vAlign w:val="center"/>
                </w:tcPr>
                <w:p w14:paraId="359FE6B3">
                  <w:pPr>
                    <w:keepNext/>
                    <w:keepLines/>
                    <w:pageBreakBefore w:val="0"/>
                    <w:kinsoku/>
                    <w:wordWrap/>
                    <w:overflowPunct/>
                    <w:topLinePunct w:val="0"/>
                    <w:autoSpaceDE/>
                    <w:autoSpaceDN/>
                    <w:bidi w:val="0"/>
                    <w:spacing w:line="240" w:lineRule="auto"/>
                    <w:ind w:left="0" w:leftChars="0" w:right="0" w:rightChars="0"/>
                    <w:jc w:val="both"/>
                    <w:rPr>
                      <w:rFonts w:hint="default" w:eastAsia="宋体"/>
                      <w:color w:val="auto"/>
                      <w:lang w:val="en-US" w:eastAsia="zh-CN"/>
                    </w:rPr>
                  </w:pPr>
                  <w:r>
                    <w:rPr>
                      <w:rFonts w:hint="eastAsia"/>
                      <w:color w:val="auto"/>
                      <w:lang w:val="en-US" w:eastAsia="zh-CN"/>
                    </w:rPr>
                    <w:t>印刷废气</w:t>
                  </w:r>
                </w:p>
              </w:tc>
              <w:tc>
                <w:tcPr>
                  <w:tcW w:w="151" w:type="pct"/>
                  <w:vMerge w:val="continue"/>
                  <w:tcBorders>
                    <w:tl2br w:val="nil"/>
                    <w:tr2bl w:val="nil"/>
                  </w:tcBorders>
                  <w:vAlign w:val="center"/>
                </w:tcPr>
                <w:p w14:paraId="2410476E">
                  <w:pPr>
                    <w:keepNext/>
                    <w:keepLines/>
                    <w:pageBreakBefore w:val="0"/>
                    <w:kinsoku/>
                    <w:wordWrap/>
                    <w:overflowPunct/>
                    <w:topLinePunct w:val="0"/>
                    <w:autoSpaceDE/>
                    <w:autoSpaceDN/>
                    <w:bidi w:val="0"/>
                    <w:spacing w:line="240" w:lineRule="auto"/>
                    <w:ind w:left="0" w:leftChars="0" w:right="0" w:rightChars="0"/>
                    <w:jc w:val="center"/>
                    <w:rPr>
                      <w:color w:val="auto"/>
                    </w:rPr>
                  </w:pPr>
                </w:p>
              </w:tc>
              <w:tc>
                <w:tcPr>
                  <w:tcW w:w="284" w:type="pct"/>
                  <w:vMerge w:val="continue"/>
                  <w:tcBorders>
                    <w:tl2br w:val="nil"/>
                    <w:tr2bl w:val="nil"/>
                  </w:tcBorders>
                  <w:shd w:val="clear" w:color="auto" w:fill="auto"/>
                  <w:vAlign w:val="center"/>
                </w:tcPr>
                <w:p w14:paraId="5AD43E76">
                  <w:pPr>
                    <w:keepNext/>
                    <w:keepLines/>
                    <w:pageBreakBefore w:val="0"/>
                    <w:kinsoku/>
                    <w:wordWrap/>
                    <w:overflowPunct/>
                    <w:topLinePunct w:val="0"/>
                    <w:autoSpaceDE/>
                    <w:autoSpaceDN/>
                    <w:bidi w:val="0"/>
                    <w:spacing w:line="240" w:lineRule="auto"/>
                    <w:ind w:left="0" w:leftChars="0" w:right="0" w:rightChars="0"/>
                    <w:jc w:val="center"/>
                    <w:rPr>
                      <w:rFonts w:hint="eastAsia" w:ascii="Times New Roman" w:hAnsi="Times New Roman" w:eastAsia="宋体" w:cs="Times New Roman"/>
                      <w:color w:val="auto"/>
                      <w:kern w:val="2"/>
                      <w:sz w:val="21"/>
                      <w:szCs w:val="21"/>
                      <w:lang w:val="en-US" w:eastAsia="zh-CN" w:bidi="ar-SA"/>
                    </w:rPr>
                  </w:pPr>
                </w:p>
              </w:tc>
              <w:tc>
                <w:tcPr>
                  <w:tcW w:w="268" w:type="pct"/>
                  <w:tcBorders>
                    <w:tl2br w:val="nil"/>
                    <w:tr2bl w:val="nil"/>
                  </w:tcBorders>
                  <w:vAlign w:val="center"/>
                </w:tcPr>
                <w:p w14:paraId="0C4BBFCD">
                  <w:pPr>
                    <w:pStyle w:val="3"/>
                    <w:pageBreakBefore w:val="0"/>
                    <w:kinsoku/>
                    <w:wordWrap/>
                    <w:overflowPunct/>
                    <w:topLinePunct w:val="0"/>
                    <w:autoSpaceDE/>
                    <w:autoSpaceDN/>
                    <w:bidi w:val="0"/>
                    <w:spacing w:before="0" w:after="0" w:line="240" w:lineRule="auto"/>
                    <w:ind w:left="0" w:leftChars="0" w:right="0" w:rightChars="0"/>
                    <w:jc w:val="center"/>
                    <w:rPr>
                      <w:rFonts w:hint="default"/>
                      <w:color w:val="auto"/>
                      <w:szCs w:val="21"/>
                      <w:lang w:val="en-US"/>
                    </w:rPr>
                  </w:pPr>
                  <w:r>
                    <w:rPr>
                      <w:rFonts w:hint="eastAsia" w:cs="Times New Roman"/>
                      <w:b w:val="0"/>
                      <w:bCs w:val="0"/>
                      <w:color w:val="auto"/>
                      <w:sz w:val="21"/>
                      <w:szCs w:val="21"/>
                      <w:lang w:val="en-US" w:eastAsia="zh-CN"/>
                    </w:rPr>
                    <w:t>14.3</w:t>
                  </w:r>
                </w:p>
              </w:tc>
              <w:tc>
                <w:tcPr>
                  <w:tcW w:w="234" w:type="pct"/>
                  <w:tcBorders>
                    <w:tl2br w:val="nil"/>
                    <w:tr2bl w:val="nil"/>
                  </w:tcBorders>
                  <w:vAlign w:val="center"/>
                </w:tcPr>
                <w:p w14:paraId="501EEB53">
                  <w:pPr>
                    <w:pStyle w:val="3"/>
                    <w:pageBreakBefore w:val="0"/>
                    <w:kinsoku/>
                    <w:wordWrap/>
                    <w:overflowPunct/>
                    <w:topLinePunct w:val="0"/>
                    <w:autoSpaceDE/>
                    <w:autoSpaceDN/>
                    <w:bidi w:val="0"/>
                    <w:spacing w:before="0" w:after="0" w:line="240" w:lineRule="auto"/>
                    <w:ind w:left="0" w:leftChars="0" w:right="0" w:rightChars="0"/>
                    <w:jc w:val="center"/>
                    <w:rPr>
                      <w:rFonts w:hint="default"/>
                      <w:color w:val="auto"/>
                      <w:szCs w:val="21"/>
                      <w:lang w:val="en-US"/>
                    </w:rPr>
                  </w:pPr>
                  <w:r>
                    <w:rPr>
                      <w:rFonts w:hint="eastAsia" w:cs="Times New Roman"/>
                      <w:b w:val="0"/>
                      <w:bCs w:val="0"/>
                      <w:color w:val="auto"/>
                      <w:sz w:val="21"/>
                      <w:szCs w:val="21"/>
                      <w:lang w:val="en-US" w:eastAsia="zh-CN"/>
                    </w:rPr>
                    <w:t>0.286</w:t>
                  </w:r>
                </w:p>
              </w:tc>
              <w:tc>
                <w:tcPr>
                  <w:tcW w:w="234" w:type="pct"/>
                  <w:tcBorders>
                    <w:tl2br w:val="nil"/>
                    <w:tr2bl w:val="nil"/>
                  </w:tcBorders>
                  <w:vAlign w:val="center"/>
                </w:tcPr>
                <w:p w14:paraId="1707A4FE">
                  <w:pPr>
                    <w:pStyle w:val="3"/>
                    <w:pageBreakBefore w:val="0"/>
                    <w:kinsoku/>
                    <w:wordWrap/>
                    <w:overflowPunct/>
                    <w:topLinePunct w:val="0"/>
                    <w:autoSpaceDE/>
                    <w:autoSpaceDN/>
                    <w:bidi w:val="0"/>
                    <w:spacing w:before="0" w:after="0" w:line="240" w:lineRule="auto"/>
                    <w:ind w:left="0" w:leftChars="0" w:right="0" w:rightChars="0"/>
                    <w:jc w:val="center"/>
                    <w:rPr>
                      <w:rFonts w:hint="default"/>
                      <w:color w:val="auto"/>
                      <w:szCs w:val="21"/>
                      <w:lang w:val="en-US"/>
                    </w:rPr>
                  </w:pPr>
                  <w:r>
                    <w:rPr>
                      <w:rFonts w:hint="eastAsia" w:cs="Times New Roman"/>
                      <w:b w:val="0"/>
                      <w:bCs w:val="0"/>
                      <w:color w:val="auto"/>
                      <w:sz w:val="21"/>
                      <w:szCs w:val="21"/>
                      <w:lang w:val="en-US" w:eastAsia="zh-CN"/>
                    </w:rPr>
                    <w:t>0.888</w:t>
                  </w:r>
                </w:p>
              </w:tc>
              <w:tc>
                <w:tcPr>
                  <w:tcW w:w="250" w:type="pct"/>
                  <w:vMerge w:val="continue"/>
                  <w:tcBorders>
                    <w:tl2br w:val="nil"/>
                    <w:tr2bl w:val="nil"/>
                  </w:tcBorders>
                  <w:vAlign w:val="center"/>
                </w:tcPr>
                <w:p w14:paraId="3153DDA7">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p>
              </w:tc>
              <w:tc>
                <w:tcPr>
                  <w:tcW w:w="217" w:type="pct"/>
                  <w:vMerge w:val="continue"/>
                  <w:tcBorders>
                    <w:tl2br w:val="nil"/>
                    <w:tr2bl w:val="nil"/>
                  </w:tcBorders>
                  <w:vAlign w:val="center"/>
                </w:tcPr>
                <w:p w14:paraId="0AF6D434">
                  <w:pPr>
                    <w:keepNext/>
                    <w:keepLines/>
                    <w:pageBreakBefore w:val="0"/>
                    <w:kinsoku/>
                    <w:wordWrap/>
                    <w:overflowPunct/>
                    <w:topLinePunct w:val="0"/>
                    <w:autoSpaceDE/>
                    <w:autoSpaceDN/>
                    <w:bidi w:val="0"/>
                    <w:spacing w:line="240" w:lineRule="auto"/>
                    <w:ind w:left="0" w:leftChars="0" w:right="0" w:rightChars="0"/>
                    <w:jc w:val="center"/>
                    <w:rPr>
                      <w:rFonts w:hint="default" w:eastAsia="宋体"/>
                      <w:color w:val="auto"/>
                      <w:szCs w:val="21"/>
                      <w:lang w:val="en-US" w:eastAsia="zh-CN"/>
                    </w:rPr>
                  </w:pPr>
                </w:p>
              </w:tc>
              <w:tc>
                <w:tcPr>
                  <w:tcW w:w="234" w:type="pct"/>
                  <w:vMerge w:val="continue"/>
                  <w:tcBorders>
                    <w:tl2br w:val="nil"/>
                    <w:tr2bl w:val="nil"/>
                  </w:tcBorders>
                  <w:vAlign w:val="center"/>
                </w:tcPr>
                <w:p w14:paraId="087B69B9">
                  <w:pPr>
                    <w:keepNext/>
                    <w:keepLines/>
                    <w:pageBreakBefore w:val="0"/>
                    <w:kinsoku/>
                    <w:wordWrap/>
                    <w:overflowPunct/>
                    <w:topLinePunct w:val="0"/>
                    <w:autoSpaceDE/>
                    <w:autoSpaceDN/>
                    <w:bidi w:val="0"/>
                    <w:spacing w:line="240" w:lineRule="auto"/>
                    <w:ind w:left="0" w:leftChars="0" w:right="0" w:rightChars="0"/>
                    <w:jc w:val="center"/>
                    <w:rPr>
                      <w:rFonts w:hint="default" w:eastAsia="宋体"/>
                      <w:color w:val="auto"/>
                      <w:szCs w:val="21"/>
                      <w:lang w:val="en-US" w:eastAsia="zh-CN"/>
                    </w:rPr>
                  </w:pPr>
                </w:p>
              </w:tc>
              <w:tc>
                <w:tcPr>
                  <w:tcW w:w="152" w:type="pct"/>
                  <w:vMerge w:val="continue"/>
                  <w:tcBorders>
                    <w:tl2br w:val="nil"/>
                    <w:tr2bl w:val="nil"/>
                  </w:tcBorders>
                  <w:vAlign w:val="center"/>
                </w:tcPr>
                <w:p w14:paraId="7E6185C2">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p>
              </w:tc>
              <w:tc>
                <w:tcPr>
                  <w:tcW w:w="152" w:type="pct"/>
                  <w:vMerge w:val="continue"/>
                  <w:tcBorders>
                    <w:tl2br w:val="nil"/>
                    <w:tr2bl w:val="nil"/>
                  </w:tcBorders>
                  <w:vAlign w:val="center"/>
                </w:tcPr>
                <w:p w14:paraId="45C36173">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p>
              </w:tc>
              <w:tc>
                <w:tcPr>
                  <w:tcW w:w="268" w:type="pct"/>
                  <w:tcBorders>
                    <w:tl2br w:val="nil"/>
                    <w:tr2bl w:val="nil"/>
                  </w:tcBorders>
                  <w:vAlign w:val="center"/>
                </w:tcPr>
                <w:p w14:paraId="2EE4F763">
                  <w:pPr>
                    <w:keepNext/>
                    <w:keepLines/>
                    <w:pageBreakBefore w:val="0"/>
                    <w:kinsoku/>
                    <w:wordWrap/>
                    <w:overflowPunct/>
                    <w:topLinePunct w:val="0"/>
                    <w:autoSpaceDE/>
                    <w:autoSpaceDN/>
                    <w:bidi w:val="0"/>
                    <w:spacing w:line="240" w:lineRule="auto"/>
                    <w:ind w:left="0" w:leftChars="0" w:right="0" w:rightChars="0"/>
                    <w:jc w:val="center"/>
                    <w:rPr>
                      <w:rFonts w:hint="default"/>
                      <w:color w:val="auto"/>
                      <w:szCs w:val="21"/>
                      <w:lang w:val="en-US"/>
                    </w:rPr>
                  </w:pPr>
                  <w:r>
                    <w:rPr>
                      <w:color w:val="auto"/>
                      <w:szCs w:val="21"/>
                    </w:rPr>
                    <w:t>/</w:t>
                  </w:r>
                </w:p>
              </w:tc>
              <w:tc>
                <w:tcPr>
                  <w:tcW w:w="234" w:type="pct"/>
                  <w:tcBorders>
                    <w:tl2br w:val="nil"/>
                    <w:tr2bl w:val="nil"/>
                  </w:tcBorders>
                  <w:vAlign w:val="center"/>
                </w:tcPr>
                <w:p w14:paraId="60592529">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color w:val="auto"/>
                      <w:szCs w:val="21"/>
                    </w:rPr>
                    <w:t>/</w:t>
                  </w:r>
                </w:p>
              </w:tc>
              <w:tc>
                <w:tcPr>
                  <w:tcW w:w="234" w:type="pct"/>
                  <w:tcBorders>
                    <w:tl2br w:val="nil"/>
                    <w:tr2bl w:val="nil"/>
                  </w:tcBorders>
                  <w:vAlign w:val="center"/>
                </w:tcPr>
                <w:p w14:paraId="12205C81">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color w:val="auto"/>
                      <w:szCs w:val="21"/>
                    </w:rPr>
                    <w:t>/</w:t>
                  </w:r>
                </w:p>
              </w:tc>
              <w:tc>
                <w:tcPr>
                  <w:tcW w:w="280" w:type="pct"/>
                  <w:vMerge w:val="continue"/>
                  <w:tcBorders>
                    <w:tl2br w:val="nil"/>
                    <w:tr2bl w:val="nil"/>
                  </w:tcBorders>
                  <w:vAlign w:val="center"/>
                </w:tcPr>
                <w:p w14:paraId="3604B77B">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p>
              </w:tc>
              <w:tc>
                <w:tcPr>
                  <w:tcW w:w="152" w:type="pct"/>
                  <w:vMerge w:val="continue"/>
                  <w:tcBorders>
                    <w:tl2br w:val="nil"/>
                    <w:tr2bl w:val="nil"/>
                  </w:tcBorders>
                  <w:vAlign w:val="center"/>
                </w:tcPr>
                <w:p w14:paraId="49F20BC0">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p>
              </w:tc>
              <w:tc>
                <w:tcPr>
                  <w:tcW w:w="168" w:type="pct"/>
                  <w:vMerge w:val="continue"/>
                  <w:tcBorders>
                    <w:tl2br w:val="nil"/>
                    <w:tr2bl w:val="nil"/>
                  </w:tcBorders>
                  <w:vAlign w:val="center"/>
                </w:tcPr>
                <w:p w14:paraId="2D7B6981">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p>
              </w:tc>
              <w:tc>
                <w:tcPr>
                  <w:tcW w:w="153" w:type="pct"/>
                  <w:vMerge w:val="continue"/>
                  <w:tcBorders>
                    <w:tl2br w:val="nil"/>
                    <w:tr2bl w:val="nil"/>
                  </w:tcBorders>
                  <w:vAlign w:val="center"/>
                </w:tcPr>
                <w:p w14:paraId="595BCAD4">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p>
              </w:tc>
              <w:tc>
                <w:tcPr>
                  <w:tcW w:w="152" w:type="pct"/>
                  <w:vMerge w:val="continue"/>
                  <w:tcBorders>
                    <w:tl2br w:val="nil"/>
                    <w:tr2bl w:val="nil"/>
                  </w:tcBorders>
                  <w:vAlign w:val="center"/>
                </w:tcPr>
                <w:p w14:paraId="78CA3B0F">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p>
              </w:tc>
              <w:tc>
                <w:tcPr>
                  <w:tcW w:w="541" w:type="pct"/>
                  <w:vMerge w:val="continue"/>
                  <w:tcBorders>
                    <w:tl2br w:val="nil"/>
                    <w:tr2bl w:val="nil"/>
                  </w:tcBorders>
                  <w:vAlign w:val="center"/>
                </w:tcPr>
                <w:p w14:paraId="07D0B726">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p>
              </w:tc>
              <w:tc>
                <w:tcPr>
                  <w:tcW w:w="268" w:type="pct"/>
                  <w:tcBorders>
                    <w:tl2br w:val="nil"/>
                    <w:tr2bl w:val="nil"/>
                  </w:tcBorders>
                  <w:vAlign w:val="center"/>
                </w:tcPr>
                <w:p w14:paraId="305A72F6">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color w:val="auto"/>
                      <w:szCs w:val="21"/>
                    </w:rPr>
                    <w:t>/</w:t>
                  </w:r>
                </w:p>
              </w:tc>
              <w:tc>
                <w:tcPr>
                  <w:tcW w:w="210" w:type="pct"/>
                  <w:tcBorders>
                    <w:tl2br w:val="nil"/>
                    <w:tr2bl w:val="nil"/>
                  </w:tcBorders>
                  <w:vAlign w:val="center"/>
                </w:tcPr>
                <w:p w14:paraId="1B4EE041">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color w:val="auto"/>
                      <w:szCs w:val="21"/>
                    </w:rPr>
                    <w:t>/</w:t>
                  </w:r>
                </w:p>
              </w:tc>
            </w:tr>
            <w:tr w14:paraId="0EA7E0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51" w:type="pct"/>
                  <w:tcBorders>
                    <w:tl2br w:val="nil"/>
                    <w:tr2bl w:val="nil"/>
                  </w:tcBorders>
                  <w:vAlign w:val="center"/>
                </w:tcPr>
                <w:p w14:paraId="05C55F1F">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val="0"/>
                      <w:color w:val="auto"/>
                      <w:sz w:val="21"/>
                      <w:szCs w:val="21"/>
                      <w:lang w:val="en-US" w:eastAsia="zh-CN"/>
                    </w:rPr>
                  </w:pPr>
                  <w:r>
                    <w:rPr>
                      <w:rFonts w:hint="eastAsia"/>
                      <w:b w:val="0"/>
                      <w:bCs w:val="0"/>
                      <w:color w:val="auto"/>
                      <w:sz w:val="21"/>
                      <w:szCs w:val="21"/>
                      <w:lang w:val="en-US" w:eastAsia="zh-CN"/>
                    </w:rPr>
                    <w:t>废气合计</w:t>
                  </w:r>
                </w:p>
              </w:tc>
              <w:tc>
                <w:tcPr>
                  <w:tcW w:w="151" w:type="pct"/>
                  <w:vMerge w:val="continue"/>
                  <w:tcBorders>
                    <w:tl2br w:val="nil"/>
                    <w:tr2bl w:val="nil"/>
                  </w:tcBorders>
                  <w:vAlign w:val="center"/>
                </w:tcPr>
                <w:p w14:paraId="5F43F661">
                  <w:pPr>
                    <w:pStyle w:val="3"/>
                    <w:pageBreakBefore w:val="0"/>
                    <w:kinsoku/>
                    <w:wordWrap/>
                    <w:overflowPunct/>
                    <w:topLinePunct w:val="0"/>
                    <w:autoSpaceDE/>
                    <w:autoSpaceDN/>
                    <w:bidi w:val="0"/>
                    <w:spacing w:before="0" w:after="0" w:line="240" w:lineRule="auto"/>
                    <w:ind w:left="0" w:leftChars="0" w:right="0" w:rightChars="0"/>
                    <w:jc w:val="center"/>
                    <w:rPr>
                      <w:b w:val="0"/>
                      <w:bCs w:val="0"/>
                      <w:color w:val="auto"/>
                      <w:sz w:val="21"/>
                      <w:szCs w:val="21"/>
                    </w:rPr>
                  </w:pPr>
                </w:p>
              </w:tc>
              <w:tc>
                <w:tcPr>
                  <w:tcW w:w="284" w:type="pct"/>
                  <w:vMerge w:val="continue"/>
                  <w:tcBorders>
                    <w:tl2br w:val="nil"/>
                    <w:tr2bl w:val="nil"/>
                  </w:tcBorders>
                  <w:vAlign w:val="center"/>
                </w:tcPr>
                <w:p w14:paraId="742ADE66">
                  <w:pPr>
                    <w:keepNext/>
                    <w:keepLines/>
                    <w:pageBreakBefore w:val="0"/>
                    <w:kinsoku/>
                    <w:wordWrap/>
                    <w:overflowPunct/>
                    <w:topLinePunct w:val="0"/>
                    <w:autoSpaceDE/>
                    <w:autoSpaceDN/>
                    <w:bidi w:val="0"/>
                    <w:spacing w:line="240" w:lineRule="auto"/>
                    <w:ind w:left="0" w:leftChars="0" w:right="0" w:rightChars="0"/>
                    <w:jc w:val="center"/>
                    <w:rPr>
                      <w:rFonts w:hint="eastAsia" w:eastAsia="宋体"/>
                      <w:color w:val="auto"/>
                      <w:szCs w:val="21"/>
                      <w:lang w:eastAsia="zh-CN"/>
                    </w:rPr>
                  </w:pPr>
                </w:p>
              </w:tc>
              <w:tc>
                <w:tcPr>
                  <w:tcW w:w="268" w:type="pct"/>
                  <w:tcBorders>
                    <w:tl2br w:val="nil"/>
                    <w:tr2bl w:val="nil"/>
                  </w:tcBorders>
                  <w:vAlign w:val="center"/>
                </w:tcPr>
                <w:p w14:paraId="32304B02">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highlight w:val="none"/>
                      <w:lang w:val="en-US" w:eastAsia="zh-CN"/>
                    </w:rPr>
                  </w:pPr>
                  <w:r>
                    <w:rPr>
                      <w:rFonts w:hint="eastAsia"/>
                      <w:b w:val="0"/>
                      <w:bCs w:val="0"/>
                      <w:color w:val="auto"/>
                      <w:sz w:val="21"/>
                      <w:szCs w:val="21"/>
                      <w:highlight w:val="none"/>
                      <w:lang w:val="en-US" w:eastAsia="zh-CN"/>
                    </w:rPr>
                    <w:t>15.9</w:t>
                  </w:r>
                </w:p>
              </w:tc>
              <w:tc>
                <w:tcPr>
                  <w:tcW w:w="234" w:type="pct"/>
                  <w:tcBorders>
                    <w:tl2br w:val="nil"/>
                    <w:tr2bl w:val="nil"/>
                  </w:tcBorders>
                  <w:vAlign w:val="center"/>
                </w:tcPr>
                <w:p w14:paraId="427F7D26">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r>
                    <w:rPr>
                      <w:rFonts w:hint="eastAsia"/>
                      <w:b w:val="0"/>
                      <w:bCs w:val="0"/>
                      <w:color w:val="auto"/>
                      <w:sz w:val="21"/>
                      <w:szCs w:val="21"/>
                      <w:lang w:val="en-US" w:eastAsia="zh-CN"/>
                    </w:rPr>
                    <w:t>0.318</w:t>
                  </w:r>
                </w:p>
              </w:tc>
              <w:tc>
                <w:tcPr>
                  <w:tcW w:w="234" w:type="pct"/>
                  <w:tcBorders>
                    <w:tl2br w:val="nil"/>
                    <w:tr2bl w:val="nil"/>
                  </w:tcBorders>
                  <w:vAlign w:val="center"/>
                </w:tcPr>
                <w:p w14:paraId="62834F03">
                  <w:pPr>
                    <w:pageBreakBefore w:val="0"/>
                    <w:kinsoku/>
                    <w:wordWrap/>
                    <w:overflowPunct/>
                    <w:topLinePunct w:val="0"/>
                    <w:autoSpaceDE/>
                    <w:autoSpaceDN/>
                    <w:bidi w:val="0"/>
                    <w:spacing w:line="240" w:lineRule="auto"/>
                    <w:ind w:left="0" w:leftChars="0" w:right="0" w:rightChars="0"/>
                    <w:jc w:val="center"/>
                    <w:rPr>
                      <w:rFonts w:hint="default" w:eastAsia="宋体"/>
                      <w:b w:val="0"/>
                      <w:bCs w:val="0"/>
                      <w:color w:val="auto"/>
                      <w:sz w:val="21"/>
                      <w:szCs w:val="21"/>
                      <w:lang w:val="en-US" w:eastAsia="zh-CN"/>
                    </w:rPr>
                  </w:pPr>
                  <w:r>
                    <w:rPr>
                      <w:rFonts w:hint="eastAsia"/>
                      <w:b w:val="0"/>
                      <w:bCs w:val="0"/>
                      <w:color w:val="auto"/>
                      <w:sz w:val="21"/>
                      <w:szCs w:val="21"/>
                      <w:lang w:val="en-US" w:eastAsia="zh-CN"/>
                    </w:rPr>
                    <w:t>0.987</w:t>
                  </w:r>
                </w:p>
              </w:tc>
              <w:tc>
                <w:tcPr>
                  <w:tcW w:w="250" w:type="pct"/>
                  <w:vMerge w:val="continue"/>
                  <w:tcBorders>
                    <w:tl2br w:val="nil"/>
                    <w:tr2bl w:val="nil"/>
                  </w:tcBorders>
                  <w:vAlign w:val="center"/>
                </w:tcPr>
                <w:p w14:paraId="3ABA95E9">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p>
              </w:tc>
              <w:tc>
                <w:tcPr>
                  <w:tcW w:w="217" w:type="pct"/>
                  <w:vMerge w:val="continue"/>
                  <w:tcBorders>
                    <w:tl2br w:val="nil"/>
                    <w:tr2bl w:val="nil"/>
                  </w:tcBorders>
                  <w:vAlign w:val="center"/>
                </w:tcPr>
                <w:p w14:paraId="218207E7">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p>
              </w:tc>
              <w:tc>
                <w:tcPr>
                  <w:tcW w:w="234" w:type="pct"/>
                  <w:vMerge w:val="continue"/>
                  <w:tcBorders>
                    <w:tl2br w:val="nil"/>
                    <w:tr2bl w:val="nil"/>
                  </w:tcBorders>
                  <w:shd w:val="clear" w:color="auto" w:fill="auto"/>
                  <w:vAlign w:val="center"/>
                </w:tcPr>
                <w:p w14:paraId="296A7024">
                  <w:pPr>
                    <w:pStyle w:val="3"/>
                    <w:pageBreakBefore w:val="0"/>
                    <w:kinsoku/>
                    <w:wordWrap/>
                    <w:overflowPunct/>
                    <w:topLinePunct w:val="0"/>
                    <w:autoSpaceDE/>
                    <w:autoSpaceDN/>
                    <w:bidi w:val="0"/>
                    <w:spacing w:before="0" w:after="0" w:line="240" w:lineRule="auto"/>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p>
              </w:tc>
              <w:tc>
                <w:tcPr>
                  <w:tcW w:w="152" w:type="pct"/>
                  <w:vMerge w:val="continue"/>
                  <w:tcBorders>
                    <w:tl2br w:val="nil"/>
                    <w:tr2bl w:val="nil"/>
                  </w:tcBorders>
                  <w:vAlign w:val="center"/>
                </w:tcPr>
                <w:p w14:paraId="4FE82ACF">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p>
              </w:tc>
              <w:tc>
                <w:tcPr>
                  <w:tcW w:w="152" w:type="pct"/>
                  <w:vMerge w:val="continue"/>
                  <w:tcBorders>
                    <w:tl2br w:val="nil"/>
                    <w:tr2bl w:val="nil"/>
                  </w:tcBorders>
                  <w:vAlign w:val="center"/>
                </w:tcPr>
                <w:p w14:paraId="34543D31">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p>
              </w:tc>
              <w:tc>
                <w:tcPr>
                  <w:tcW w:w="268" w:type="pct"/>
                  <w:tcBorders>
                    <w:tl2br w:val="nil"/>
                    <w:tr2bl w:val="nil"/>
                  </w:tcBorders>
                  <w:vAlign w:val="center"/>
                </w:tcPr>
                <w:p w14:paraId="29EA9EBB">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r>
                    <w:rPr>
                      <w:rFonts w:hint="eastAsia" w:cs="Times New Roman"/>
                      <w:b w:val="0"/>
                      <w:bCs w:val="0"/>
                      <w:color w:val="auto"/>
                      <w:sz w:val="21"/>
                      <w:szCs w:val="21"/>
                      <w:lang w:val="en-US" w:eastAsia="zh-CN"/>
                    </w:rPr>
                    <w:t>11.5</w:t>
                  </w:r>
                </w:p>
              </w:tc>
              <w:tc>
                <w:tcPr>
                  <w:tcW w:w="234" w:type="pct"/>
                  <w:tcBorders>
                    <w:tl2br w:val="nil"/>
                    <w:tr2bl w:val="nil"/>
                  </w:tcBorders>
                  <w:vAlign w:val="center"/>
                </w:tcPr>
                <w:p w14:paraId="0467E587">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val="0"/>
                      <w:color w:val="auto"/>
                      <w:sz w:val="21"/>
                      <w:szCs w:val="21"/>
                      <w:lang w:val="en-US"/>
                    </w:rPr>
                  </w:pPr>
                  <w:r>
                    <w:rPr>
                      <w:rFonts w:hint="eastAsia" w:cs="Times New Roman"/>
                      <w:b w:val="0"/>
                      <w:bCs w:val="0"/>
                      <w:color w:val="auto"/>
                      <w:sz w:val="21"/>
                      <w:szCs w:val="21"/>
                      <w:lang w:val="en-US" w:eastAsia="zh-CN"/>
                    </w:rPr>
                    <w:t>0.23</w:t>
                  </w:r>
                </w:p>
              </w:tc>
              <w:tc>
                <w:tcPr>
                  <w:tcW w:w="234" w:type="pct"/>
                  <w:tcBorders>
                    <w:tl2br w:val="nil"/>
                    <w:tr2bl w:val="nil"/>
                  </w:tcBorders>
                  <w:vAlign w:val="center"/>
                </w:tcPr>
                <w:p w14:paraId="01F51261">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val="0"/>
                      <w:color w:val="auto"/>
                      <w:sz w:val="21"/>
                      <w:szCs w:val="21"/>
                      <w:lang w:val="en-US"/>
                    </w:rPr>
                  </w:pPr>
                  <w:r>
                    <w:rPr>
                      <w:rFonts w:hint="eastAsia" w:cs="Times New Roman"/>
                      <w:b w:val="0"/>
                      <w:bCs w:val="0"/>
                      <w:color w:val="auto"/>
                      <w:sz w:val="21"/>
                      <w:szCs w:val="21"/>
                      <w:lang w:val="en-US" w:eastAsia="zh-CN"/>
                    </w:rPr>
                    <w:t>0.713</w:t>
                  </w:r>
                </w:p>
              </w:tc>
              <w:tc>
                <w:tcPr>
                  <w:tcW w:w="280" w:type="pct"/>
                  <w:vMerge w:val="continue"/>
                  <w:tcBorders>
                    <w:tl2br w:val="nil"/>
                    <w:tr2bl w:val="nil"/>
                  </w:tcBorders>
                  <w:vAlign w:val="center"/>
                </w:tcPr>
                <w:p w14:paraId="1C9154E5">
                  <w:pPr>
                    <w:keepNext/>
                    <w:keepLines/>
                    <w:pageBreakBefore w:val="0"/>
                    <w:kinsoku/>
                    <w:wordWrap/>
                    <w:overflowPunct/>
                    <w:topLinePunct w:val="0"/>
                    <w:autoSpaceDE/>
                    <w:autoSpaceDN/>
                    <w:bidi w:val="0"/>
                    <w:spacing w:line="240" w:lineRule="auto"/>
                    <w:ind w:left="0" w:leftChars="0" w:right="0" w:rightChars="0"/>
                    <w:jc w:val="center"/>
                    <w:rPr>
                      <w:rFonts w:hint="default" w:eastAsia="宋体"/>
                      <w:b w:val="0"/>
                      <w:bCs w:val="0"/>
                      <w:color w:val="auto"/>
                      <w:sz w:val="21"/>
                      <w:szCs w:val="21"/>
                      <w:lang w:val="en-US" w:eastAsia="zh-CN"/>
                    </w:rPr>
                  </w:pPr>
                </w:p>
              </w:tc>
              <w:tc>
                <w:tcPr>
                  <w:tcW w:w="152" w:type="pct"/>
                  <w:vMerge w:val="continue"/>
                  <w:tcBorders>
                    <w:tl2br w:val="nil"/>
                    <w:tr2bl w:val="nil"/>
                  </w:tcBorders>
                  <w:vAlign w:val="center"/>
                </w:tcPr>
                <w:p w14:paraId="5EEB8EF3">
                  <w:pPr>
                    <w:keepNext/>
                    <w:keepLines/>
                    <w:pageBreakBefore w:val="0"/>
                    <w:kinsoku/>
                    <w:wordWrap/>
                    <w:overflowPunct/>
                    <w:topLinePunct w:val="0"/>
                    <w:autoSpaceDE/>
                    <w:autoSpaceDN/>
                    <w:bidi w:val="0"/>
                    <w:spacing w:line="240" w:lineRule="auto"/>
                    <w:ind w:left="0" w:leftChars="0" w:right="0" w:rightChars="0"/>
                    <w:jc w:val="center"/>
                    <w:rPr>
                      <w:b w:val="0"/>
                      <w:bCs w:val="0"/>
                      <w:color w:val="auto"/>
                      <w:sz w:val="21"/>
                      <w:szCs w:val="21"/>
                    </w:rPr>
                  </w:pPr>
                </w:p>
              </w:tc>
              <w:tc>
                <w:tcPr>
                  <w:tcW w:w="168" w:type="pct"/>
                  <w:vMerge w:val="continue"/>
                  <w:tcBorders>
                    <w:tl2br w:val="nil"/>
                    <w:tr2bl w:val="nil"/>
                  </w:tcBorders>
                  <w:vAlign w:val="center"/>
                </w:tcPr>
                <w:p w14:paraId="598460CD">
                  <w:pPr>
                    <w:keepNext/>
                    <w:keepLines/>
                    <w:pageBreakBefore w:val="0"/>
                    <w:kinsoku/>
                    <w:wordWrap/>
                    <w:overflowPunct/>
                    <w:topLinePunct w:val="0"/>
                    <w:autoSpaceDE/>
                    <w:autoSpaceDN/>
                    <w:bidi w:val="0"/>
                    <w:spacing w:line="240" w:lineRule="auto"/>
                    <w:ind w:left="0" w:leftChars="0" w:right="0" w:rightChars="0"/>
                    <w:jc w:val="center"/>
                    <w:rPr>
                      <w:b w:val="0"/>
                      <w:bCs w:val="0"/>
                      <w:color w:val="auto"/>
                      <w:sz w:val="21"/>
                      <w:szCs w:val="21"/>
                    </w:rPr>
                  </w:pPr>
                </w:p>
              </w:tc>
              <w:tc>
                <w:tcPr>
                  <w:tcW w:w="153" w:type="pct"/>
                  <w:vMerge w:val="continue"/>
                  <w:tcBorders>
                    <w:tl2br w:val="nil"/>
                    <w:tr2bl w:val="nil"/>
                  </w:tcBorders>
                  <w:vAlign w:val="center"/>
                </w:tcPr>
                <w:p w14:paraId="3EECF1D4">
                  <w:pPr>
                    <w:keepNext/>
                    <w:keepLines/>
                    <w:pageBreakBefore w:val="0"/>
                    <w:kinsoku/>
                    <w:wordWrap/>
                    <w:overflowPunct/>
                    <w:topLinePunct w:val="0"/>
                    <w:autoSpaceDE/>
                    <w:autoSpaceDN/>
                    <w:bidi w:val="0"/>
                    <w:spacing w:line="240" w:lineRule="auto"/>
                    <w:ind w:left="0" w:leftChars="0" w:right="0" w:rightChars="0"/>
                    <w:jc w:val="center"/>
                    <w:rPr>
                      <w:b w:val="0"/>
                      <w:bCs w:val="0"/>
                      <w:color w:val="auto"/>
                      <w:sz w:val="21"/>
                      <w:szCs w:val="21"/>
                    </w:rPr>
                  </w:pPr>
                </w:p>
              </w:tc>
              <w:tc>
                <w:tcPr>
                  <w:tcW w:w="152" w:type="pct"/>
                  <w:vMerge w:val="continue"/>
                  <w:tcBorders>
                    <w:tl2br w:val="nil"/>
                    <w:tr2bl w:val="nil"/>
                  </w:tcBorders>
                  <w:vAlign w:val="center"/>
                </w:tcPr>
                <w:p w14:paraId="6229D691">
                  <w:pPr>
                    <w:keepNext/>
                    <w:keepLines/>
                    <w:pageBreakBefore w:val="0"/>
                    <w:kinsoku/>
                    <w:wordWrap/>
                    <w:overflowPunct/>
                    <w:topLinePunct w:val="0"/>
                    <w:autoSpaceDE/>
                    <w:autoSpaceDN/>
                    <w:bidi w:val="0"/>
                    <w:spacing w:line="240" w:lineRule="auto"/>
                    <w:ind w:left="0" w:leftChars="0" w:right="0" w:rightChars="0"/>
                    <w:jc w:val="center"/>
                    <w:rPr>
                      <w:b w:val="0"/>
                      <w:bCs w:val="0"/>
                      <w:color w:val="auto"/>
                      <w:sz w:val="21"/>
                      <w:szCs w:val="21"/>
                    </w:rPr>
                  </w:pPr>
                </w:p>
              </w:tc>
              <w:tc>
                <w:tcPr>
                  <w:tcW w:w="541" w:type="pct"/>
                  <w:vMerge w:val="continue"/>
                  <w:tcBorders>
                    <w:tl2br w:val="nil"/>
                    <w:tr2bl w:val="nil"/>
                  </w:tcBorders>
                  <w:shd w:val="clear" w:color="auto" w:fill="auto"/>
                  <w:vAlign w:val="center"/>
                </w:tcPr>
                <w:p w14:paraId="301FC159">
                  <w:pPr>
                    <w:keepNext/>
                    <w:keepLines/>
                    <w:pageBreakBefore w:val="0"/>
                    <w:kinsoku/>
                    <w:wordWrap/>
                    <w:overflowPunct/>
                    <w:topLinePunct w:val="0"/>
                    <w:autoSpaceDE/>
                    <w:autoSpaceDN/>
                    <w:bidi w:val="0"/>
                    <w:spacing w:line="240" w:lineRule="auto"/>
                    <w:ind w:left="0" w:leftChars="0" w:right="0" w:rightChars="0"/>
                    <w:jc w:val="center"/>
                    <w:rPr>
                      <w:rFonts w:ascii="Times New Roman" w:hAnsi="Times New Roman" w:eastAsia="宋体" w:cs="Times New Roman"/>
                      <w:color w:val="auto"/>
                      <w:kern w:val="2"/>
                      <w:sz w:val="21"/>
                      <w:szCs w:val="21"/>
                      <w:lang w:val="en-US" w:eastAsia="zh-CN" w:bidi="ar-SA"/>
                    </w:rPr>
                  </w:pPr>
                </w:p>
              </w:tc>
              <w:tc>
                <w:tcPr>
                  <w:tcW w:w="268" w:type="pct"/>
                  <w:tcBorders>
                    <w:tl2br w:val="nil"/>
                    <w:tr2bl w:val="nil"/>
                  </w:tcBorders>
                  <w:vAlign w:val="center"/>
                </w:tcPr>
                <w:p w14:paraId="00F9954C">
                  <w:pPr>
                    <w:keepNext/>
                    <w:keepLines/>
                    <w:pageBreakBefore w:val="0"/>
                    <w:kinsoku/>
                    <w:wordWrap/>
                    <w:overflowPunct/>
                    <w:topLinePunct w:val="0"/>
                    <w:autoSpaceDE/>
                    <w:autoSpaceDN/>
                    <w:bidi w:val="0"/>
                    <w:spacing w:line="240" w:lineRule="auto"/>
                    <w:ind w:left="0" w:leftChars="0" w:right="0" w:rightChars="0"/>
                    <w:jc w:val="center"/>
                    <w:rPr>
                      <w:rFonts w:hint="default" w:eastAsia="宋体"/>
                      <w:b w:val="0"/>
                      <w:bCs w:val="0"/>
                      <w:color w:val="auto"/>
                      <w:sz w:val="21"/>
                      <w:szCs w:val="21"/>
                      <w:lang w:val="en-US" w:eastAsia="zh-CN"/>
                    </w:rPr>
                  </w:pPr>
                  <w:r>
                    <w:rPr>
                      <w:rFonts w:hint="eastAsia"/>
                      <w:color w:val="auto"/>
                      <w:szCs w:val="21"/>
                      <w:lang w:val="en-US" w:eastAsia="zh-CN"/>
                    </w:rPr>
                    <w:t>70</w:t>
                  </w:r>
                </w:p>
              </w:tc>
              <w:tc>
                <w:tcPr>
                  <w:tcW w:w="210" w:type="pct"/>
                  <w:tcBorders>
                    <w:tl2br w:val="nil"/>
                    <w:tr2bl w:val="nil"/>
                  </w:tcBorders>
                  <w:vAlign w:val="center"/>
                </w:tcPr>
                <w:p w14:paraId="04B98D25">
                  <w:pPr>
                    <w:keepNext/>
                    <w:keepLines/>
                    <w:pageBreakBefore w:val="0"/>
                    <w:kinsoku/>
                    <w:wordWrap/>
                    <w:overflowPunct/>
                    <w:topLinePunct w:val="0"/>
                    <w:autoSpaceDE/>
                    <w:autoSpaceDN/>
                    <w:bidi w:val="0"/>
                    <w:spacing w:line="240" w:lineRule="auto"/>
                    <w:ind w:left="0" w:leftChars="0" w:right="0" w:rightChars="0"/>
                    <w:jc w:val="center"/>
                    <w:rPr>
                      <w:b w:val="0"/>
                      <w:bCs w:val="0"/>
                      <w:color w:val="auto"/>
                      <w:sz w:val="21"/>
                      <w:szCs w:val="21"/>
                    </w:rPr>
                  </w:pPr>
                  <w:r>
                    <w:rPr>
                      <w:color w:val="auto"/>
                      <w:szCs w:val="21"/>
                    </w:rPr>
                    <w:t>/</w:t>
                  </w:r>
                </w:p>
              </w:tc>
            </w:tr>
            <w:tr w14:paraId="69DACF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51" w:type="pct"/>
                  <w:tcBorders>
                    <w:tl2br w:val="nil"/>
                    <w:tr2bl w:val="nil"/>
                  </w:tcBorders>
                  <w:vAlign w:val="center"/>
                </w:tcPr>
                <w:p w14:paraId="6960C2AD">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val="0"/>
                      <w:color w:val="auto"/>
                      <w:sz w:val="21"/>
                      <w:szCs w:val="21"/>
                      <w:lang w:val="en-US"/>
                    </w:rPr>
                  </w:pPr>
                  <w:r>
                    <w:rPr>
                      <w:rFonts w:hint="eastAsia"/>
                      <w:b w:val="0"/>
                      <w:bCs w:val="0"/>
                      <w:color w:val="auto"/>
                      <w:sz w:val="21"/>
                      <w:szCs w:val="21"/>
                      <w:lang w:val="en-US" w:eastAsia="zh-CN"/>
                    </w:rPr>
                    <w:t>调墨废气</w:t>
                  </w:r>
                </w:p>
              </w:tc>
              <w:tc>
                <w:tcPr>
                  <w:tcW w:w="151" w:type="pct"/>
                  <w:vMerge w:val="restart"/>
                  <w:tcBorders>
                    <w:tl2br w:val="nil"/>
                    <w:tr2bl w:val="nil"/>
                  </w:tcBorders>
                  <w:vAlign w:val="center"/>
                </w:tcPr>
                <w:p w14:paraId="387AE011">
                  <w:pPr>
                    <w:pStyle w:val="3"/>
                    <w:pageBreakBefore w:val="0"/>
                    <w:kinsoku/>
                    <w:wordWrap/>
                    <w:overflowPunct/>
                    <w:topLinePunct w:val="0"/>
                    <w:autoSpaceDE/>
                    <w:autoSpaceDN/>
                    <w:bidi w:val="0"/>
                    <w:spacing w:before="0" w:after="0" w:line="240" w:lineRule="auto"/>
                    <w:ind w:left="0" w:leftChars="0" w:right="0" w:rightChars="0"/>
                    <w:jc w:val="center"/>
                    <w:rPr>
                      <w:b w:val="0"/>
                      <w:bCs w:val="0"/>
                      <w:color w:val="auto"/>
                      <w:sz w:val="21"/>
                      <w:szCs w:val="21"/>
                    </w:rPr>
                  </w:pPr>
                  <w:r>
                    <w:rPr>
                      <w:b w:val="0"/>
                      <w:bCs w:val="0"/>
                      <w:color w:val="auto"/>
                      <w:sz w:val="21"/>
                      <w:szCs w:val="21"/>
                    </w:rPr>
                    <w:t>无组织</w:t>
                  </w:r>
                </w:p>
              </w:tc>
              <w:tc>
                <w:tcPr>
                  <w:tcW w:w="284" w:type="pct"/>
                  <w:vMerge w:val="restart"/>
                  <w:tcBorders>
                    <w:tl2br w:val="nil"/>
                    <w:tr2bl w:val="nil"/>
                  </w:tcBorders>
                  <w:vAlign w:val="center"/>
                </w:tcPr>
                <w:p w14:paraId="5F010726">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rFonts w:hint="default" w:ascii="Times New Roman" w:hAnsi="Times New Roman" w:cs="Times New Roman"/>
                      <w:bCs/>
                      <w:color w:val="auto"/>
                      <w:sz w:val="21"/>
                      <w:szCs w:val="21"/>
                      <w:vertAlign w:val="baseline"/>
                      <w:lang w:val="en-US" w:eastAsia="zh-CN"/>
                    </w:rPr>
                    <w:t>NMHC</w:t>
                  </w:r>
                </w:p>
              </w:tc>
              <w:tc>
                <w:tcPr>
                  <w:tcW w:w="268" w:type="pct"/>
                  <w:tcBorders>
                    <w:tl2br w:val="nil"/>
                    <w:tr2bl w:val="nil"/>
                  </w:tcBorders>
                  <w:vAlign w:val="center"/>
                </w:tcPr>
                <w:p w14:paraId="7DF64E0A">
                  <w:pPr>
                    <w:pStyle w:val="3"/>
                    <w:pageBreakBefore w:val="0"/>
                    <w:kinsoku/>
                    <w:wordWrap/>
                    <w:overflowPunct/>
                    <w:topLinePunct w:val="0"/>
                    <w:autoSpaceDE/>
                    <w:autoSpaceDN/>
                    <w:bidi w:val="0"/>
                    <w:spacing w:before="0" w:after="0" w:line="240" w:lineRule="auto"/>
                    <w:ind w:left="0" w:leftChars="0" w:right="0" w:rightChars="0"/>
                    <w:jc w:val="center"/>
                    <w:rPr>
                      <w:b w:val="0"/>
                      <w:bCs w:val="0"/>
                      <w:color w:val="auto"/>
                      <w:sz w:val="21"/>
                      <w:szCs w:val="21"/>
                    </w:rPr>
                  </w:pPr>
                  <w:r>
                    <w:rPr>
                      <w:b w:val="0"/>
                      <w:bCs w:val="0"/>
                      <w:color w:val="auto"/>
                      <w:sz w:val="21"/>
                      <w:szCs w:val="21"/>
                    </w:rPr>
                    <w:t>/</w:t>
                  </w:r>
                </w:p>
              </w:tc>
              <w:tc>
                <w:tcPr>
                  <w:tcW w:w="234" w:type="pct"/>
                  <w:tcBorders>
                    <w:tl2br w:val="nil"/>
                    <w:tr2bl w:val="nil"/>
                  </w:tcBorders>
                  <w:vAlign w:val="center"/>
                </w:tcPr>
                <w:p w14:paraId="7C75E513">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r>
                    <w:rPr>
                      <w:rFonts w:hint="eastAsia"/>
                      <w:b w:val="0"/>
                      <w:bCs w:val="0"/>
                      <w:color w:val="auto"/>
                      <w:sz w:val="21"/>
                      <w:szCs w:val="21"/>
                      <w:lang w:val="en-US" w:eastAsia="zh-CN"/>
                    </w:rPr>
                    <w:t>0.004</w:t>
                  </w:r>
                </w:p>
              </w:tc>
              <w:tc>
                <w:tcPr>
                  <w:tcW w:w="234" w:type="pct"/>
                  <w:tcBorders>
                    <w:tl2br w:val="nil"/>
                    <w:tr2bl w:val="nil"/>
                  </w:tcBorders>
                  <w:vAlign w:val="center"/>
                </w:tcPr>
                <w:p w14:paraId="00B1C898">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val="0"/>
                      <w:color w:val="auto"/>
                      <w:sz w:val="21"/>
                      <w:szCs w:val="21"/>
                      <w:lang w:val="en-US"/>
                    </w:rPr>
                  </w:pPr>
                  <w:r>
                    <w:rPr>
                      <w:rFonts w:hint="eastAsia" w:cs="Times New Roman"/>
                      <w:b w:val="0"/>
                      <w:bCs w:val="0"/>
                      <w:color w:val="auto"/>
                      <w:sz w:val="21"/>
                      <w:szCs w:val="21"/>
                      <w:vertAlign w:val="baseline"/>
                      <w:lang w:val="en-US" w:eastAsia="zh-CN"/>
                    </w:rPr>
                    <w:t>0.011</w:t>
                  </w:r>
                </w:p>
              </w:tc>
              <w:tc>
                <w:tcPr>
                  <w:tcW w:w="250" w:type="pct"/>
                  <w:tcBorders>
                    <w:tl2br w:val="nil"/>
                    <w:tr2bl w:val="nil"/>
                  </w:tcBorders>
                  <w:vAlign w:val="center"/>
                </w:tcPr>
                <w:p w14:paraId="3E4A0EE3">
                  <w:pPr>
                    <w:pStyle w:val="3"/>
                    <w:pageBreakBefore w:val="0"/>
                    <w:kinsoku/>
                    <w:wordWrap/>
                    <w:overflowPunct/>
                    <w:topLinePunct w:val="0"/>
                    <w:autoSpaceDE/>
                    <w:autoSpaceDN/>
                    <w:bidi w:val="0"/>
                    <w:spacing w:before="0" w:after="0" w:line="240" w:lineRule="auto"/>
                    <w:ind w:left="0" w:leftChars="0" w:right="0" w:rightChars="0"/>
                    <w:jc w:val="center"/>
                    <w:rPr>
                      <w:b w:val="0"/>
                      <w:bCs w:val="0"/>
                      <w:color w:val="auto"/>
                      <w:sz w:val="21"/>
                      <w:szCs w:val="21"/>
                    </w:rPr>
                  </w:pPr>
                  <w:r>
                    <w:rPr>
                      <w:b w:val="0"/>
                      <w:bCs w:val="0"/>
                      <w:color w:val="auto"/>
                      <w:sz w:val="21"/>
                      <w:szCs w:val="21"/>
                    </w:rPr>
                    <w:t>/</w:t>
                  </w:r>
                </w:p>
              </w:tc>
              <w:tc>
                <w:tcPr>
                  <w:tcW w:w="217" w:type="pct"/>
                  <w:tcBorders>
                    <w:tl2br w:val="nil"/>
                    <w:tr2bl w:val="nil"/>
                  </w:tcBorders>
                  <w:vAlign w:val="center"/>
                </w:tcPr>
                <w:p w14:paraId="42C8C745">
                  <w:pPr>
                    <w:pStyle w:val="3"/>
                    <w:pageBreakBefore w:val="0"/>
                    <w:kinsoku/>
                    <w:wordWrap/>
                    <w:overflowPunct/>
                    <w:topLinePunct w:val="0"/>
                    <w:autoSpaceDE/>
                    <w:autoSpaceDN/>
                    <w:bidi w:val="0"/>
                    <w:spacing w:before="0" w:after="0" w:line="240" w:lineRule="auto"/>
                    <w:ind w:left="0" w:leftChars="0" w:right="0" w:rightChars="0"/>
                    <w:jc w:val="center"/>
                    <w:rPr>
                      <w:b w:val="0"/>
                      <w:bCs w:val="0"/>
                      <w:color w:val="auto"/>
                      <w:sz w:val="21"/>
                      <w:szCs w:val="21"/>
                    </w:rPr>
                  </w:pPr>
                  <w:r>
                    <w:rPr>
                      <w:b w:val="0"/>
                      <w:bCs w:val="0"/>
                      <w:color w:val="auto"/>
                      <w:sz w:val="21"/>
                      <w:szCs w:val="21"/>
                    </w:rPr>
                    <w:t>/</w:t>
                  </w:r>
                </w:p>
              </w:tc>
              <w:tc>
                <w:tcPr>
                  <w:tcW w:w="234" w:type="pct"/>
                  <w:tcBorders>
                    <w:tl2br w:val="nil"/>
                    <w:tr2bl w:val="nil"/>
                  </w:tcBorders>
                  <w:vAlign w:val="center"/>
                </w:tcPr>
                <w:p w14:paraId="6FFFB662">
                  <w:pPr>
                    <w:pStyle w:val="3"/>
                    <w:pageBreakBefore w:val="0"/>
                    <w:kinsoku/>
                    <w:wordWrap/>
                    <w:overflowPunct/>
                    <w:topLinePunct w:val="0"/>
                    <w:autoSpaceDE/>
                    <w:autoSpaceDN/>
                    <w:bidi w:val="0"/>
                    <w:spacing w:before="0" w:after="0" w:line="240" w:lineRule="auto"/>
                    <w:ind w:left="0" w:leftChars="0" w:right="0" w:rightChars="0"/>
                    <w:jc w:val="center"/>
                    <w:rPr>
                      <w:b w:val="0"/>
                      <w:bCs w:val="0"/>
                      <w:color w:val="auto"/>
                      <w:sz w:val="21"/>
                      <w:szCs w:val="21"/>
                    </w:rPr>
                  </w:pPr>
                  <w:r>
                    <w:rPr>
                      <w:b w:val="0"/>
                      <w:bCs w:val="0"/>
                      <w:color w:val="auto"/>
                      <w:sz w:val="21"/>
                      <w:szCs w:val="21"/>
                    </w:rPr>
                    <w:t>/</w:t>
                  </w:r>
                </w:p>
              </w:tc>
              <w:tc>
                <w:tcPr>
                  <w:tcW w:w="152" w:type="pct"/>
                  <w:vMerge w:val="restart"/>
                  <w:tcBorders>
                    <w:tl2br w:val="nil"/>
                    <w:tr2bl w:val="nil"/>
                  </w:tcBorders>
                  <w:vAlign w:val="center"/>
                </w:tcPr>
                <w:p w14:paraId="1D97118E">
                  <w:pPr>
                    <w:pStyle w:val="3"/>
                    <w:pageBreakBefore w:val="0"/>
                    <w:kinsoku/>
                    <w:wordWrap/>
                    <w:overflowPunct/>
                    <w:topLinePunct w:val="0"/>
                    <w:autoSpaceDE/>
                    <w:autoSpaceDN/>
                    <w:bidi w:val="0"/>
                    <w:spacing w:before="0" w:after="0" w:line="240" w:lineRule="auto"/>
                    <w:ind w:left="0" w:leftChars="0" w:right="0" w:rightChars="0"/>
                    <w:jc w:val="center"/>
                    <w:rPr>
                      <w:rFonts w:hint="eastAsia"/>
                      <w:color w:val="auto"/>
                      <w:szCs w:val="21"/>
                    </w:rPr>
                  </w:pPr>
                  <w:r>
                    <w:rPr>
                      <w:rFonts w:hint="eastAsia"/>
                      <w:b w:val="0"/>
                      <w:bCs w:val="0"/>
                      <w:color w:val="auto"/>
                      <w:sz w:val="21"/>
                      <w:szCs w:val="21"/>
                    </w:rPr>
                    <w:t>加强通风</w:t>
                  </w:r>
                </w:p>
              </w:tc>
              <w:tc>
                <w:tcPr>
                  <w:tcW w:w="152" w:type="pct"/>
                  <w:tcBorders>
                    <w:tl2br w:val="nil"/>
                    <w:tr2bl w:val="nil"/>
                  </w:tcBorders>
                  <w:vAlign w:val="center"/>
                </w:tcPr>
                <w:p w14:paraId="5544F818">
                  <w:pPr>
                    <w:keepNext/>
                    <w:keepLines/>
                    <w:pageBreakBefore w:val="0"/>
                    <w:kinsoku/>
                    <w:wordWrap/>
                    <w:overflowPunct/>
                    <w:topLinePunct w:val="0"/>
                    <w:autoSpaceDE/>
                    <w:autoSpaceDN/>
                    <w:bidi w:val="0"/>
                    <w:spacing w:line="240" w:lineRule="auto"/>
                    <w:ind w:left="0" w:leftChars="0" w:right="0" w:rightChars="0"/>
                    <w:jc w:val="center"/>
                    <w:rPr>
                      <w:color w:val="auto"/>
                      <w:szCs w:val="21"/>
                    </w:rPr>
                  </w:pPr>
                  <w:r>
                    <w:rPr>
                      <w:color w:val="auto"/>
                      <w:szCs w:val="21"/>
                    </w:rPr>
                    <w:t>/</w:t>
                  </w:r>
                </w:p>
              </w:tc>
              <w:tc>
                <w:tcPr>
                  <w:tcW w:w="268" w:type="pct"/>
                  <w:tcBorders>
                    <w:tl2br w:val="nil"/>
                    <w:tr2bl w:val="nil"/>
                  </w:tcBorders>
                  <w:vAlign w:val="center"/>
                </w:tcPr>
                <w:p w14:paraId="61ADF4B4">
                  <w:pPr>
                    <w:keepNext/>
                    <w:keepLines/>
                    <w:pageBreakBefore w:val="0"/>
                    <w:kinsoku/>
                    <w:wordWrap/>
                    <w:overflowPunct/>
                    <w:topLinePunct w:val="0"/>
                    <w:autoSpaceDE/>
                    <w:autoSpaceDN/>
                    <w:bidi w:val="0"/>
                    <w:spacing w:line="240" w:lineRule="auto"/>
                    <w:ind w:left="0" w:leftChars="0" w:right="0" w:rightChars="0"/>
                    <w:jc w:val="center"/>
                    <w:rPr>
                      <w:color w:val="auto"/>
                      <w:szCs w:val="21"/>
                    </w:rPr>
                  </w:pPr>
                  <w:r>
                    <w:rPr>
                      <w:color w:val="auto"/>
                      <w:szCs w:val="21"/>
                    </w:rPr>
                    <w:t>/</w:t>
                  </w:r>
                </w:p>
              </w:tc>
              <w:tc>
                <w:tcPr>
                  <w:tcW w:w="234" w:type="pct"/>
                  <w:tcBorders>
                    <w:tl2br w:val="nil"/>
                    <w:tr2bl w:val="nil"/>
                  </w:tcBorders>
                  <w:vAlign w:val="center"/>
                </w:tcPr>
                <w:p w14:paraId="3BCA93F0">
                  <w:pPr>
                    <w:keepNext/>
                    <w:keepLines/>
                    <w:pageBreakBefore w:val="0"/>
                    <w:kinsoku/>
                    <w:wordWrap/>
                    <w:overflowPunct/>
                    <w:topLinePunct w:val="0"/>
                    <w:autoSpaceDE/>
                    <w:autoSpaceDN/>
                    <w:bidi w:val="0"/>
                    <w:spacing w:line="240" w:lineRule="auto"/>
                    <w:ind w:left="0" w:leftChars="0" w:right="0" w:rightChars="0"/>
                    <w:jc w:val="center"/>
                    <w:rPr>
                      <w:b w:val="0"/>
                      <w:bCs w:val="0"/>
                      <w:color w:val="auto"/>
                      <w:sz w:val="21"/>
                      <w:szCs w:val="21"/>
                    </w:rPr>
                  </w:pPr>
                  <w:r>
                    <w:rPr>
                      <w:color w:val="auto"/>
                      <w:szCs w:val="21"/>
                    </w:rPr>
                    <w:t>/</w:t>
                  </w:r>
                </w:p>
              </w:tc>
              <w:tc>
                <w:tcPr>
                  <w:tcW w:w="234" w:type="pct"/>
                  <w:tcBorders>
                    <w:tl2br w:val="nil"/>
                    <w:tr2bl w:val="nil"/>
                  </w:tcBorders>
                  <w:vAlign w:val="center"/>
                </w:tcPr>
                <w:p w14:paraId="3DE8A390">
                  <w:pPr>
                    <w:keepNext/>
                    <w:keepLines/>
                    <w:pageBreakBefore w:val="0"/>
                    <w:kinsoku/>
                    <w:wordWrap/>
                    <w:overflowPunct/>
                    <w:topLinePunct w:val="0"/>
                    <w:autoSpaceDE/>
                    <w:autoSpaceDN/>
                    <w:bidi w:val="0"/>
                    <w:spacing w:line="240" w:lineRule="auto"/>
                    <w:ind w:left="0" w:leftChars="0" w:right="0" w:rightChars="0"/>
                    <w:jc w:val="center"/>
                    <w:rPr>
                      <w:b w:val="0"/>
                      <w:bCs w:val="0"/>
                      <w:color w:val="auto"/>
                      <w:sz w:val="21"/>
                      <w:szCs w:val="21"/>
                    </w:rPr>
                  </w:pPr>
                  <w:r>
                    <w:rPr>
                      <w:color w:val="auto"/>
                      <w:szCs w:val="21"/>
                    </w:rPr>
                    <w:t>/</w:t>
                  </w:r>
                </w:p>
              </w:tc>
              <w:tc>
                <w:tcPr>
                  <w:tcW w:w="280" w:type="pct"/>
                  <w:tcBorders>
                    <w:tl2br w:val="nil"/>
                    <w:tr2bl w:val="nil"/>
                  </w:tcBorders>
                  <w:vAlign w:val="center"/>
                </w:tcPr>
                <w:p w14:paraId="215A6D7F">
                  <w:pPr>
                    <w:keepNext/>
                    <w:keepLines/>
                    <w:pageBreakBefore w:val="0"/>
                    <w:kinsoku/>
                    <w:wordWrap/>
                    <w:overflowPunct/>
                    <w:topLinePunct w:val="0"/>
                    <w:autoSpaceDE/>
                    <w:autoSpaceDN/>
                    <w:bidi w:val="0"/>
                    <w:spacing w:line="240" w:lineRule="auto"/>
                    <w:ind w:left="0" w:leftChars="0" w:right="0" w:rightChars="0"/>
                    <w:jc w:val="center"/>
                    <w:rPr>
                      <w:b w:val="0"/>
                      <w:bCs w:val="0"/>
                      <w:color w:val="auto"/>
                      <w:szCs w:val="21"/>
                    </w:rPr>
                  </w:pPr>
                  <w:r>
                    <w:rPr>
                      <w:b w:val="0"/>
                      <w:bCs w:val="0"/>
                      <w:color w:val="auto"/>
                      <w:szCs w:val="21"/>
                    </w:rPr>
                    <w:t>/</w:t>
                  </w:r>
                </w:p>
              </w:tc>
              <w:tc>
                <w:tcPr>
                  <w:tcW w:w="152" w:type="pct"/>
                  <w:tcBorders>
                    <w:tl2br w:val="nil"/>
                    <w:tr2bl w:val="nil"/>
                  </w:tcBorders>
                  <w:vAlign w:val="center"/>
                </w:tcPr>
                <w:p w14:paraId="1BFA8E77">
                  <w:pPr>
                    <w:keepNext/>
                    <w:keepLines/>
                    <w:pageBreakBefore w:val="0"/>
                    <w:kinsoku/>
                    <w:wordWrap/>
                    <w:overflowPunct/>
                    <w:topLinePunct w:val="0"/>
                    <w:autoSpaceDE/>
                    <w:autoSpaceDN/>
                    <w:bidi w:val="0"/>
                    <w:spacing w:line="240" w:lineRule="auto"/>
                    <w:ind w:left="0" w:leftChars="0" w:right="0" w:rightChars="0"/>
                    <w:jc w:val="center"/>
                    <w:rPr>
                      <w:b w:val="0"/>
                      <w:bCs w:val="0"/>
                      <w:color w:val="auto"/>
                      <w:szCs w:val="21"/>
                    </w:rPr>
                  </w:pPr>
                  <w:r>
                    <w:rPr>
                      <w:b w:val="0"/>
                      <w:bCs w:val="0"/>
                      <w:color w:val="auto"/>
                      <w:szCs w:val="21"/>
                    </w:rPr>
                    <w:t>/</w:t>
                  </w:r>
                </w:p>
              </w:tc>
              <w:tc>
                <w:tcPr>
                  <w:tcW w:w="168" w:type="pct"/>
                  <w:tcBorders>
                    <w:tl2br w:val="nil"/>
                    <w:tr2bl w:val="nil"/>
                  </w:tcBorders>
                  <w:vAlign w:val="center"/>
                </w:tcPr>
                <w:p w14:paraId="220D5A74">
                  <w:pPr>
                    <w:keepNext/>
                    <w:keepLines/>
                    <w:pageBreakBefore w:val="0"/>
                    <w:kinsoku/>
                    <w:wordWrap/>
                    <w:overflowPunct/>
                    <w:topLinePunct w:val="0"/>
                    <w:autoSpaceDE/>
                    <w:autoSpaceDN/>
                    <w:bidi w:val="0"/>
                    <w:spacing w:line="240" w:lineRule="auto"/>
                    <w:ind w:left="0" w:leftChars="0" w:right="0" w:rightChars="0"/>
                    <w:jc w:val="center"/>
                    <w:rPr>
                      <w:b w:val="0"/>
                      <w:bCs w:val="0"/>
                      <w:color w:val="auto"/>
                      <w:szCs w:val="21"/>
                    </w:rPr>
                  </w:pPr>
                  <w:r>
                    <w:rPr>
                      <w:b w:val="0"/>
                      <w:bCs w:val="0"/>
                      <w:color w:val="auto"/>
                      <w:szCs w:val="21"/>
                    </w:rPr>
                    <w:t>/</w:t>
                  </w:r>
                </w:p>
              </w:tc>
              <w:tc>
                <w:tcPr>
                  <w:tcW w:w="153" w:type="pct"/>
                  <w:tcBorders>
                    <w:tl2br w:val="nil"/>
                    <w:tr2bl w:val="nil"/>
                  </w:tcBorders>
                  <w:vAlign w:val="center"/>
                </w:tcPr>
                <w:p w14:paraId="6E50DEEB">
                  <w:pPr>
                    <w:keepNext/>
                    <w:keepLines/>
                    <w:pageBreakBefore w:val="0"/>
                    <w:kinsoku/>
                    <w:wordWrap/>
                    <w:overflowPunct/>
                    <w:topLinePunct w:val="0"/>
                    <w:autoSpaceDE/>
                    <w:autoSpaceDN/>
                    <w:bidi w:val="0"/>
                    <w:spacing w:line="240" w:lineRule="auto"/>
                    <w:ind w:left="0" w:leftChars="0" w:right="0" w:rightChars="0"/>
                    <w:jc w:val="center"/>
                    <w:rPr>
                      <w:b w:val="0"/>
                      <w:bCs w:val="0"/>
                      <w:color w:val="auto"/>
                      <w:szCs w:val="21"/>
                    </w:rPr>
                  </w:pPr>
                  <w:r>
                    <w:rPr>
                      <w:b w:val="0"/>
                      <w:bCs w:val="0"/>
                      <w:color w:val="auto"/>
                      <w:szCs w:val="21"/>
                    </w:rPr>
                    <w:t>/</w:t>
                  </w:r>
                </w:p>
              </w:tc>
              <w:tc>
                <w:tcPr>
                  <w:tcW w:w="152" w:type="pct"/>
                  <w:tcBorders>
                    <w:tl2br w:val="nil"/>
                    <w:tr2bl w:val="nil"/>
                  </w:tcBorders>
                  <w:vAlign w:val="center"/>
                </w:tcPr>
                <w:p w14:paraId="7F549FBB">
                  <w:pPr>
                    <w:keepNext/>
                    <w:keepLines/>
                    <w:pageBreakBefore w:val="0"/>
                    <w:kinsoku/>
                    <w:wordWrap/>
                    <w:overflowPunct/>
                    <w:topLinePunct w:val="0"/>
                    <w:autoSpaceDE/>
                    <w:autoSpaceDN/>
                    <w:bidi w:val="0"/>
                    <w:spacing w:line="240" w:lineRule="auto"/>
                    <w:ind w:left="0" w:leftChars="0" w:right="0" w:rightChars="0"/>
                    <w:jc w:val="center"/>
                    <w:rPr>
                      <w:b w:val="0"/>
                      <w:bCs w:val="0"/>
                      <w:color w:val="auto"/>
                      <w:szCs w:val="21"/>
                    </w:rPr>
                  </w:pPr>
                  <w:r>
                    <w:rPr>
                      <w:b w:val="0"/>
                      <w:bCs w:val="0"/>
                      <w:color w:val="auto"/>
                      <w:szCs w:val="21"/>
                    </w:rPr>
                    <w:t>/</w:t>
                  </w:r>
                </w:p>
              </w:tc>
              <w:tc>
                <w:tcPr>
                  <w:tcW w:w="541" w:type="pct"/>
                  <w:tcBorders>
                    <w:tl2br w:val="nil"/>
                    <w:tr2bl w:val="nil"/>
                  </w:tcBorders>
                  <w:vAlign w:val="center"/>
                </w:tcPr>
                <w:p w14:paraId="28B3850B">
                  <w:pPr>
                    <w:keepNext/>
                    <w:keepLines/>
                    <w:pageBreakBefore w:val="0"/>
                    <w:kinsoku/>
                    <w:wordWrap/>
                    <w:overflowPunct/>
                    <w:topLinePunct w:val="0"/>
                    <w:autoSpaceDE/>
                    <w:autoSpaceDN/>
                    <w:bidi w:val="0"/>
                    <w:spacing w:line="240" w:lineRule="auto"/>
                    <w:ind w:left="0" w:leftChars="0" w:right="0" w:rightChars="0"/>
                    <w:jc w:val="center"/>
                    <w:rPr>
                      <w:color w:val="auto"/>
                      <w:szCs w:val="21"/>
                    </w:rPr>
                  </w:pPr>
                  <w:r>
                    <w:rPr>
                      <w:color w:val="auto"/>
                      <w:szCs w:val="21"/>
                    </w:rPr>
                    <w:t>/</w:t>
                  </w:r>
                </w:p>
              </w:tc>
              <w:tc>
                <w:tcPr>
                  <w:tcW w:w="268" w:type="pct"/>
                  <w:tcBorders>
                    <w:tl2br w:val="nil"/>
                    <w:tr2bl w:val="nil"/>
                  </w:tcBorders>
                  <w:vAlign w:val="center"/>
                </w:tcPr>
                <w:p w14:paraId="52419960">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r>
                    <w:rPr>
                      <w:b w:val="0"/>
                      <w:bCs w:val="0"/>
                      <w:color w:val="auto"/>
                      <w:sz w:val="21"/>
                      <w:szCs w:val="21"/>
                    </w:rPr>
                    <w:t>/</w:t>
                  </w:r>
                </w:p>
              </w:tc>
              <w:tc>
                <w:tcPr>
                  <w:tcW w:w="210" w:type="pct"/>
                  <w:tcBorders>
                    <w:tl2br w:val="nil"/>
                    <w:tr2bl w:val="nil"/>
                  </w:tcBorders>
                  <w:vAlign w:val="center"/>
                </w:tcPr>
                <w:p w14:paraId="525CA32D">
                  <w:pPr>
                    <w:pStyle w:val="3"/>
                    <w:pageBreakBefore w:val="0"/>
                    <w:kinsoku/>
                    <w:wordWrap/>
                    <w:overflowPunct/>
                    <w:topLinePunct w:val="0"/>
                    <w:autoSpaceDE/>
                    <w:autoSpaceDN/>
                    <w:bidi w:val="0"/>
                    <w:spacing w:before="0" w:after="0" w:line="240" w:lineRule="auto"/>
                    <w:ind w:left="0" w:leftChars="0" w:right="0" w:rightChars="0"/>
                    <w:jc w:val="center"/>
                    <w:rPr>
                      <w:b w:val="0"/>
                      <w:bCs w:val="0"/>
                      <w:color w:val="auto"/>
                      <w:sz w:val="21"/>
                      <w:szCs w:val="21"/>
                    </w:rPr>
                  </w:pPr>
                  <w:r>
                    <w:rPr>
                      <w:b w:val="0"/>
                      <w:bCs w:val="0"/>
                      <w:color w:val="auto"/>
                      <w:sz w:val="21"/>
                      <w:szCs w:val="21"/>
                    </w:rPr>
                    <w:t>/</w:t>
                  </w:r>
                </w:p>
              </w:tc>
            </w:tr>
            <w:tr w14:paraId="291CC6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51" w:type="pct"/>
                  <w:tcBorders>
                    <w:tl2br w:val="nil"/>
                    <w:tr2bl w:val="nil"/>
                  </w:tcBorders>
                  <w:shd w:val="clear" w:color="auto" w:fill="auto"/>
                  <w:vAlign w:val="center"/>
                </w:tcPr>
                <w:p w14:paraId="58C10132">
                  <w:pPr>
                    <w:keepNext/>
                    <w:keepLines/>
                    <w:pageBreakBefore w:val="0"/>
                    <w:kinsoku/>
                    <w:wordWrap/>
                    <w:overflowPunct/>
                    <w:topLinePunct w:val="0"/>
                    <w:autoSpaceDE/>
                    <w:autoSpaceDN/>
                    <w:bidi w:val="0"/>
                    <w:spacing w:line="240" w:lineRule="auto"/>
                    <w:ind w:left="0" w:leftChars="0" w:right="0" w:rightChars="0"/>
                    <w:jc w:val="both"/>
                    <w:rPr>
                      <w:rFonts w:hint="default" w:ascii="Times New Roman" w:hAnsi="Times New Roman" w:eastAsia="宋体" w:cs="Times New Roman"/>
                      <w:color w:val="auto"/>
                      <w:kern w:val="2"/>
                      <w:sz w:val="21"/>
                      <w:szCs w:val="24"/>
                      <w:lang w:val="en-US" w:eastAsia="zh-CN" w:bidi="ar-SA"/>
                    </w:rPr>
                  </w:pPr>
                  <w:r>
                    <w:rPr>
                      <w:rFonts w:hint="eastAsia"/>
                      <w:color w:val="auto"/>
                      <w:lang w:val="en-US" w:eastAsia="zh-CN"/>
                    </w:rPr>
                    <w:t>印刷废气</w:t>
                  </w:r>
                </w:p>
              </w:tc>
              <w:tc>
                <w:tcPr>
                  <w:tcW w:w="151" w:type="pct"/>
                  <w:vMerge w:val="continue"/>
                  <w:tcBorders>
                    <w:tl2br w:val="nil"/>
                    <w:tr2bl w:val="nil"/>
                  </w:tcBorders>
                  <w:vAlign w:val="center"/>
                </w:tcPr>
                <w:p w14:paraId="66E085A0">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284" w:type="pct"/>
                  <w:vMerge w:val="continue"/>
                  <w:tcBorders>
                    <w:tl2br w:val="nil"/>
                    <w:tr2bl w:val="nil"/>
                  </w:tcBorders>
                  <w:shd w:val="clear" w:color="auto" w:fill="auto"/>
                  <w:vAlign w:val="center"/>
                </w:tcPr>
                <w:p w14:paraId="2C2FC922">
                  <w:pPr>
                    <w:keepNext/>
                    <w:keepLines/>
                    <w:pageBreakBefore w:val="0"/>
                    <w:kinsoku/>
                    <w:wordWrap/>
                    <w:overflowPunct/>
                    <w:topLinePunct w:val="0"/>
                    <w:autoSpaceDE/>
                    <w:autoSpaceDN/>
                    <w:bidi w:val="0"/>
                    <w:spacing w:line="240" w:lineRule="auto"/>
                    <w:ind w:left="0" w:leftChars="0" w:right="0" w:rightChars="0"/>
                    <w:jc w:val="center"/>
                    <w:rPr>
                      <w:rFonts w:hint="eastAsia" w:ascii="Times New Roman" w:hAnsi="Times New Roman" w:eastAsia="宋体" w:cs="Times New Roman"/>
                      <w:color w:val="auto"/>
                      <w:kern w:val="2"/>
                      <w:sz w:val="21"/>
                      <w:szCs w:val="21"/>
                      <w:lang w:val="en-US" w:eastAsia="zh-CN" w:bidi="ar-SA"/>
                    </w:rPr>
                  </w:pPr>
                </w:p>
              </w:tc>
              <w:tc>
                <w:tcPr>
                  <w:tcW w:w="268" w:type="pct"/>
                  <w:tcBorders>
                    <w:tl2br w:val="nil"/>
                    <w:tr2bl w:val="nil"/>
                  </w:tcBorders>
                  <w:vAlign w:val="center"/>
                </w:tcPr>
                <w:p w14:paraId="04D30BFB">
                  <w:pPr>
                    <w:pStyle w:val="3"/>
                    <w:pageBreakBefore w:val="0"/>
                    <w:kinsoku/>
                    <w:wordWrap/>
                    <w:overflowPunct/>
                    <w:topLinePunct w:val="0"/>
                    <w:autoSpaceDE/>
                    <w:autoSpaceDN/>
                    <w:bidi w:val="0"/>
                    <w:spacing w:before="0" w:after="0" w:line="240" w:lineRule="auto"/>
                    <w:ind w:left="0" w:leftChars="0" w:right="0" w:rightChars="0"/>
                    <w:jc w:val="center"/>
                    <w:rPr>
                      <w:rFonts w:hint="eastAsia"/>
                      <w:color w:val="auto"/>
                      <w:szCs w:val="21"/>
                    </w:rPr>
                  </w:pPr>
                  <w:r>
                    <w:rPr>
                      <w:b w:val="0"/>
                      <w:bCs w:val="0"/>
                      <w:color w:val="auto"/>
                      <w:sz w:val="21"/>
                      <w:szCs w:val="21"/>
                    </w:rPr>
                    <w:t>/</w:t>
                  </w:r>
                </w:p>
              </w:tc>
              <w:tc>
                <w:tcPr>
                  <w:tcW w:w="234" w:type="pct"/>
                  <w:tcBorders>
                    <w:tl2br w:val="nil"/>
                    <w:tr2bl w:val="nil"/>
                  </w:tcBorders>
                  <w:vAlign w:val="center"/>
                </w:tcPr>
                <w:p w14:paraId="4E652D59">
                  <w:pPr>
                    <w:pStyle w:val="3"/>
                    <w:pageBreakBefore w:val="0"/>
                    <w:kinsoku/>
                    <w:wordWrap/>
                    <w:overflowPunct/>
                    <w:topLinePunct w:val="0"/>
                    <w:autoSpaceDE/>
                    <w:autoSpaceDN/>
                    <w:bidi w:val="0"/>
                    <w:spacing w:before="0" w:after="0" w:line="240" w:lineRule="auto"/>
                    <w:ind w:left="0" w:leftChars="0" w:right="0" w:rightChars="0"/>
                    <w:jc w:val="center"/>
                    <w:rPr>
                      <w:rFonts w:hint="default"/>
                      <w:color w:val="auto"/>
                      <w:szCs w:val="21"/>
                      <w:lang w:val="en-US"/>
                    </w:rPr>
                  </w:pPr>
                  <w:r>
                    <w:rPr>
                      <w:rFonts w:hint="eastAsia"/>
                      <w:b w:val="0"/>
                      <w:bCs w:val="0"/>
                      <w:color w:val="auto"/>
                      <w:sz w:val="21"/>
                      <w:szCs w:val="21"/>
                      <w:lang w:val="en-US" w:eastAsia="zh-CN"/>
                    </w:rPr>
                    <w:t>0.032</w:t>
                  </w:r>
                </w:p>
              </w:tc>
              <w:tc>
                <w:tcPr>
                  <w:tcW w:w="234" w:type="pct"/>
                  <w:tcBorders>
                    <w:tl2br w:val="nil"/>
                    <w:tr2bl w:val="nil"/>
                  </w:tcBorders>
                  <w:vAlign w:val="center"/>
                </w:tcPr>
                <w:p w14:paraId="6DAA1403">
                  <w:pPr>
                    <w:pStyle w:val="3"/>
                    <w:pageBreakBefore w:val="0"/>
                    <w:kinsoku/>
                    <w:wordWrap/>
                    <w:overflowPunct/>
                    <w:topLinePunct w:val="0"/>
                    <w:autoSpaceDE/>
                    <w:autoSpaceDN/>
                    <w:bidi w:val="0"/>
                    <w:spacing w:before="0" w:after="0" w:line="240" w:lineRule="auto"/>
                    <w:ind w:left="0" w:leftChars="0" w:right="0" w:rightChars="0"/>
                    <w:jc w:val="center"/>
                    <w:rPr>
                      <w:rFonts w:hint="default"/>
                      <w:color w:val="auto"/>
                      <w:szCs w:val="21"/>
                      <w:lang w:val="en-US"/>
                    </w:rPr>
                  </w:pPr>
                  <w:r>
                    <w:rPr>
                      <w:rFonts w:hint="eastAsia" w:cs="Times New Roman"/>
                      <w:b w:val="0"/>
                      <w:bCs w:val="0"/>
                      <w:color w:val="auto"/>
                      <w:sz w:val="21"/>
                      <w:szCs w:val="21"/>
                      <w:vertAlign w:val="baseline"/>
                      <w:lang w:val="en-US" w:eastAsia="zh-CN"/>
                    </w:rPr>
                    <w:t>0.099</w:t>
                  </w:r>
                </w:p>
              </w:tc>
              <w:tc>
                <w:tcPr>
                  <w:tcW w:w="250" w:type="pct"/>
                  <w:tcBorders>
                    <w:tl2br w:val="nil"/>
                    <w:tr2bl w:val="nil"/>
                  </w:tcBorders>
                  <w:vAlign w:val="center"/>
                </w:tcPr>
                <w:p w14:paraId="5EF1947C">
                  <w:pPr>
                    <w:pStyle w:val="3"/>
                    <w:pageBreakBefore w:val="0"/>
                    <w:kinsoku/>
                    <w:wordWrap/>
                    <w:overflowPunct/>
                    <w:topLinePunct w:val="0"/>
                    <w:autoSpaceDE/>
                    <w:autoSpaceDN/>
                    <w:bidi w:val="0"/>
                    <w:spacing w:before="0" w:after="0" w:line="240" w:lineRule="auto"/>
                    <w:ind w:left="0" w:leftChars="0" w:right="0" w:rightChars="0"/>
                    <w:jc w:val="center"/>
                    <w:rPr>
                      <w:rFonts w:hint="eastAsia"/>
                      <w:color w:val="auto"/>
                      <w:szCs w:val="21"/>
                    </w:rPr>
                  </w:pPr>
                  <w:r>
                    <w:rPr>
                      <w:b w:val="0"/>
                      <w:bCs w:val="0"/>
                      <w:color w:val="auto"/>
                      <w:sz w:val="21"/>
                      <w:szCs w:val="21"/>
                    </w:rPr>
                    <w:t>/</w:t>
                  </w:r>
                </w:p>
              </w:tc>
              <w:tc>
                <w:tcPr>
                  <w:tcW w:w="217" w:type="pct"/>
                  <w:tcBorders>
                    <w:tl2br w:val="nil"/>
                    <w:tr2bl w:val="nil"/>
                  </w:tcBorders>
                  <w:vAlign w:val="center"/>
                </w:tcPr>
                <w:p w14:paraId="17F3AC5A">
                  <w:pPr>
                    <w:pStyle w:val="3"/>
                    <w:pageBreakBefore w:val="0"/>
                    <w:kinsoku/>
                    <w:wordWrap/>
                    <w:overflowPunct/>
                    <w:topLinePunct w:val="0"/>
                    <w:autoSpaceDE/>
                    <w:autoSpaceDN/>
                    <w:bidi w:val="0"/>
                    <w:spacing w:before="0" w:after="0" w:line="240" w:lineRule="auto"/>
                    <w:ind w:left="0" w:leftChars="0" w:right="0" w:rightChars="0"/>
                    <w:jc w:val="center"/>
                    <w:rPr>
                      <w:rFonts w:hint="eastAsia"/>
                      <w:color w:val="auto"/>
                      <w:szCs w:val="21"/>
                    </w:rPr>
                  </w:pPr>
                  <w:r>
                    <w:rPr>
                      <w:b w:val="0"/>
                      <w:bCs w:val="0"/>
                      <w:color w:val="auto"/>
                      <w:sz w:val="21"/>
                      <w:szCs w:val="21"/>
                    </w:rPr>
                    <w:t>/</w:t>
                  </w:r>
                </w:p>
              </w:tc>
              <w:tc>
                <w:tcPr>
                  <w:tcW w:w="234" w:type="pct"/>
                  <w:tcBorders>
                    <w:tl2br w:val="nil"/>
                    <w:tr2bl w:val="nil"/>
                  </w:tcBorders>
                  <w:vAlign w:val="center"/>
                </w:tcPr>
                <w:p w14:paraId="2127A7EF">
                  <w:pPr>
                    <w:pStyle w:val="3"/>
                    <w:pageBreakBefore w:val="0"/>
                    <w:kinsoku/>
                    <w:wordWrap/>
                    <w:overflowPunct/>
                    <w:topLinePunct w:val="0"/>
                    <w:autoSpaceDE/>
                    <w:autoSpaceDN/>
                    <w:bidi w:val="0"/>
                    <w:spacing w:before="0" w:after="0" w:line="240" w:lineRule="auto"/>
                    <w:ind w:left="0" w:leftChars="0" w:right="0" w:rightChars="0"/>
                    <w:jc w:val="center"/>
                    <w:rPr>
                      <w:rFonts w:hint="eastAsia"/>
                      <w:color w:val="auto"/>
                      <w:szCs w:val="21"/>
                    </w:rPr>
                  </w:pPr>
                  <w:r>
                    <w:rPr>
                      <w:b w:val="0"/>
                      <w:bCs w:val="0"/>
                      <w:color w:val="auto"/>
                      <w:sz w:val="21"/>
                      <w:szCs w:val="21"/>
                    </w:rPr>
                    <w:t>/</w:t>
                  </w:r>
                </w:p>
              </w:tc>
              <w:tc>
                <w:tcPr>
                  <w:tcW w:w="152" w:type="pct"/>
                  <w:vMerge w:val="continue"/>
                  <w:tcBorders>
                    <w:tl2br w:val="nil"/>
                    <w:tr2bl w:val="nil"/>
                  </w:tcBorders>
                  <w:vAlign w:val="center"/>
                </w:tcPr>
                <w:p w14:paraId="3136C244">
                  <w:pPr>
                    <w:pStyle w:val="3"/>
                    <w:pageBreakBefore w:val="0"/>
                    <w:kinsoku/>
                    <w:wordWrap/>
                    <w:overflowPunct/>
                    <w:topLinePunct w:val="0"/>
                    <w:autoSpaceDE/>
                    <w:autoSpaceDN/>
                    <w:bidi w:val="0"/>
                    <w:spacing w:before="0" w:after="0" w:line="240" w:lineRule="auto"/>
                    <w:ind w:left="0" w:leftChars="0" w:right="0" w:rightChars="0"/>
                    <w:jc w:val="center"/>
                    <w:rPr>
                      <w:rFonts w:hint="eastAsia"/>
                      <w:color w:val="auto"/>
                      <w:szCs w:val="21"/>
                    </w:rPr>
                  </w:pPr>
                </w:p>
              </w:tc>
              <w:tc>
                <w:tcPr>
                  <w:tcW w:w="152" w:type="pct"/>
                  <w:tcBorders>
                    <w:tl2br w:val="nil"/>
                    <w:tr2bl w:val="nil"/>
                  </w:tcBorders>
                  <w:shd w:val="clear" w:color="auto" w:fill="auto"/>
                  <w:vAlign w:val="center"/>
                </w:tcPr>
                <w:p w14:paraId="65753FC0">
                  <w:pPr>
                    <w:pStyle w:val="3"/>
                    <w:pageBreakBefore w:val="0"/>
                    <w:kinsoku/>
                    <w:wordWrap/>
                    <w:overflowPunct/>
                    <w:topLinePunct w:val="0"/>
                    <w:autoSpaceDE/>
                    <w:autoSpaceDN/>
                    <w:bidi w:val="0"/>
                    <w:spacing w:before="0" w:after="0" w:line="240" w:lineRule="auto"/>
                    <w:ind w:left="0" w:leftChars="0" w:right="0" w:rightChars="0"/>
                    <w:jc w:val="center"/>
                    <w:rPr>
                      <w:rFonts w:hint="eastAsia" w:ascii="Times New Roman" w:hAnsi="Times New Roman" w:eastAsia="宋体" w:cs="Times New Roman"/>
                      <w:b/>
                      <w:bCs/>
                      <w:color w:val="auto"/>
                      <w:kern w:val="2"/>
                      <w:sz w:val="32"/>
                      <w:szCs w:val="21"/>
                      <w:lang w:val="en-US" w:eastAsia="zh-CN" w:bidi="ar-SA"/>
                    </w:rPr>
                  </w:pPr>
                  <w:r>
                    <w:rPr>
                      <w:b w:val="0"/>
                      <w:bCs w:val="0"/>
                      <w:color w:val="auto"/>
                      <w:sz w:val="21"/>
                      <w:szCs w:val="21"/>
                    </w:rPr>
                    <w:t>/</w:t>
                  </w:r>
                </w:p>
              </w:tc>
              <w:tc>
                <w:tcPr>
                  <w:tcW w:w="268" w:type="pct"/>
                  <w:tcBorders>
                    <w:tl2br w:val="nil"/>
                    <w:tr2bl w:val="nil"/>
                  </w:tcBorders>
                  <w:vAlign w:val="center"/>
                </w:tcPr>
                <w:p w14:paraId="397272C3">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color w:val="auto"/>
                      <w:szCs w:val="21"/>
                    </w:rPr>
                    <w:t>/</w:t>
                  </w:r>
                </w:p>
              </w:tc>
              <w:tc>
                <w:tcPr>
                  <w:tcW w:w="234" w:type="pct"/>
                  <w:tcBorders>
                    <w:tl2br w:val="nil"/>
                    <w:tr2bl w:val="nil"/>
                  </w:tcBorders>
                  <w:vAlign w:val="center"/>
                </w:tcPr>
                <w:p w14:paraId="490F2964">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color w:val="auto"/>
                      <w:szCs w:val="21"/>
                    </w:rPr>
                    <w:t>/</w:t>
                  </w:r>
                </w:p>
              </w:tc>
              <w:tc>
                <w:tcPr>
                  <w:tcW w:w="234" w:type="pct"/>
                  <w:tcBorders>
                    <w:tl2br w:val="nil"/>
                    <w:tr2bl w:val="nil"/>
                  </w:tcBorders>
                  <w:vAlign w:val="center"/>
                </w:tcPr>
                <w:p w14:paraId="1FF11091">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color w:val="auto"/>
                      <w:szCs w:val="21"/>
                    </w:rPr>
                    <w:t>/</w:t>
                  </w:r>
                </w:p>
              </w:tc>
              <w:tc>
                <w:tcPr>
                  <w:tcW w:w="280" w:type="pct"/>
                  <w:tcBorders>
                    <w:tl2br w:val="nil"/>
                    <w:tr2bl w:val="nil"/>
                  </w:tcBorders>
                  <w:vAlign w:val="center"/>
                </w:tcPr>
                <w:p w14:paraId="4561DB2B">
                  <w:pPr>
                    <w:keepNext/>
                    <w:keepLines/>
                    <w:pageBreakBefore w:val="0"/>
                    <w:kinsoku/>
                    <w:wordWrap/>
                    <w:overflowPunct/>
                    <w:topLinePunct w:val="0"/>
                    <w:autoSpaceDE/>
                    <w:autoSpaceDN/>
                    <w:bidi w:val="0"/>
                    <w:spacing w:line="240" w:lineRule="auto"/>
                    <w:ind w:left="0" w:leftChars="0" w:right="0" w:rightChars="0"/>
                    <w:jc w:val="center"/>
                    <w:rPr>
                      <w:rFonts w:hint="eastAsia"/>
                      <w:b w:val="0"/>
                      <w:bCs w:val="0"/>
                      <w:color w:val="auto"/>
                      <w:szCs w:val="21"/>
                    </w:rPr>
                  </w:pPr>
                  <w:r>
                    <w:rPr>
                      <w:b w:val="0"/>
                      <w:bCs w:val="0"/>
                      <w:color w:val="auto"/>
                      <w:szCs w:val="21"/>
                    </w:rPr>
                    <w:t>/</w:t>
                  </w:r>
                </w:p>
              </w:tc>
              <w:tc>
                <w:tcPr>
                  <w:tcW w:w="152" w:type="pct"/>
                  <w:tcBorders>
                    <w:tl2br w:val="nil"/>
                    <w:tr2bl w:val="nil"/>
                  </w:tcBorders>
                  <w:vAlign w:val="center"/>
                </w:tcPr>
                <w:p w14:paraId="7C46FE3C">
                  <w:pPr>
                    <w:keepNext/>
                    <w:keepLines/>
                    <w:pageBreakBefore w:val="0"/>
                    <w:kinsoku/>
                    <w:wordWrap/>
                    <w:overflowPunct/>
                    <w:topLinePunct w:val="0"/>
                    <w:autoSpaceDE/>
                    <w:autoSpaceDN/>
                    <w:bidi w:val="0"/>
                    <w:spacing w:line="240" w:lineRule="auto"/>
                    <w:ind w:left="0" w:leftChars="0" w:right="0" w:rightChars="0"/>
                    <w:jc w:val="center"/>
                    <w:rPr>
                      <w:rFonts w:hint="eastAsia"/>
                      <w:b w:val="0"/>
                      <w:bCs w:val="0"/>
                      <w:color w:val="auto"/>
                      <w:szCs w:val="21"/>
                    </w:rPr>
                  </w:pPr>
                  <w:r>
                    <w:rPr>
                      <w:b w:val="0"/>
                      <w:bCs w:val="0"/>
                      <w:color w:val="auto"/>
                      <w:szCs w:val="21"/>
                    </w:rPr>
                    <w:t>/</w:t>
                  </w:r>
                </w:p>
              </w:tc>
              <w:tc>
                <w:tcPr>
                  <w:tcW w:w="168" w:type="pct"/>
                  <w:tcBorders>
                    <w:tl2br w:val="nil"/>
                    <w:tr2bl w:val="nil"/>
                  </w:tcBorders>
                  <w:vAlign w:val="center"/>
                </w:tcPr>
                <w:p w14:paraId="1A7F42A7">
                  <w:pPr>
                    <w:keepNext/>
                    <w:keepLines/>
                    <w:pageBreakBefore w:val="0"/>
                    <w:kinsoku/>
                    <w:wordWrap/>
                    <w:overflowPunct/>
                    <w:topLinePunct w:val="0"/>
                    <w:autoSpaceDE/>
                    <w:autoSpaceDN/>
                    <w:bidi w:val="0"/>
                    <w:spacing w:line="240" w:lineRule="auto"/>
                    <w:ind w:left="0" w:leftChars="0" w:right="0" w:rightChars="0"/>
                    <w:jc w:val="center"/>
                    <w:rPr>
                      <w:rFonts w:hint="eastAsia"/>
                      <w:b w:val="0"/>
                      <w:bCs w:val="0"/>
                      <w:color w:val="auto"/>
                      <w:szCs w:val="21"/>
                    </w:rPr>
                  </w:pPr>
                  <w:r>
                    <w:rPr>
                      <w:b w:val="0"/>
                      <w:bCs w:val="0"/>
                      <w:color w:val="auto"/>
                      <w:szCs w:val="21"/>
                    </w:rPr>
                    <w:t>/</w:t>
                  </w:r>
                </w:p>
              </w:tc>
              <w:tc>
                <w:tcPr>
                  <w:tcW w:w="153" w:type="pct"/>
                  <w:tcBorders>
                    <w:tl2br w:val="nil"/>
                    <w:tr2bl w:val="nil"/>
                  </w:tcBorders>
                  <w:vAlign w:val="center"/>
                </w:tcPr>
                <w:p w14:paraId="39FDBAE6">
                  <w:pPr>
                    <w:keepNext/>
                    <w:keepLines/>
                    <w:pageBreakBefore w:val="0"/>
                    <w:kinsoku/>
                    <w:wordWrap/>
                    <w:overflowPunct/>
                    <w:topLinePunct w:val="0"/>
                    <w:autoSpaceDE/>
                    <w:autoSpaceDN/>
                    <w:bidi w:val="0"/>
                    <w:spacing w:line="240" w:lineRule="auto"/>
                    <w:ind w:left="0" w:leftChars="0" w:right="0" w:rightChars="0"/>
                    <w:jc w:val="center"/>
                    <w:rPr>
                      <w:rFonts w:hint="eastAsia"/>
                      <w:b w:val="0"/>
                      <w:bCs w:val="0"/>
                      <w:color w:val="auto"/>
                      <w:szCs w:val="21"/>
                    </w:rPr>
                  </w:pPr>
                  <w:r>
                    <w:rPr>
                      <w:b w:val="0"/>
                      <w:bCs w:val="0"/>
                      <w:color w:val="auto"/>
                      <w:szCs w:val="21"/>
                    </w:rPr>
                    <w:t>/</w:t>
                  </w:r>
                </w:p>
              </w:tc>
              <w:tc>
                <w:tcPr>
                  <w:tcW w:w="152" w:type="pct"/>
                  <w:tcBorders>
                    <w:tl2br w:val="nil"/>
                    <w:tr2bl w:val="nil"/>
                  </w:tcBorders>
                  <w:vAlign w:val="center"/>
                </w:tcPr>
                <w:p w14:paraId="0D2C6FF3">
                  <w:pPr>
                    <w:keepNext/>
                    <w:keepLines/>
                    <w:pageBreakBefore w:val="0"/>
                    <w:kinsoku/>
                    <w:wordWrap/>
                    <w:overflowPunct/>
                    <w:topLinePunct w:val="0"/>
                    <w:autoSpaceDE/>
                    <w:autoSpaceDN/>
                    <w:bidi w:val="0"/>
                    <w:spacing w:line="240" w:lineRule="auto"/>
                    <w:ind w:left="0" w:leftChars="0" w:right="0" w:rightChars="0"/>
                    <w:jc w:val="center"/>
                    <w:rPr>
                      <w:rFonts w:hint="eastAsia"/>
                      <w:b w:val="0"/>
                      <w:bCs w:val="0"/>
                      <w:color w:val="auto"/>
                      <w:szCs w:val="21"/>
                    </w:rPr>
                  </w:pPr>
                  <w:r>
                    <w:rPr>
                      <w:b w:val="0"/>
                      <w:bCs w:val="0"/>
                      <w:color w:val="auto"/>
                      <w:szCs w:val="21"/>
                    </w:rPr>
                    <w:t>/</w:t>
                  </w:r>
                </w:p>
              </w:tc>
              <w:tc>
                <w:tcPr>
                  <w:tcW w:w="541" w:type="pct"/>
                  <w:tcBorders>
                    <w:tl2br w:val="nil"/>
                    <w:tr2bl w:val="nil"/>
                  </w:tcBorders>
                  <w:vAlign w:val="center"/>
                </w:tcPr>
                <w:p w14:paraId="5AAF37C8">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color w:val="auto"/>
                      <w:szCs w:val="21"/>
                    </w:rPr>
                    <w:t>/</w:t>
                  </w:r>
                </w:p>
              </w:tc>
              <w:tc>
                <w:tcPr>
                  <w:tcW w:w="268" w:type="pct"/>
                  <w:tcBorders>
                    <w:tl2br w:val="nil"/>
                    <w:tr2bl w:val="nil"/>
                  </w:tcBorders>
                  <w:vAlign w:val="center"/>
                </w:tcPr>
                <w:p w14:paraId="58FF4F21">
                  <w:pPr>
                    <w:pStyle w:val="3"/>
                    <w:pageBreakBefore w:val="0"/>
                    <w:kinsoku/>
                    <w:wordWrap/>
                    <w:overflowPunct/>
                    <w:topLinePunct w:val="0"/>
                    <w:autoSpaceDE/>
                    <w:autoSpaceDN/>
                    <w:bidi w:val="0"/>
                    <w:spacing w:before="0" w:after="0" w:line="240" w:lineRule="auto"/>
                    <w:ind w:left="0" w:leftChars="0" w:right="0" w:rightChars="0"/>
                    <w:jc w:val="center"/>
                    <w:rPr>
                      <w:rFonts w:hint="eastAsia"/>
                      <w:color w:val="auto"/>
                      <w:szCs w:val="21"/>
                    </w:rPr>
                  </w:pPr>
                  <w:r>
                    <w:rPr>
                      <w:b w:val="0"/>
                      <w:bCs w:val="0"/>
                      <w:color w:val="auto"/>
                      <w:sz w:val="21"/>
                      <w:szCs w:val="21"/>
                    </w:rPr>
                    <w:t>/</w:t>
                  </w:r>
                </w:p>
              </w:tc>
              <w:tc>
                <w:tcPr>
                  <w:tcW w:w="210" w:type="pct"/>
                  <w:tcBorders>
                    <w:tl2br w:val="nil"/>
                    <w:tr2bl w:val="nil"/>
                  </w:tcBorders>
                  <w:vAlign w:val="center"/>
                </w:tcPr>
                <w:p w14:paraId="6A4F80C0">
                  <w:pPr>
                    <w:pStyle w:val="3"/>
                    <w:pageBreakBefore w:val="0"/>
                    <w:kinsoku/>
                    <w:wordWrap/>
                    <w:overflowPunct/>
                    <w:topLinePunct w:val="0"/>
                    <w:autoSpaceDE/>
                    <w:autoSpaceDN/>
                    <w:bidi w:val="0"/>
                    <w:spacing w:before="0" w:after="0" w:line="240" w:lineRule="auto"/>
                    <w:ind w:left="0" w:leftChars="0" w:right="0" w:rightChars="0"/>
                    <w:jc w:val="center"/>
                    <w:rPr>
                      <w:rFonts w:hint="eastAsia"/>
                      <w:color w:val="auto"/>
                      <w:szCs w:val="21"/>
                    </w:rPr>
                  </w:pPr>
                  <w:r>
                    <w:rPr>
                      <w:b w:val="0"/>
                      <w:bCs w:val="0"/>
                      <w:color w:val="auto"/>
                      <w:sz w:val="21"/>
                      <w:szCs w:val="21"/>
                    </w:rPr>
                    <w:t>/</w:t>
                  </w:r>
                </w:p>
              </w:tc>
            </w:tr>
            <w:tr w14:paraId="59B948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51" w:type="pct"/>
                  <w:vMerge w:val="restart"/>
                  <w:tcBorders>
                    <w:tl2br w:val="nil"/>
                    <w:tr2bl w:val="nil"/>
                  </w:tcBorders>
                  <w:vAlign w:val="center"/>
                </w:tcPr>
                <w:p w14:paraId="3569C307">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val="0"/>
                      <w:color w:val="auto"/>
                      <w:sz w:val="21"/>
                      <w:szCs w:val="21"/>
                      <w:lang w:val="en-US" w:eastAsia="zh-CN"/>
                    </w:rPr>
                  </w:pPr>
                  <w:r>
                    <w:rPr>
                      <w:rFonts w:hint="eastAsia"/>
                      <w:b w:val="0"/>
                      <w:bCs w:val="0"/>
                      <w:color w:val="auto"/>
                      <w:sz w:val="21"/>
                      <w:szCs w:val="21"/>
                      <w:lang w:val="en-US" w:eastAsia="zh-CN"/>
                    </w:rPr>
                    <w:t>废气合计</w:t>
                  </w:r>
                </w:p>
              </w:tc>
              <w:tc>
                <w:tcPr>
                  <w:tcW w:w="151" w:type="pct"/>
                  <w:vMerge w:val="continue"/>
                  <w:tcBorders>
                    <w:tl2br w:val="nil"/>
                    <w:tr2bl w:val="nil"/>
                  </w:tcBorders>
                  <w:vAlign w:val="center"/>
                </w:tcPr>
                <w:p w14:paraId="22CFA270">
                  <w:pPr>
                    <w:pStyle w:val="3"/>
                    <w:pageBreakBefore w:val="0"/>
                    <w:kinsoku/>
                    <w:wordWrap/>
                    <w:overflowPunct/>
                    <w:topLinePunct w:val="0"/>
                    <w:autoSpaceDE/>
                    <w:autoSpaceDN/>
                    <w:bidi w:val="0"/>
                    <w:spacing w:before="0" w:after="0" w:line="240" w:lineRule="auto"/>
                    <w:ind w:left="0" w:leftChars="0" w:right="0" w:rightChars="0"/>
                    <w:jc w:val="center"/>
                    <w:rPr>
                      <w:b w:val="0"/>
                      <w:bCs w:val="0"/>
                      <w:color w:val="auto"/>
                      <w:sz w:val="21"/>
                      <w:szCs w:val="21"/>
                    </w:rPr>
                  </w:pPr>
                </w:p>
              </w:tc>
              <w:tc>
                <w:tcPr>
                  <w:tcW w:w="284" w:type="pct"/>
                  <w:vMerge w:val="continue"/>
                  <w:tcBorders>
                    <w:tl2br w:val="nil"/>
                    <w:tr2bl w:val="nil"/>
                  </w:tcBorders>
                  <w:vAlign w:val="center"/>
                </w:tcPr>
                <w:p w14:paraId="6ED083C3">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p>
              </w:tc>
              <w:tc>
                <w:tcPr>
                  <w:tcW w:w="268" w:type="pct"/>
                  <w:vMerge w:val="restart"/>
                  <w:tcBorders>
                    <w:tl2br w:val="nil"/>
                    <w:tr2bl w:val="nil"/>
                  </w:tcBorders>
                  <w:shd w:val="clear" w:color="auto" w:fill="auto"/>
                  <w:vAlign w:val="center"/>
                </w:tcPr>
                <w:p w14:paraId="73C08D48">
                  <w:pPr>
                    <w:pStyle w:val="3"/>
                    <w:pageBreakBefore w:val="0"/>
                    <w:kinsoku/>
                    <w:wordWrap/>
                    <w:overflowPunct/>
                    <w:topLinePunct w:val="0"/>
                    <w:autoSpaceDE/>
                    <w:autoSpaceDN/>
                    <w:bidi w:val="0"/>
                    <w:spacing w:before="0" w:after="0" w:line="240" w:lineRule="auto"/>
                    <w:ind w:left="0" w:leftChars="0" w:right="0" w:rightChars="0"/>
                    <w:jc w:val="center"/>
                    <w:rPr>
                      <w:rFonts w:ascii="Times New Roman" w:hAnsi="Times New Roman" w:eastAsia="宋体" w:cs="Times New Roman"/>
                      <w:b w:val="0"/>
                      <w:bCs w:val="0"/>
                      <w:color w:val="auto"/>
                      <w:kern w:val="2"/>
                      <w:sz w:val="21"/>
                      <w:szCs w:val="21"/>
                      <w:lang w:val="en-US" w:eastAsia="zh-CN" w:bidi="ar-SA"/>
                    </w:rPr>
                  </w:pPr>
                  <w:r>
                    <w:rPr>
                      <w:b w:val="0"/>
                      <w:bCs w:val="0"/>
                      <w:color w:val="auto"/>
                      <w:sz w:val="21"/>
                      <w:szCs w:val="21"/>
                    </w:rPr>
                    <w:t>/</w:t>
                  </w:r>
                </w:p>
              </w:tc>
              <w:tc>
                <w:tcPr>
                  <w:tcW w:w="234" w:type="pct"/>
                  <w:vMerge w:val="restart"/>
                  <w:tcBorders>
                    <w:tl2br w:val="nil"/>
                    <w:tr2bl w:val="nil"/>
                  </w:tcBorders>
                  <w:vAlign w:val="center"/>
                </w:tcPr>
                <w:p w14:paraId="67C5A6EF">
                  <w:pPr>
                    <w:pStyle w:val="3"/>
                    <w:pageBreakBefore w:val="0"/>
                    <w:kinsoku/>
                    <w:wordWrap/>
                    <w:overflowPunct/>
                    <w:topLinePunct w:val="0"/>
                    <w:autoSpaceDE/>
                    <w:autoSpaceDN/>
                    <w:bidi w:val="0"/>
                    <w:spacing w:before="0" w:after="0" w:line="240" w:lineRule="auto"/>
                    <w:ind w:left="0" w:leftChars="0" w:right="0" w:rightChars="0"/>
                    <w:jc w:val="center"/>
                    <w:rPr>
                      <w:rFonts w:hint="default" w:ascii="Times New Roman" w:hAnsi="Times New Roman" w:cs="Times New Roman"/>
                      <w:b w:val="0"/>
                      <w:bCs w:val="0"/>
                      <w:color w:val="auto"/>
                      <w:sz w:val="21"/>
                      <w:szCs w:val="21"/>
                      <w:lang w:val="en-US" w:eastAsia="zh-CN"/>
                    </w:rPr>
                  </w:pPr>
                  <w:r>
                    <w:rPr>
                      <w:rFonts w:hint="eastAsia" w:cs="Times New Roman"/>
                      <w:b w:val="0"/>
                      <w:bCs w:val="0"/>
                      <w:color w:val="auto"/>
                      <w:sz w:val="21"/>
                      <w:szCs w:val="21"/>
                      <w:lang w:val="en-US" w:eastAsia="zh-CN"/>
                    </w:rPr>
                    <w:t>0.035</w:t>
                  </w:r>
                </w:p>
              </w:tc>
              <w:tc>
                <w:tcPr>
                  <w:tcW w:w="234" w:type="pct"/>
                  <w:vMerge w:val="restart"/>
                  <w:tcBorders>
                    <w:tl2br w:val="nil"/>
                    <w:tr2bl w:val="nil"/>
                  </w:tcBorders>
                  <w:vAlign w:val="center"/>
                </w:tcPr>
                <w:p w14:paraId="2EB45CA0">
                  <w:pPr>
                    <w:pStyle w:val="3"/>
                    <w:pageBreakBefore w:val="0"/>
                    <w:kinsoku/>
                    <w:wordWrap/>
                    <w:overflowPunct/>
                    <w:topLinePunct w:val="0"/>
                    <w:autoSpaceDE/>
                    <w:autoSpaceDN/>
                    <w:bidi w:val="0"/>
                    <w:spacing w:before="0" w:after="0" w:line="240" w:lineRule="auto"/>
                    <w:ind w:left="0" w:leftChars="0" w:right="0" w:rightChars="0"/>
                    <w:jc w:val="center"/>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0.11</w:t>
                  </w:r>
                </w:p>
              </w:tc>
              <w:tc>
                <w:tcPr>
                  <w:tcW w:w="250" w:type="pct"/>
                  <w:vMerge w:val="restart"/>
                  <w:tcBorders>
                    <w:tl2br w:val="nil"/>
                    <w:tr2bl w:val="nil"/>
                  </w:tcBorders>
                  <w:vAlign w:val="center"/>
                </w:tcPr>
                <w:p w14:paraId="49E13764">
                  <w:pPr>
                    <w:pStyle w:val="3"/>
                    <w:pageBreakBefore w:val="0"/>
                    <w:kinsoku/>
                    <w:wordWrap/>
                    <w:overflowPunct/>
                    <w:topLinePunct w:val="0"/>
                    <w:autoSpaceDE/>
                    <w:autoSpaceDN/>
                    <w:bidi w:val="0"/>
                    <w:spacing w:before="0" w:after="0" w:line="240" w:lineRule="auto"/>
                    <w:ind w:left="0" w:leftChars="0" w:right="0" w:rightChars="0"/>
                    <w:jc w:val="center"/>
                    <w:rPr>
                      <w:rFonts w:hint="eastAsia"/>
                      <w:color w:val="auto"/>
                      <w:szCs w:val="21"/>
                    </w:rPr>
                  </w:pPr>
                  <w:r>
                    <w:rPr>
                      <w:b w:val="0"/>
                      <w:bCs w:val="0"/>
                      <w:color w:val="auto"/>
                      <w:sz w:val="21"/>
                      <w:szCs w:val="21"/>
                    </w:rPr>
                    <w:t>/</w:t>
                  </w:r>
                </w:p>
              </w:tc>
              <w:tc>
                <w:tcPr>
                  <w:tcW w:w="217" w:type="pct"/>
                  <w:vMerge w:val="restart"/>
                  <w:tcBorders>
                    <w:tl2br w:val="nil"/>
                    <w:tr2bl w:val="nil"/>
                  </w:tcBorders>
                  <w:vAlign w:val="center"/>
                </w:tcPr>
                <w:p w14:paraId="2E41249C">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val="0"/>
                      <w:bCs w:val="0"/>
                      <w:color w:val="auto"/>
                      <w:sz w:val="21"/>
                      <w:szCs w:val="21"/>
                      <w:lang w:val="en-US" w:eastAsia="zh-CN"/>
                    </w:rPr>
                  </w:pPr>
                  <w:r>
                    <w:rPr>
                      <w:rFonts w:hint="eastAsia"/>
                      <w:b w:val="0"/>
                      <w:bCs w:val="0"/>
                      <w:color w:val="auto"/>
                      <w:sz w:val="21"/>
                      <w:szCs w:val="21"/>
                      <w:lang w:val="en-US" w:eastAsia="zh-CN"/>
                    </w:rPr>
                    <w:t>/</w:t>
                  </w:r>
                </w:p>
              </w:tc>
              <w:tc>
                <w:tcPr>
                  <w:tcW w:w="234" w:type="pct"/>
                  <w:vMerge w:val="restart"/>
                  <w:tcBorders>
                    <w:tl2br w:val="nil"/>
                    <w:tr2bl w:val="nil"/>
                  </w:tcBorders>
                  <w:vAlign w:val="center"/>
                </w:tcPr>
                <w:p w14:paraId="2989C7A0">
                  <w:pPr>
                    <w:pStyle w:val="3"/>
                    <w:pageBreakBefore w:val="0"/>
                    <w:kinsoku/>
                    <w:wordWrap/>
                    <w:overflowPunct/>
                    <w:topLinePunct w:val="0"/>
                    <w:autoSpaceDE/>
                    <w:autoSpaceDN/>
                    <w:bidi w:val="0"/>
                    <w:spacing w:before="0" w:after="0" w:line="240" w:lineRule="auto"/>
                    <w:ind w:left="0" w:leftChars="0" w:right="0" w:rightChars="0"/>
                    <w:jc w:val="center"/>
                    <w:rPr>
                      <w:rFonts w:hint="eastAsia"/>
                      <w:color w:val="auto"/>
                      <w:szCs w:val="21"/>
                    </w:rPr>
                  </w:pPr>
                  <w:r>
                    <w:rPr>
                      <w:b w:val="0"/>
                      <w:bCs w:val="0"/>
                      <w:color w:val="auto"/>
                      <w:sz w:val="21"/>
                      <w:szCs w:val="21"/>
                    </w:rPr>
                    <w:t>/</w:t>
                  </w:r>
                </w:p>
              </w:tc>
              <w:tc>
                <w:tcPr>
                  <w:tcW w:w="152" w:type="pct"/>
                  <w:vMerge w:val="continue"/>
                  <w:tcBorders>
                    <w:tl2br w:val="nil"/>
                    <w:tr2bl w:val="nil"/>
                  </w:tcBorders>
                  <w:vAlign w:val="center"/>
                </w:tcPr>
                <w:p w14:paraId="55C567D1">
                  <w:pPr>
                    <w:pStyle w:val="3"/>
                    <w:pageBreakBefore w:val="0"/>
                    <w:kinsoku/>
                    <w:wordWrap/>
                    <w:overflowPunct/>
                    <w:topLinePunct w:val="0"/>
                    <w:autoSpaceDE/>
                    <w:autoSpaceDN/>
                    <w:bidi w:val="0"/>
                    <w:spacing w:before="0" w:after="0" w:line="240" w:lineRule="auto"/>
                    <w:ind w:left="0" w:leftChars="0" w:right="0" w:rightChars="0"/>
                    <w:jc w:val="center"/>
                    <w:rPr>
                      <w:rFonts w:hint="eastAsia"/>
                      <w:b w:val="0"/>
                      <w:bCs w:val="0"/>
                      <w:color w:val="auto"/>
                      <w:sz w:val="21"/>
                      <w:szCs w:val="21"/>
                    </w:rPr>
                  </w:pPr>
                </w:p>
              </w:tc>
              <w:tc>
                <w:tcPr>
                  <w:tcW w:w="152" w:type="pct"/>
                  <w:vMerge w:val="restart"/>
                  <w:tcBorders>
                    <w:tl2br w:val="nil"/>
                    <w:tr2bl w:val="nil"/>
                  </w:tcBorders>
                  <w:vAlign w:val="center"/>
                </w:tcPr>
                <w:p w14:paraId="71857EBD">
                  <w:pPr>
                    <w:keepNext/>
                    <w:keepLines/>
                    <w:pageBreakBefore w:val="0"/>
                    <w:kinsoku/>
                    <w:wordWrap/>
                    <w:overflowPunct/>
                    <w:topLinePunct w:val="0"/>
                    <w:autoSpaceDE/>
                    <w:autoSpaceDN/>
                    <w:bidi w:val="0"/>
                    <w:spacing w:line="240" w:lineRule="auto"/>
                    <w:ind w:left="0" w:leftChars="0" w:right="0" w:rightChars="0"/>
                    <w:jc w:val="center"/>
                    <w:rPr>
                      <w:rFonts w:hint="eastAsia"/>
                      <w:b w:val="0"/>
                      <w:bCs w:val="0"/>
                      <w:color w:val="auto"/>
                      <w:szCs w:val="21"/>
                    </w:rPr>
                  </w:pPr>
                  <w:r>
                    <w:rPr>
                      <w:color w:val="auto"/>
                      <w:szCs w:val="21"/>
                    </w:rPr>
                    <w:t>/</w:t>
                  </w:r>
                </w:p>
              </w:tc>
              <w:tc>
                <w:tcPr>
                  <w:tcW w:w="268" w:type="pct"/>
                  <w:vMerge w:val="restart"/>
                  <w:tcBorders>
                    <w:tl2br w:val="nil"/>
                    <w:tr2bl w:val="nil"/>
                  </w:tcBorders>
                  <w:vAlign w:val="center"/>
                </w:tcPr>
                <w:p w14:paraId="620BDBCE">
                  <w:pPr>
                    <w:keepNext/>
                    <w:keepLines/>
                    <w:pageBreakBefore w:val="0"/>
                    <w:kinsoku/>
                    <w:wordWrap/>
                    <w:overflowPunct/>
                    <w:topLinePunct w:val="0"/>
                    <w:autoSpaceDE/>
                    <w:autoSpaceDN/>
                    <w:bidi w:val="0"/>
                    <w:spacing w:line="240" w:lineRule="auto"/>
                    <w:ind w:left="0" w:leftChars="0" w:right="0" w:rightChars="0"/>
                    <w:jc w:val="center"/>
                    <w:rPr>
                      <w:color w:val="auto"/>
                      <w:szCs w:val="21"/>
                    </w:rPr>
                  </w:pPr>
                  <w:r>
                    <w:rPr>
                      <w:color w:val="auto"/>
                      <w:szCs w:val="21"/>
                    </w:rPr>
                    <w:t>/</w:t>
                  </w:r>
                </w:p>
              </w:tc>
              <w:tc>
                <w:tcPr>
                  <w:tcW w:w="234" w:type="pct"/>
                  <w:vMerge w:val="restart"/>
                  <w:tcBorders>
                    <w:tl2br w:val="nil"/>
                    <w:tr2bl w:val="nil"/>
                  </w:tcBorders>
                  <w:vAlign w:val="center"/>
                </w:tcPr>
                <w:p w14:paraId="4932F469">
                  <w:pPr>
                    <w:pStyle w:val="3"/>
                    <w:pageBreakBefore w:val="0"/>
                    <w:kinsoku/>
                    <w:wordWrap/>
                    <w:overflowPunct/>
                    <w:topLinePunct w:val="0"/>
                    <w:autoSpaceDE/>
                    <w:autoSpaceDN/>
                    <w:bidi w:val="0"/>
                    <w:spacing w:before="0" w:after="0" w:line="240" w:lineRule="auto"/>
                    <w:ind w:left="0" w:leftChars="0" w:right="0" w:rightChars="0"/>
                    <w:jc w:val="center"/>
                    <w:rPr>
                      <w:rFonts w:hint="default" w:ascii="Times New Roman" w:hAnsi="Times New Roman" w:cs="Times New Roman"/>
                      <w:b w:val="0"/>
                      <w:bCs w:val="0"/>
                      <w:color w:val="auto"/>
                      <w:sz w:val="21"/>
                      <w:szCs w:val="21"/>
                      <w:lang w:val="en-US" w:eastAsia="zh-CN"/>
                    </w:rPr>
                  </w:pPr>
                  <w:r>
                    <w:rPr>
                      <w:rFonts w:hint="eastAsia" w:cs="Times New Roman"/>
                      <w:b w:val="0"/>
                      <w:bCs w:val="0"/>
                      <w:color w:val="auto"/>
                      <w:sz w:val="21"/>
                      <w:szCs w:val="21"/>
                      <w:lang w:val="en-US" w:eastAsia="zh-CN"/>
                    </w:rPr>
                    <w:t>0.035</w:t>
                  </w:r>
                </w:p>
              </w:tc>
              <w:tc>
                <w:tcPr>
                  <w:tcW w:w="234" w:type="pct"/>
                  <w:vMerge w:val="restart"/>
                  <w:tcBorders>
                    <w:tl2br w:val="nil"/>
                    <w:tr2bl w:val="nil"/>
                  </w:tcBorders>
                  <w:vAlign w:val="center"/>
                </w:tcPr>
                <w:p w14:paraId="36D08830">
                  <w:pPr>
                    <w:pStyle w:val="3"/>
                    <w:pageBreakBefore w:val="0"/>
                    <w:kinsoku/>
                    <w:wordWrap/>
                    <w:overflowPunct/>
                    <w:topLinePunct w:val="0"/>
                    <w:autoSpaceDE/>
                    <w:autoSpaceDN/>
                    <w:bidi w:val="0"/>
                    <w:spacing w:before="0" w:after="0" w:line="240" w:lineRule="auto"/>
                    <w:ind w:left="0" w:leftChars="0" w:right="0" w:rightChars="0"/>
                    <w:jc w:val="center"/>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0.11</w:t>
                  </w:r>
                </w:p>
              </w:tc>
              <w:tc>
                <w:tcPr>
                  <w:tcW w:w="280" w:type="pct"/>
                  <w:vMerge w:val="restart"/>
                  <w:tcBorders>
                    <w:tl2br w:val="nil"/>
                    <w:tr2bl w:val="nil"/>
                  </w:tcBorders>
                  <w:vAlign w:val="center"/>
                </w:tcPr>
                <w:p w14:paraId="6BBA123A">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b w:val="0"/>
                      <w:bCs w:val="0"/>
                      <w:color w:val="auto"/>
                      <w:szCs w:val="21"/>
                    </w:rPr>
                    <w:t>/</w:t>
                  </w:r>
                </w:p>
              </w:tc>
              <w:tc>
                <w:tcPr>
                  <w:tcW w:w="152" w:type="pct"/>
                  <w:vMerge w:val="restart"/>
                  <w:tcBorders>
                    <w:tl2br w:val="nil"/>
                    <w:tr2bl w:val="nil"/>
                  </w:tcBorders>
                  <w:vAlign w:val="center"/>
                </w:tcPr>
                <w:p w14:paraId="7EBBDB19">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b w:val="0"/>
                      <w:bCs w:val="0"/>
                      <w:color w:val="auto"/>
                      <w:szCs w:val="21"/>
                    </w:rPr>
                    <w:t>/</w:t>
                  </w:r>
                </w:p>
              </w:tc>
              <w:tc>
                <w:tcPr>
                  <w:tcW w:w="168" w:type="pct"/>
                  <w:vMerge w:val="restart"/>
                  <w:tcBorders>
                    <w:tl2br w:val="nil"/>
                    <w:tr2bl w:val="nil"/>
                  </w:tcBorders>
                  <w:vAlign w:val="center"/>
                </w:tcPr>
                <w:p w14:paraId="2AB9993B">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b w:val="0"/>
                      <w:bCs w:val="0"/>
                      <w:color w:val="auto"/>
                      <w:szCs w:val="21"/>
                    </w:rPr>
                    <w:t>/</w:t>
                  </w:r>
                </w:p>
              </w:tc>
              <w:tc>
                <w:tcPr>
                  <w:tcW w:w="153" w:type="pct"/>
                  <w:vMerge w:val="restart"/>
                  <w:tcBorders>
                    <w:tl2br w:val="nil"/>
                    <w:tr2bl w:val="nil"/>
                  </w:tcBorders>
                  <w:vAlign w:val="center"/>
                </w:tcPr>
                <w:p w14:paraId="32590C3E">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b w:val="0"/>
                      <w:bCs w:val="0"/>
                      <w:color w:val="auto"/>
                      <w:szCs w:val="21"/>
                    </w:rPr>
                    <w:t>/</w:t>
                  </w:r>
                </w:p>
              </w:tc>
              <w:tc>
                <w:tcPr>
                  <w:tcW w:w="152" w:type="pct"/>
                  <w:vMerge w:val="restart"/>
                  <w:tcBorders>
                    <w:tl2br w:val="nil"/>
                    <w:tr2bl w:val="nil"/>
                  </w:tcBorders>
                  <w:vAlign w:val="center"/>
                </w:tcPr>
                <w:p w14:paraId="085D1F6C">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b w:val="0"/>
                      <w:bCs w:val="0"/>
                      <w:color w:val="auto"/>
                      <w:szCs w:val="21"/>
                    </w:rPr>
                    <w:t>/</w:t>
                  </w:r>
                </w:p>
              </w:tc>
              <w:tc>
                <w:tcPr>
                  <w:tcW w:w="541" w:type="pct"/>
                  <w:vMerge w:val="restart"/>
                  <w:tcBorders>
                    <w:tl2br w:val="nil"/>
                    <w:tr2bl w:val="nil"/>
                  </w:tcBorders>
                  <w:vAlign w:val="center"/>
                </w:tcPr>
                <w:p w14:paraId="51A3B958">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color w:val="auto"/>
                      <w:szCs w:val="21"/>
                    </w:rPr>
                    <w:t>/</w:t>
                  </w:r>
                </w:p>
              </w:tc>
              <w:tc>
                <w:tcPr>
                  <w:tcW w:w="268" w:type="pct"/>
                  <w:tcBorders>
                    <w:tl2br w:val="nil"/>
                    <w:tr2bl w:val="nil"/>
                  </w:tcBorders>
                  <w:shd w:val="clear" w:color="auto" w:fill="auto"/>
                  <w:vAlign w:val="center"/>
                </w:tcPr>
                <w:p w14:paraId="404C0CB6">
                  <w:pPr>
                    <w:pStyle w:val="10"/>
                    <w:adjustRightInd w:val="0"/>
                    <w:snapToGrid w:val="0"/>
                    <w:ind w:left="0" w:leftChars="0" w:firstLine="0" w:firstLineChars="0"/>
                    <w:jc w:val="center"/>
                    <w:rPr>
                      <w:rFonts w:hint="default"/>
                      <w:b w:val="0"/>
                      <w:bCs w:val="0"/>
                      <w:color w:val="auto"/>
                      <w:sz w:val="21"/>
                      <w:szCs w:val="21"/>
                      <w:lang w:val="en-US"/>
                    </w:rPr>
                  </w:pPr>
                  <w:r>
                    <w:rPr>
                      <w:rFonts w:hint="default" w:ascii="Times New Roman" w:hAnsi="Times New Roman" w:cs="Times New Roman"/>
                      <w:color w:val="auto"/>
                      <w:szCs w:val="21"/>
                      <w:lang w:val="en-US" w:eastAsia="zh-CN"/>
                    </w:rPr>
                    <w:t>1h平均浓度值≤2</w:t>
                  </w:r>
                </w:p>
              </w:tc>
              <w:tc>
                <w:tcPr>
                  <w:tcW w:w="210" w:type="pct"/>
                  <w:tcBorders>
                    <w:tl2br w:val="nil"/>
                    <w:tr2bl w:val="nil"/>
                  </w:tcBorders>
                  <w:vAlign w:val="center"/>
                </w:tcPr>
                <w:p w14:paraId="679FFC0B">
                  <w:pPr>
                    <w:keepNext/>
                    <w:keepLines/>
                    <w:pageBreakBefore w:val="0"/>
                    <w:kinsoku/>
                    <w:wordWrap/>
                    <w:overflowPunct/>
                    <w:topLinePunct w:val="0"/>
                    <w:autoSpaceDE/>
                    <w:autoSpaceDN/>
                    <w:bidi w:val="0"/>
                    <w:spacing w:line="240" w:lineRule="auto"/>
                    <w:ind w:left="0" w:leftChars="0" w:right="0" w:rightChars="0"/>
                    <w:jc w:val="center"/>
                    <w:rPr>
                      <w:rFonts w:hint="eastAsia"/>
                      <w:color w:val="auto"/>
                      <w:szCs w:val="21"/>
                    </w:rPr>
                  </w:pPr>
                  <w:r>
                    <w:rPr>
                      <w:color w:val="auto"/>
                      <w:szCs w:val="21"/>
                    </w:rPr>
                    <w:t>/</w:t>
                  </w:r>
                </w:p>
              </w:tc>
            </w:tr>
            <w:tr w14:paraId="0C7C0C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51" w:type="pct"/>
                  <w:vMerge w:val="continue"/>
                  <w:tcBorders>
                    <w:tl2br w:val="nil"/>
                    <w:tr2bl w:val="nil"/>
                  </w:tcBorders>
                  <w:vAlign w:val="center"/>
                </w:tcPr>
                <w:p w14:paraId="1A139893">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151" w:type="pct"/>
                  <w:vMerge w:val="continue"/>
                  <w:tcBorders>
                    <w:tl2br w:val="nil"/>
                    <w:tr2bl w:val="nil"/>
                  </w:tcBorders>
                  <w:vAlign w:val="center"/>
                </w:tcPr>
                <w:p w14:paraId="7DFDB8C6">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284" w:type="pct"/>
                  <w:vMerge w:val="continue"/>
                  <w:tcBorders>
                    <w:tl2br w:val="nil"/>
                    <w:tr2bl w:val="nil"/>
                  </w:tcBorders>
                  <w:vAlign w:val="center"/>
                </w:tcPr>
                <w:p w14:paraId="4E676E3C">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268" w:type="pct"/>
                  <w:vMerge w:val="continue"/>
                  <w:tcBorders>
                    <w:tl2br w:val="nil"/>
                    <w:tr2bl w:val="nil"/>
                  </w:tcBorders>
                  <w:shd w:val="clear" w:color="auto" w:fill="auto"/>
                  <w:vAlign w:val="center"/>
                </w:tcPr>
                <w:p w14:paraId="3615AAB8">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234" w:type="pct"/>
                  <w:vMerge w:val="continue"/>
                  <w:tcBorders>
                    <w:tl2br w:val="nil"/>
                    <w:tr2bl w:val="nil"/>
                  </w:tcBorders>
                  <w:vAlign w:val="center"/>
                </w:tcPr>
                <w:p w14:paraId="6D18FDDC">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234" w:type="pct"/>
                  <w:vMerge w:val="continue"/>
                  <w:tcBorders>
                    <w:tl2br w:val="nil"/>
                    <w:tr2bl w:val="nil"/>
                  </w:tcBorders>
                  <w:vAlign w:val="center"/>
                </w:tcPr>
                <w:p w14:paraId="1EC167F9">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250" w:type="pct"/>
                  <w:vMerge w:val="continue"/>
                  <w:tcBorders>
                    <w:tl2br w:val="nil"/>
                    <w:tr2bl w:val="nil"/>
                  </w:tcBorders>
                  <w:vAlign w:val="center"/>
                </w:tcPr>
                <w:p w14:paraId="37B8713A">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217" w:type="pct"/>
                  <w:vMerge w:val="continue"/>
                  <w:tcBorders>
                    <w:tl2br w:val="nil"/>
                    <w:tr2bl w:val="nil"/>
                  </w:tcBorders>
                  <w:vAlign w:val="center"/>
                </w:tcPr>
                <w:p w14:paraId="376B14D3">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234" w:type="pct"/>
                  <w:vMerge w:val="continue"/>
                  <w:tcBorders>
                    <w:tl2br w:val="nil"/>
                    <w:tr2bl w:val="nil"/>
                  </w:tcBorders>
                  <w:vAlign w:val="center"/>
                </w:tcPr>
                <w:p w14:paraId="7D624B9B">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152" w:type="pct"/>
                  <w:vMerge w:val="continue"/>
                  <w:tcBorders>
                    <w:tl2br w:val="nil"/>
                    <w:tr2bl w:val="nil"/>
                  </w:tcBorders>
                  <w:vAlign w:val="center"/>
                </w:tcPr>
                <w:p w14:paraId="6B5554DA">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152" w:type="pct"/>
                  <w:vMerge w:val="continue"/>
                  <w:tcBorders>
                    <w:tl2br w:val="nil"/>
                    <w:tr2bl w:val="nil"/>
                  </w:tcBorders>
                  <w:vAlign w:val="center"/>
                </w:tcPr>
                <w:p w14:paraId="16B01CF8">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268" w:type="pct"/>
                  <w:vMerge w:val="continue"/>
                  <w:tcBorders>
                    <w:tl2br w:val="nil"/>
                    <w:tr2bl w:val="nil"/>
                  </w:tcBorders>
                  <w:vAlign w:val="center"/>
                </w:tcPr>
                <w:p w14:paraId="63C38B91">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234" w:type="pct"/>
                  <w:vMerge w:val="continue"/>
                  <w:tcBorders>
                    <w:tl2br w:val="nil"/>
                    <w:tr2bl w:val="nil"/>
                  </w:tcBorders>
                  <w:vAlign w:val="center"/>
                </w:tcPr>
                <w:p w14:paraId="4BAC5B4A">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234" w:type="pct"/>
                  <w:vMerge w:val="continue"/>
                  <w:tcBorders>
                    <w:tl2br w:val="nil"/>
                    <w:tr2bl w:val="nil"/>
                  </w:tcBorders>
                  <w:vAlign w:val="center"/>
                </w:tcPr>
                <w:p w14:paraId="3C4A4081">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280" w:type="pct"/>
                  <w:vMerge w:val="continue"/>
                  <w:tcBorders>
                    <w:tl2br w:val="nil"/>
                    <w:tr2bl w:val="nil"/>
                  </w:tcBorders>
                  <w:vAlign w:val="center"/>
                </w:tcPr>
                <w:p w14:paraId="67B709C1">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152" w:type="pct"/>
                  <w:vMerge w:val="continue"/>
                  <w:tcBorders>
                    <w:tl2br w:val="nil"/>
                    <w:tr2bl w:val="nil"/>
                  </w:tcBorders>
                  <w:vAlign w:val="center"/>
                </w:tcPr>
                <w:p w14:paraId="6828AA88">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168" w:type="pct"/>
                  <w:vMerge w:val="continue"/>
                  <w:tcBorders>
                    <w:tl2br w:val="nil"/>
                    <w:tr2bl w:val="nil"/>
                  </w:tcBorders>
                  <w:vAlign w:val="center"/>
                </w:tcPr>
                <w:p w14:paraId="7975FBB8">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153" w:type="pct"/>
                  <w:vMerge w:val="continue"/>
                  <w:tcBorders>
                    <w:tl2br w:val="nil"/>
                    <w:tr2bl w:val="nil"/>
                  </w:tcBorders>
                  <w:vAlign w:val="center"/>
                </w:tcPr>
                <w:p w14:paraId="5517B556">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152" w:type="pct"/>
                  <w:vMerge w:val="continue"/>
                  <w:tcBorders>
                    <w:tl2br w:val="nil"/>
                    <w:tr2bl w:val="nil"/>
                  </w:tcBorders>
                  <w:vAlign w:val="center"/>
                </w:tcPr>
                <w:p w14:paraId="1D0DC599">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541" w:type="pct"/>
                  <w:vMerge w:val="continue"/>
                  <w:tcBorders>
                    <w:tl2br w:val="nil"/>
                    <w:tr2bl w:val="nil"/>
                  </w:tcBorders>
                  <w:vAlign w:val="center"/>
                </w:tcPr>
                <w:p w14:paraId="6AF3745C">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268" w:type="pct"/>
                  <w:tcBorders>
                    <w:tl2br w:val="nil"/>
                    <w:tr2bl w:val="nil"/>
                  </w:tcBorders>
                  <w:shd w:val="clear" w:color="auto" w:fill="auto"/>
                  <w:vAlign w:val="center"/>
                </w:tcPr>
                <w:p w14:paraId="3F643D1B">
                  <w:pPr>
                    <w:pStyle w:val="10"/>
                    <w:adjustRightInd w:val="0"/>
                    <w:snapToGrid w:val="0"/>
                    <w:ind w:left="0" w:leftChars="0" w:firstLine="0" w:firstLineChars="0"/>
                    <w:jc w:val="center"/>
                    <w:rPr>
                      <w:rFonts w:hint="eastAsia"/>
                      <w:b w:val="0"/>
                      <w:bCs w:val="0"/>
                      <w:color w:val="auto"/>
                      <w:sz w:val="21"/>
                      <w:szCs w:val="21"/>
                      <w:lang w:val="en-US" w:eastAsia="zh-CN"/>
                    </w:rPr>
                  </w:pPr>
                  <w:r>
                    <w:rPr>
                      <w:rFonts w:hint="default" w:ascii="Times New Roman" w:hAnsi="Times New Roman" w:cs="Times New Roman"/>
                      <w:color w:val="auto"/>
                    </w:rPr>
                    <w:t>任意一次浓度值</w:t>
                  </w:r>
                  <w:r>
                    <w:rPr>
                      <w:rFonts w:hint="default" w:ascii="Times New Roman" w:hAnsi="Times New Roman" w:cs="Times New Roman"/>
                      <w:color w:val="auto"/>
                      <w:szCs w:val="21"/>
                      <w:lang w:val="en-US" w:eastAsia="zh-CN"/>
                    </w:rPr>
                    <w:t>≤4</w:t>
                  </w:r>
                </w:p>
              </w:tc>
              <w:tc>
                <w:tcPr>
                  <w:tcW w:w="210" w:type="pct"/>
                  <w:tcBorders>
                    <w:tl2br w:val="nil"/>
                    <w:tr2bl w:val="nil"/>
                  </w:tcBorders>
                  <w:shd w:val="clear" w:color="auto" w:fill="auto"/>
                  <w:vAlign w:val="center"/>
                </w:tcPr>
                <w:p w14:paraId="4D2CA906">
                  <w:pPr>
                    <w:keepNext/>
                    <w:keepLines/>
                    <w:pageBreakBefore w:val="0"/>
                    <w:kinsoku/>
                    <w:wordWrap/>
                    <w:overflowPunct/>
                    <w:topLinePunct w:val="0"/>
                    <w:autoSpaceDE/>
                    <w:autoSpaceDN/>
                    <w:bidi w:val="0"/>
                    <w:spacing w:line="240" w:lineRule="auto"/>
                    <w:ind w:left="0" w:leftChars="0" w:right="0" w:rightChars="0"/>
                    <w:jc w:val="center"/>
                    <w:rPr>
                      <w:rFonts w:hint="eastAsia" w:ascii="Times New Roman" w:hAnsi="Times New Roman" w:eastAsia="宋体" w:cs="Times New Roman"/>
                      <w:color w:val="auto"/>
                      <w:kern w:val="2"/>
                      <w:sz w:val="21"/>
                      <w:szCs w:val="21"/>
                      <w:lang w:val="en-US" w:eastAsia="zh-CN" w:bidi="ar-SA"/>
                    </w:rPr>
                  </w:pPr>
                  <w:r>
                    <w:rPr>
                      <w:color w:val="auto"/>
                      <w:szCs w:val="21"/>
                    </w:rPr>
                    <w:t>/</w:t>
                  </w:r>
                </w:p>
              </w:tc>
            </w:tr>
          </w:tbl>
          <w:p w14:paraId="042AEEC0">
            <w:pPr>
              <w:pStyle w:val="16"/>
              <w:rPr>
                <w:rFonts w:cs="宋体"/>
                <w:b/>
                <w:color w:val="auto"/>
                <w:kern w:val="0"/>
                <w:sz w:val="28"/>
                <w:szCs w:val="28"/>
              </w:rPr>
            </w:pPr>
          </w:p>
        </w:tc>
      </w:tr>
    </w:tbl>
    <w:p w14:paraId="4065A73D">
      <w:pPr>
        <w:rPr>
          <w:rFonts w:hint="eastAsia"/>
          <w:color w:val="auto"/>
        </w:rPr>
        <w:sectPr>
          <w:pgSz w:w="16840" w:h="11907" w:orient="landscape"/>
          <w:pgMar w:top="1531" w:right="1701" w:bottom="1531" w:left="2127" w:header="851" w:footer="851" w:gutter="0"/>
          <w:pgNumType w:fmt="decimal"/>
          <w:cols w:space="720" w:num="1"/>
          <w:docGrid w:linePitch="312" w:charSpace="0"/>
        </w:sectPr>
      </w:pPr>
    </w:p>
    <w:tbl>
      <w:tblPr>
        <w:tblStyle w:val="28"/>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41"/>
        <w:gridCol w:w="8740"/>
      </w:tblGrid>
      <w:tr w14:paraId="2E953E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tcMar>
              <w:left w:w="28" w:type="dxa"/>
              <w:right w:w="28" w:type="dxa"/>
            </w:tcMar>
            <w:vAlign w:val="center"/>
          </w:tcPr>
          <w:p w14:paraId="0FAFA99C">
            <w:pPr>
              <w:adjustRightInd w:val="0"/>
              <w:snapToGrid w:val="0"/>
              <w:jc w:val="center"/>
              <w:rPr>
                <w:rFonts w:ascii="宋体" w:hAnsi="宋体" w:cs="宋体"/>
                <w:bCs/>
                <w:color w:val="auto"/>
                <w:szCs w:val="21"/>
              </w:rPr>
            </w:pPr>
            <w:r>
              <w:rPr>
                <w:rFonts w:hint="eastAsia" w:ascii="宋体" w:hAnsi="宋体" w:cs="宋体"/>
                <w:bCs/>
                <w:color w:val="auto"/>
                <w:szCs w:val="21"/>
              </w:rPr>
              <w:t>运营</w:t>
            </w:r>
          </w:p>
          <w:p w14:paraId="37EE54ED">
            <w:pPr>
              <w:adjustRightInd w:val="0"/>
              <w:snapToGrid w:val="0"/>
              <w:jc w:val="center"/>
              <w:rPr>
                <w:rFonts w:ascii="宋体" w:hAnsi="宋体" w:cs="宋体"/>
                <w:bCs/>
                <w:color w:val="auto"/>
                <w:szCs w:val="21"/>
              </w:rPr>
            </w:pPr>
            <w:r>
              <w:rPr>
                <w:rFonts w:hint="eastAsia" w:ascii="宋体" w:hAnsi="宋体" w:cs="宋体"/>
                <w:bCs/>
                <w:color w:val="auto"/>
                <w:szCs w:val="21"/>
              </w:rPr>
              <w:t>期环</w:t>
            </w:r>
          </w:p>
          <w:p w14:paraId="4BAB92C8">
            <w:pPr>
              <w:adjustRightInd w:val="0"/>
              <w:snapToGrid w:val="0"/>
              <w:jc w:val="center"/>
              <w:rPr>
                <w:rFonts w:ascii="宋体" w:hAnsi="宋体" w:cs="宋体"/>
                <w:bCs/>
                <w:color w:val="auto"/>
                <w:szCs w:val="21"/>
              </w:rPr>
            </w:pPr>
            <w:r>
              <w:rPr>
                <w:rFonts w:hint="eastAsia" w:ascii="宋体" w:hAnsi="宋体" w:cs="宋体"/>
                <w:bCs/>
                <w:color w:val="auto"/>
                <w:szCs w:val="21"/>
              </w:rPr>
              <w:t>境影</w:t>
            </w:r>
          </w:p>
          <w:p w14:paraId="62EAC4FC">
            <w:pPr>
              <w:adjustRightInd w:val="0"/>
              <w:snapToGrid w:val="0"/>
              <w:jc w:val="center"/>
              <w:rPr>
                <w:rFonts w:ascii="宋体" w:hAnsi="宋体" w:cs="宋体"/>
                <w:bCs/>
                <w:color w:val="auto"/>
                <w:szCs w:val="21"/>
              </w:rPr>
            </w:pPr>
            <w:r>
              <w:rPr>
                <w:rFonts w:hint="eastAsia" w:ascii="宋体" w:hAnsi="宋体" w:cs="宋体"/>
                <w:bCs/>
                <w:color w:val="auto"/>
                <w:szCs w:val="21"/>
              </w:rPr>
              <w:t>响和</w:t>
            </w:r>
          </w:p>
          <w:p w14:paraId="431B678F">
            <w:pPr>
              <w:adjustRightInd w:val="0"/>
              <w:snapToGrid w:val="0"/>
              <w:jc w:val="center"/>
              <w:rPr>
                <w:rFonts w:ascii="宋体" w:hAnsi="宋体" w:cs="宋体"/>
                <w:bCs/>
                <w:color w:val="auto"/>
                <w:szCs w:val="21"/>
              </w:rPr>
            </w:pPr>
            <w:r>
              <w:rPr>
                <w:rFonts w:hint="eastAsia" w:ascii="宋体" w:hAnsi="宋体" w:cs="宋体"/>
                <w:bCs/>
                <w:color w:val="auto"/>
                <w:szCs w:val="21"/>
              </w:rPr>
              <w:t>保护</w:t>
            </w:r>
          </w:p>
          <w:p w14:paraId="0C166596">
            <w:pPr>
              <w:adjustRightInd w:val="0"/>
              <w:snapToGrid w:val="0"/>
              <w:jc w:val="center"/>
              <w:rPr>
                <w:rFonts w:ascii="宋体" w:hAnsi="宋体" w:cs="宋体"/>
                <w:bCs/>
                <w:color w:val="auto"/>
                <w:szCs w:val="21"/>
              </w:rPr>
            </w:pPr>
            <w:r>
              <w:rPr>
                <w:rFonts w:hint="eastAsia" w:ascii="宋体" w:hAnsi="宋体" w:cs="宋体"/>
                <w:bCs/>
                <w:color w:val="auto"/>
                <w:szCs w:val="21"/>
              </w:rPr>
              <w:t>措施</w:t>
            </w:r>
          </w:p>
        </w:tc>
        <w:tc>
          <w:tcPr>
            <w:tcW w:w="8554" w:type="dxa"/>
            <w:vAlign w:val="center"/>
          </w:tcPr>
          <w:p w14:paraId="503AAA97">
            <w:pPr>
              <w:snapToGrid w:val="0"/>
              <w:spacing w:line="360" w:lineRule="auto"/>
              <w:ind w:firstLine="482" w:firstLineChars="200"/>
              <w:contextualSpacing/>
              <w:rPr>
                <w:rFonts w:hint="default" w:ascii="Times New Roman" w:hAnsi="Times New Roman" w:cs="Times New Roman"/>
                <w:b/>
                <w:color w:val="auto"/>
                <w:sz w:val="24"/>
              </w:rPr>
            </w:pPr>
            <w:r>
              <w:rPr>
                <w:rFonts w:hint="eastAsia" w:cs="Times New Roman"/>
                <w:b/>
                <w:color w:val="auto"/>
                <w:sz w:val="24"/>
                <w:lang w:val="en-US" w:eastAsia="zh-CN"/>
              </w:rPr>
              <w:t>2、</w:t>
            </w:r>
            <w:r>
              <w:rPr>
                <w:rFonts w:hint="default" w:ascii="Times New Roman" w:hAnsi="Times New Roman" w:cs="Times New Roman"/>
                <w:b/>
                <w:color w:val="auto"/>
                <w:sz w:val="24"/>
              </w:rPr>
              <w:t>污染源强核算过程</w:t>
            </w:r>
          </w:p>
          <w:p w14:paraId="444F29CF">
            <w:pPr>
              <w:adjustRightInd w:val="0"/>
              <w:snapToGrid w:val="0"/>
              <w:spacing w:line="360" w:lineRule="auto"/>
              <w:ind w:firstLine="480" w:firstLineChars="200"/>
              <w:jc w:val="left"/>
              <w:rPr>
                <w:rFonts w:hint="eastAsia" w:eastAsia="宋体"/>
                <w:color w:val="auto"/>
                <w:sz w:val="24"/>
                <w:lang w:eastAsia="zh-CN"/>
              </w:rPr>
            </w:pPr>
            <w:r>
              <w:rPr>
                <w:rFonts w:hint="eastAsia" w:cs="Times New Roman"/>
                <w:bCs/>
                <w:color w:val="auto"/>
                <w:sz w:val="24"/>
                <w:lang w:val="en-US" w:eastAsia="zh-CN"/>
              </w:rPr>
              <w:t>根据项目工程分析，废气污染物主要为调墨、印刷废气（</w:t>
            </w:r>
            <w:r>
              <w:rPr>
                <w:rFonts w:hint="default" w:ascii="Times New Roman" w:hAnsi="Times New Roman" w:cs="Times New Roman"/>
                <w:bCs/>
                <w:color w:val="auto"/>
                <w:sz w:val="24"/>
                <w:szCs w:val="24"/>
                <w:vertAlign w:val="baseline"/>
                <w:lang w:val="en-US" w:eastAsia="zh-CN"/>
              </w:rPr>
              <w:t>NMHC</w:t>
            </w:r>
            <w:r>
              <w:rPr>
                <w:rFonts w:hint="eastAsia" w:cs="Times New Roman"/>
                <w:bCs/>
                <w:color w:val="auto"/>
                <w:sz w:val="24"/>
                <w:lang w:val="en-US" w:eastAsia="zh-CN"/>
              </w:rPr>
              <w:t>）。</w:t>
            </w:r>
          </w:p>
          <w:p w14:paraId="4BEA0F78">
            <w:pPr>
              <w:pStyle w:val="5"/>
              <w:ind w:left="0" w:leftChars="0" w:firstLine="480" w:firstLineChars="200"/>
              <w:rPr>
                <w:rFonts w:hint="eastAsia"/>
                <w:b w:val="0"/>
                <w:bCs/>
                <w:color w:val="auto"/>
                <w:lang w:val="en-US" w:eastAsia="zh-CN"/>
              </w:rPr>
            </w:pPr>
            <w:r>
              <w:rPr>
                <w:rFonts w:hint="eastAsia"/>
                <w:b w:val="0"/>
                <w:bCs/>
                <w:color w:val="auto"/>
                <w:lang w:val="en-US" w:eastAsia="zh-CN"/>
              </w:rPr>
              <w:t>根据水性油墨、油墨、稀释剂MSDS报告，本项目调墨、印刷过程中挥发性有机废气产生情况详见表4-2。</w:t>
            </w:r>
          </w:p>
          <w:p w14:paraId="4317B047">
            <w:pPr>
              <w:pStyle w:val="4"/>
              <w:keepNext/>
              <w:keepLines/>
              <w:pageBreakBefore w:val="0"/>
              <w:widowControl w:val="0"/>
              <w:numPr>
                <w:ilvl w:val="3"/>
                <w:numId w:val="0"/>
              </w:numPr>
              <w:kinsoku/>
              <w:wordWrap/>
              <w:overflowPunct/>
              <w:topLinePunct w:val="0"/>
              <w:autoSpaceDE/>
              <w:autoSpaceDN/>
              <w:bidi w:val="0"/>
              <w:adjustRightInd/>
              <w:snapToGrid/>
              <w:spacing w:line="240" w:lineRule="auto"/>
              <w:ind w:leftChars="0"/>
              <w:jc w:val="center"/>
              <w:textAlignment w:val="auto"/>
              <w:rPr>
                <w:rFonts w:hint="default"/>
                <w:b/>
                <w:bCs w:val="0"/>
                <w:color w:val="auto"/>
                <w:sz w:val="24"/>
                <w:szCs w:val="24"/>
                <w:lang w:val="en-US" w:eastAsia="zh-CN"/>
              </w:rPr>
            </w:pPr>
            <w:r>
              <w:rPr>
                <w:rFonts w:hint="eastAsia"/>
                <w:b/>
                <w:bCs w:val="0"/>
                <w:color w:val="auto"/>
                <w:sz w:val="24"/>
                <w:szCs w:val="24"/>
                <w:lang w:val="en-US" w:eastAsia="zh-CN"/>
              </w:rPr>
              <w:t>表4-2  项目有机废气产生情况</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2"/>
              <w:gridCol w:w="1369"/>
              <w:gridCol w:w="1398"/>
              <w:gridCol w:w="2989"/>
              <w:gridCol w:w="1403"/>
            </w:tblGrid>
            <w:tr w14:paraId="52E54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trPr>
              <w:tc>
                <w:tcPr>
                  <w:tcW w:w="795" w:type="pct"/>
                  <w:vMerge w:val="restart"/>
                  <w:vAlign w:val="center"/>
                </w:tcPr>
                <w:p w14:paraId="74340FBD">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名称</w:t>
                  </w:r>
                </w:p>
              </w:tc>
              <w:tc>
                <w:tcPr>
                  <w:tcW w:w="804" w:type="pct"/>
                  <w:vMerge w:val="restart"/>
                  <w:vAlign w:val="center"/>
                </w:tcPr>
                <w:p w14:paraId="790DACB4">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用量t/a</w:t>
                  </w:r>
                </w:p>
              </w:tc>
              <w:tc>
                <w:tcPr>
                  <w:tcW w:w="821" w:type="pct"/>
                  <w:vMerge w:val="restart"/>
                  <w:vAlign w:val="center"/>
                </w:tcPr>
                <w:p w14:paraId="6AB7FEB3">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成分</w:t>
                  </w:r>
                </w:p>
              </w:tc>
              <w:tc>
                <w:tcPr>
                  <w:tcW w:w="1754" w:type="pct"/>
                  <w:vMerge w:val="restart"/>
                  <w:vAlign w:val="center"/>
                </w:tcPr>
                <w:p w14:paraId="6642FA5D">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含量</w:t>
                  </w:r>
                </w:p>
              </w:tc>
              <w:tc>
                <w:tcPr>
                  <w:tcW w:w="823" w:type="pct"/>
                  <w:vAlign w:val="center"/>
                </w:tcPr>
                <w:p w14:paraId="0F202EE1">
                  <w:pPr>
                    <w:pStyle w:val="3"/>
                    <w:pageBreakBefore w:val="0"/>
                    <w:kinsoku/>
                    <w:wordWrap/>
                    <w:overflowPunct/>
                    <w:topLinePunct w:val="0"/>
                    <w:autoSpaceDE/>
                    <w:autoSpaceDN/>
                    <w:bidi w:val="0"/>
                    <w:spacing w:before="0" w:after="0" w:line="240" w:lineRule="auto"/>
                    <w:ind w:left="0" w:leftChars="0" w:right="0" w:rightChars="0"/>
                    <w:jc w:val="center"/>
                    <w:rPr>
                      <w:rFonts w:hint="eastAsia"/>
                      <w:b w:val="0"/>
                      <w:bCs/>
                      <w:color w:val="auto"/>
                      <w:sz w:val="21"/>
                      <w:szCs w:val="21"/>
                      <w:vertAlign w:val="baseline"/>
                      <w:lang w:val="en-US" w:eastAsia="zh-CN"/>
                    </w:rPr>
                  </w:pPr>
                  <w:r>
                    <w:rPr>
                      <w:rFonts w:hint="eastAsia"/>
                      <w:b w:val="0"/>
                      <w:bCs/>
                      <w:color w:val="auto"/>
                      <w:sz w:val="21"/>
                      <w:szCs w:val="21"/>
                      <w:vertAlign w:val="baseline"/>
                      <w:lang w:val="en-US" w:eastAsia="zh-CN"/>
                    </w:rPr>
                    <w:t>产生量t/a</w:t>
                  </w:r>
                </w:p>
              </w:tc>
            </w:tr>
            <w:tr w14:paraId="116C8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trPr>
              <w:tc>
                <w:tcPr>
                  <w:tcW w:w="795" w:type="pct"/>
                  <w:vMerge w:val="continue"/>
                  <w:vAlign w:val="center"/>
                </w:tcPr>
                <w:p w14:paraId="417650CB">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804" w:type="pct"/>
                  <w:vMerge w:val="continue"/>
                  <w:vAlign w:val="center"/>
                </w:tcPr>
                <w:p w14:paraId="639061A5">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821" w:type="pct"/>
                  <w:vMerge w:val="continue"/>
                  <w:vAlign w:val="center"/>
                </w:tcPr>
                <w:p w14:paraId="6936FB6B">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1754" w:type="pct"/>
                  <w:vMerge w:val="continue"/>
                  <w:vAlign w:val="center"/>
                </w:tcPr>
                <w:p w14:paraId="4D18CB09">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1399" w:type="dxa"/>
                  <w:shd w:val="clear" w:color="auto" w:fill="auto"/>
                  <w:vAlign w:val="center"/>
                </w:tcPr>
                <w:p w14:paraId="657088D0">
                  <w:pPr>
                    <w:keepNext/>
                    <w:keepLines/>
                    <w:pageBreakBefore w:val="0"/>
                    <w:kinsoku/>
                    <w:wordWrap/>
                    <w:overflowPunct/>
                    <w:topLinePunct w:val="0"/>
                    <w:autoSpaceDE/>
                    <w:autoSpaceDN/>
                    <w:bidi w:val="0"/>
                    <w:spacing w:line="240" w:lineRule="auto"/>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bCs/>
                      <w:color w:val="auto"/>
                      <w:sz w:val="21"/>
                      <w:szCs w:val="21"/>
                      <w:vertAlign w:val="baseline"/>
                      <w:lang w:val="en-US" w:eastAsia="zh-CN"/>
                    </w:rPr>
                    <w:t>NMHC</w:t>
                  </w:r>
                </w:p>
              </w:tc>
            </w:tr>
            <w:tr w14:paraId="50B9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795" w:type="pct"/>
                  <w:vMerge w:val="restart"/>
                  <w:vAlign w:val="center"/>
                </w:tcPr>
                <w:p w14:paraId="49098823">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水性油墨</w:t>
                  </w:r>
                </w:p>
              </w:tc>
              <w:tc>
                <w:tcPr>
                  <w:tcW w:w="804" w:type="pct"/>
                  <w:vMerge w:val="restart"/>
                  <w:vAlign w:val="center"/>
                </w:tcPr>
                <w:p w14:paraId="167CF243">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3.4</w:t>
                  </w:r>
                </w:p>
              </w:tc>
              <w:tc>
                <w:tcPr>
                  <w:tcW w:w="821" w:type="pct"/>
                  <w:vAlign w:val="center"/>
                </w:tcPr>
                <w:p w14:paraId="1D14CA6E">
                  <w:pPr>
                    <w:keepNext/>
                    <w:keepLines/>
                    <w:pageBreakBefore w:val="0"/>
                    <w:kinsoku/>
                    <w:wordWrap/>
                    <w:overflowPunct/>
                    <w:topLinePunct w:val="0"/>
                    <w:autoSpaceDE/>
                    <w:autoSpaceDN/>
                    <w:bidi w:val="0"/>
                    <w:spacing w:line="240" w:lineRule="auto"/>
                    <w:ind w:left="0" w:leftChars="0" w:right="0" w:rightChars="0"/>
                    <w:jc w:val="center"/>
                    <w:rPr>
                      <w:rFonts w:hint="default"/>
                      <w:b w:val="0"/>
                      <w:bCs/>
                      <w:color w:val="auto"/>
                      <w:sz w:val="21"/>
                      <w:szCs w:val="21"/>
                      <w:vertAlign w:val="baseline"/>
                      <w:lang w:val="en-US" w:eastAsia="zh-CN"/>
                    </w:rPr>
                  </w:pPr>
                  <w:r>
                    <w:rPr>
                      <w:rFonts w:hint="default" w:ascii="Times New Roman" w:hAnsi="Times New Roman" w:cs="Times New Roman"/>
                      <w:bCs/>
                      <w:color w:val="auto"/>
                      <w:sz w:val="21"/>
                      <w:szCs w:val="21"/>
                      <w:vertAlign w:val="baseline"/>
                      <w:lang w:val="en-US" w:eastAsia="zh-CN"/>
                    </w:rPr>
                    <w:t>NMHC</w:t>
                  </w:r>
                </w:p>
              </w:tc>
              <w:tc>
                <w:tcPr>
                  <w:tcW w:w="1754" w:type="pct"/>
                  <w:vAlign w:val="center"/>
                </w:tcPr>
                <w:p w14:paraId="535362E4">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29.6%</w:t>
                  </w:r>
                </w:p>
              </w:tc>
              <w:tc>
                <w:tcPr>
                  <w:tcW w:w="823" w:type="pct"/>
                  <w:vMerge w:val="restart"/>
                  <w:vAlign w:val="center"/>
                </w:tcPr>
                <w:p w14:paraId="520FD97F">
                  <w:pPr>
                    <w:pStyle w:val="3"/>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1.0</w:t>
                  </w:r>
                  <w:r>
                    <w:rPr>
                      <w:rFonts w:hint="eastAsia" w:cs="Times New Roman"/>
                      <w:b w:val="0"/>
                      <w:bCs/>
                      <w:color w:val="auto"/>
                      <w:sz w:val="21"/>
                      <w:szCs w:val="21"/>
                      <w:vertAlign w:val="baseline"/>
                      <w:lang w:val="en-US" w:eastAsia="zh-CN"/>
                    </w:rPr>
                    <w:t>06</w:t>
                  </w:r>
                </w:p>
              </w:tc>
            </w:tr>
            <w:tr w14:paraId="3B92D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1" w:hRule="atLeast"/>
              </w:trPr>
              <w:tc>
                <w:tcPr>
                  <w:tcW w:w="795" w:type="pct"/>
                  <w:vMerge w:val="continue"/>
                  <w:vAlign w:val="center"/>
                </w:tcPr>
                <w:p w14:paraId="090AD7F5">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804" w:type="pct"/>
                  <w:vMerge w:val="continue"/>
                  <w:vAlign w:val="center"/>
                </w:tcPr>
                <w:p w14:paraId="5B05B2DA">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821" w:type="pct"/>
                  <w:vAlign w:val="center"/>
                </w:tcPr>
                <w:p w14:paraId="53EE6D8D">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固体份</w:t>
                  </w:r>
                </w:p>
              </w:tc>
              <w:tc>
                <w:tcPr>
                  <w:tcW w:w="1754" w:type="pct"/>
                  <w:vAlign w:val="center"/>
                </w:tcPr>
                <w:p w14:paraId="58132825">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70.4%</w:t>
                  </w:r>
                </w:p>
              </w:tc>
              <w:tc>
                <w:tcPr>
                  <w:tcW w:w="823" w:type="pct"/>
                  <w:vMerge w:val="continue"/>
                  <w:vAlign w:val="center"/>
                </w:tcPr>
                <w:p w14:paraId="2C727628">
                  <w:pPr>
                    <w:pStyle w:val="3"/>
                    <w:pageBreakBefore w:val="0"/>
                    <w:kinsoku/>
                    <w:wordWrap/>
                    <w:overflowPunct/>
                    <w:topLinePunct w:val="0"/>
                    <w:autoSpaceDE/>
                    <w:autoSpaceDN/>
                    <w:bidi w:val="0"/>
                    <w:spacing w:before="0" w:after="0" w:line="240" w:lineRule="auto"/>
                    <w:ind w:left="0" w:leftChars="0" w:right="0" w:rightChars="0"/>
                    <w:jc w:val="center"/>
                    <w:rPr>
                      <w:rFonts w:hint="eastAsia"/>
                      <w:b w:val="0"/>
                      <w:bCs/>
                      <w:color w:val="auto"/>
                      <w:sz w:val="21"/>
                      <w:szCs w:val="21"/>
                      <w:vertAlign w:val="baseline"/>
                      <w:lang w:val="en-US" w:eastAsia="zh-CN"/>
                    </w:rPr>
                  </w:pPr>
                </w:p>
              </w:tc>
            </w:tr>
            <w:tr w14:paraId="64FD4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795" w:type="pct"/>
                  <w:vMerge w:val="restart"/>
                  <w:vAlign w:val="center"/>
                </w:tcPr>
                <w:p w14:paraId="0BBF2CA9">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油墨</w:t>
                  </w:r>
                </w:p>
              </w:tc>
              <w:tc>
                <w:tcPr>
                  <w:tcW w:w="804" w:type="pct"/>
                  <w:vMerge w:val="restart"/>
                  <w:vAlign w:val="center"/>
                </w:tcPr>
                <w:p w14:paraId="6E28E7DB">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0.1</w:t>
                  </w:r>
                </w:p>
              </w:tc>
              <w:tc>
                <w:tcPr>
                  <w:tcW w:w="1394" w:type="dxa"/>
                  <w:vAlign w:val="center"/>
                </w:tcPr>
                <w:p w14:paraId="065618B4">
                  <w:pPr>
                    <w:keepNext/>
                    <w:keepLines/>
                    <w:pageBreakBefore w:val="0"/>
                    <w:kinsoku/>
                    <w:wordWrap/>
                    <w:overflowPunct/>
                    <w:topLinePunct w:val="0"/>
                    <w:autoSpaceDE/>
                    <w:autoSpaceDN/>
                    <w:bidi w:val="0"/>
                    <w:spacing w:line="240" w:lineRule="auto"/>
                    <w:ind w:left="0" w:leftChars="0" w:right="0" w:rightChars="0"/>
                    <w:jc w:val="center"/>
                    <w:rPr>
                      <w:rFonts w:hint="eastAsia"/>
                      <w:b w:val="0"/>
                      <w:bCs/>
                      <w:color w:val="auto"/>
                      <w:sz w:val="21"/>
                      <w:szCs w:val="21"/>
                      <w:vertAlign w:val="baseline"/>
                      <w:lang w:val="en-US" w:eastAsia="zh-CN"/>
                    </w:rPr>
                  </w:pPr>
                  <w:r>
                    <w:rPr>
                      <w:rFonts w:hint="default" w:ascii="Times New Roman" w:hAnsi="Times New Roman" w:cs="Times New Roman"/>
                      <w:bCs/>
                      <w:color w:val="auto"/>
                      <w:sz w:val="21"/>
                      <w:szCs w:val="21"/>
                      <w:vertAlign w:val="baseline"/>
                      <w:lang w:val="en-US" w:eastAsia="zh-CN"/>
                    </w:rPr>
                    <w:t>NMHC</w:t>
                  </w:r>
                </w:p>
              </w:tc>
              <w:tc>
                <w:tcPr>
                  <w:tcW w:w="1754" w:type="pct"/>
                  <w:vAlign w:val="center"/>
                </w:tcPr>
                <w:p w14:paraId="0184C690">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71.1%</w:t>
                  </w:r>
                </w:p>
              </w:tc>
              <w:tc>
                <w:tcPr>
                  <w:tcW w:w="823" w:type="pct"/>
                  <w:vMerge w:val="restart"/>
                  <w:vAlign w:val="center"/>
                </w:tcPr>
                <w:p w14:paraId="2C2E4AAF">
                  <w:pPr>
                    <w:pStyle w:val="3"/>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0.</w:t>
                  </w:r>
                  <w:r>
                    <w:rPr>
                      <w:rFonts w:hint="eastAsia" w:cs="Times New Roman"/>
                      <w:b w:val="0"/>
                      <w:bCs/>
                      <w:color w:val="auto"/>
                      <w:sz w:val="21"/>
                      <w:szCs w:val="21"/>
                      <w:vertAlign w:val="baseline"/>
                      <w:lang w:val="en-US" w:eastAsia="zh-CN"/>
                    </w:rPr>
                    <w:t>071</w:t>
                  </w:r>
                </w:p>
              </w:tc>
            </w:tr>
            <w:tr w14:paraId="1BFD0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795" w:type="pct"/>
                  <w:vMerge w:val="continue"/>
                  <w:vAlign w:val="center"/>
                </w:tcPr>
                <w:p w14:paraId="3502B21B">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804" w:type="pct"/>
                  <w:vMerge w:val="continue"/>
                  <w:vAlign w:val="center"/>
                </w:tcPr>
                <w:p w14:paraId="7C51D2C2">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821" w:type="pct"/>
                  <w:vAlign w:val="center"/>
                </w:tcPr>
                <w:p w14:paraId="5E533A72">
                  <w:pPr>
                    <w:pStyle w:val="3"/>
                    <w:pageBreakBefore w:val="0"/>
                    <w:kinsoku/>
                    <w:wordWrap/>
                    <w:overflowPunct/>
                    <w:topLinePunct w:val="0"/>
                    <w:autoSpaceDE/>
                    <w:autoSpaceDN/>
                    <w:bidi w:val="0"/>
                    <w:spacing w:before="0" w:after="0" w:line="240" w:lineRule="auto"/>
                    <w:ind w:left="0" w:leftChars="0" w:right="0" w:rightChars="0"/>
                    <w:jc w:val="center"/>
                    <w:rPr>
                      <w:rFonts w:hint="eastAsia"/>
                      <w:b w:val="0"/>
                      <w:bCs/>
                      <w:color w:val="auto"/>
                      <w:sz w:val="21"/>
                      <w:szCs w:val="21"/>
                      <w:vertAlign w:val="baseline"/>
                      <w:lang w:val="en-US" w:eastAsia="zh-CN"/>
                    </w:rPr>
                  </w:pPr>
                  <w:r>
                    <w:rPr>
                      <w:rFonts w:hint="eastAsia"/>
                      <w:b w:val="0"/>
                      <w:bCs/>
                      <w:color w:val="auto"/>
                      <w:sz w:val="21"/>
                      <w:szCs w:val="21"/>
                      <w:vertAlign w:val="baseline"/>
                      <w:lang w:val="en-US" w:eastAsia="zh-CN"/>
                    </w:rPr>
                    <w:t>固体份</w:t>
                  </w:r>
                </w:p>
              </w:tc>
              <w:tc>
                <w:tcPr>
                  <w:tcW w:w="1754" w:type="pct"/>
                  <w:vAlign w:val="center"/>
                </w:tcPr>
                <w:p w14:paraId="7CB377BA">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28.9%</w:t>
                  </w:r>
                </w:p>
              </w:tc>
              <w:tc>
                <w:tcPr>
                  <w:tcW w:w="823" w:type="pct"/>
                  <w:vMerge w:val="continue"/>
                  <w:vAlign w:val="center"/>
                </w:tcPr>
                <w:p w14:paraId="319E84E2">
                  <w:pPr>
                    <w:pStyle w:val="3"/>
                    <w:pageBreakBefore w:val="0"/>
                    <w:kinsoku/>
                    <w:wordWrap/>
                    <w:overflowPunct/>
                    <w:topLinePunct w:val="0"/>
                    <w:autoSpaceDE/>
                    <w:autoSpaceDN/>
                    <w:bidi w:val="0"/>
                    <w:spacing w:before="0" w:after="0" w:line="240" w:lineRule="auto"/>
                    <w:ind w:left="0" w:leftChars="0" w:right="0" w:rightChars="0"/>
                    <w:jc w:val="center"/>
                    <w:rPr>
                      <w:rFonts w:hint="eastAsia"/>
                      <w:b w:val="0"/>
                      <w:bCs/>
                      <w:color w:val="auto"/>
                      <w:sz w:val="21"/>
                      <w:szCs w:val="21"/>
                      <w:vertAlign w:val="baseline"/>
                      <w:lang w:val="en-US" w:eastAsia="zh-CN"/>
                    </w:rPr>
                  </w:pPr>
                </w:p>
              </w:tc>
            </w:tr>
            <w:tr w14:paraId="42DC7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795" w:type="pct"/>
                  <w:vMerge w:val="restart"/>
                  <w:vAlign w:val="center"/>
                </w:tcPr>
                <w:p w14:paraId="5B84A4B3">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稀释剂</w:t>
                  </w:r>
                </w:p>
              </w:tc>
              <w:tc>
                <w:tcPr>
                  <w:tcW w:w="804" w:type="pct"/>
                  <w:vMerge w:val="restart"/>
                  <w:vAlign w:val="center"/>
                </w:tcPr>
                <w:p w14:paraId="7B2EE35B">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0.02</w:t>
                  </w:r>
                </w:p>
              </w:tc>
              <w:tc>
                <w:tcPr>
                  <w:tcW w:w="1394" w:type="dxa"/>
                  <w:vAlign w:val="center"/>
                </w:tcPr>
                <w:p w14:paraId="0884ED61">
                  <w:pPr>
                    <w:keepNext/>
                    <w:keepLines/>
                    <w:pageBreakBefore w:val="0"/>
                    <w:kinsoku/>
                    <w:wordWrap/>
                    <w:overflowPunct/>
                    <w:topLinePunct w:val="0"/>
                    <w:autoSpaceDE/>
                    <w:autoSpaceDN/>
                    <w:bidi w:val="0"/>
                    <w:spacing w:line="240" w:lineRule="auto"/>
                    <w:ind w:left="0" w:leftChars="0" w:right="0" w:rightChars="0"/>
                    <w:jc w:val="center"/>
                    <w:rPr>
                      <w:rFonts w:hint="eastAsia"/>
                      <w:b w:val="0"/>
                      <w:bCs/>
                      <w:color w:val="auto"/>
                      <w:sz w:val="21"/>
                      <w:szCs w:val="21"/>
                      <w:vertAlign w:val="baseline"/>
                      <w:lang w:val="en-US" w:eastAsia="zh-CN"/>
                    </w:rPr>
                  </w:pPr>
                  <w:r>
                    <w:rPr>
                      <w:rFonts w:hint="default" w:ascii="Times New Roman" w:hAnsi="Times New Roman" w:cs="Times New Roman"/>
                      <w:bCs/>
                      <w:color w:val="auto"/>
                      <w:sz w:val="21"/>
                      <w:szCs w:val="21"/>
                      <w:vertAlign w:val="baseline"/>
                      <w:lang w:val="en-US" w:eastAsia="zh-CN"/>
                    </w:rPr>
                    <w:t>NMHC</w:t>
                  </w:r>
                </w:p>
              </w:tc>
              <w:tc>
                <w:tcPr>
                  <w:tcW w:w="1754" w:type="pct"/>
                  <w:vAlign w:val="center"/>
                </w:tcPr>
                <w:p w14:paraId="02767DBA">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100%</w:t>
                  </w:r>
                </w:p>
              </w:tc>
              <w:tc>
                <w:tcPr>
                  <w:tcW w:w="823" w:type="pct"/>
                  <w:vMerge w:val="restart"/>
                  <w:vAlign w:val="center"/>
                </w:tcPr>
                <w:p w14:paraId="4FBEBFF1">
                  <w:pPr>
                    <w:pStyle w:val="3"/>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0.0</w:t>
                  </w:r>
                  <w:r>
                    <w:rPr>
                      <w:rFonts w:hint="eastAsia" w:cs="Times New Roman"/>
                      <w:b w:val="0"/>
                      <w:bCs/>
                      <w:color w:val="auto"/>
                      <w:sz w:val="21"/>
                      <w:szCs w:val="21"/>
                      <w:vertAlign w:val="baseline"/>
                      <w:lang w:val="en-US" w:eastAsia="zh-CN"/>
                    </w:rPr>
                    <w:t>2</w:t>
                  </w:r>
                </w:p>
              </w:tc>
            </w:tr>
            <w:tr w14:paraId="78E95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1" w:hRule="atLeast"/>
              </w:trPr>
              <w:tc>
                <w:tcPr>
                  <w:tcW w:w="795" w:type="pct"/>
                  <w:vMerge w:val="continue"/>
                  <w:vAlign w:val="center"/>
                </w:tcPr>
                <w:p w14:paraId="4C0B76B0">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804" w:type="pct"/>
                  <w:vMerge w:val="continue"/>
                  <w:vAlign w:val="center"/>
                </w:tcPr>
                <w:p w14:paraId="7724D0DA">
                  <w:pPr>
                    <w:pStyle w:val="3"/>
                    <w:pageBreakBefore w:val="0"/>
                    <w:kinsoku/>
                    <w:wordWrap/>
                    <w:overflowPunct/>
                    <w:topLinePunct w:val="0"/>
                    <w:autoSpaceDE/>
                    <w:autoSpaceDN/>
                    <w:bidi w:val="0"/>
                    <w:spacing w:before="0" w:after="0" w:line="240" w:lineRule="auto"/>
                    <w:ind w:left="0" w:leftChars="0" w:right="0" w:rightChars="0"/>
                    <w:jc w:val="center"/>
                    <w:rPr>
                      <w:color w:val="auto"/>
                    </w:rPr>
                  </w:pPr>
                </w:p>
              </w:tc>
              <w:tc>
                <w:tcPr>
                  <w:tcW w:w="821" w:type="pct"/>
                  <w:vAlign w:val="center"/>
                </w:tcPr>
                <w:p w14:paraId="5A20F774">
                  <w:pPr>
                    <w:pStyle w:val="3"/>
                    <w:pageBreakBefore w:val="0"/>
                    <w:kinsoku/>
                    <w:wordWrap/>
                    <w:overflowPunct/>
                    <w:topLinePunct w:val="0"/>
                    <w:autoSpaceDE/>
                    <w:autoSpaceDN/>
                    <w:bidi w:val="0"/>
                    <w:spacing w:before="0" w:after="0" w:line="240" w:lineRule="auto"/>
                    <w:ind w:left="0" w:leftChars="0" w:right="0" w:rightChars="0"/>
                    <w:jc w:val="center"/>
                    <w:rPr>
                      <w:rFonts w:hint="eastAsia"/>
                      <w:b w:val="0"/>
                      <w:bCs/>
                      <w:color w:val="auto"/>
                      <w:sz w:val="21"/>
                      <w:szCs w:val="21"/>
                      <w:vertAlign w:val="baseline"/>
                      <w:lang w:val="en-US" w:eastAsia="zh-CN"/>
                    </w:rPr>
                  </w:pPr>
                  <w:r>
                    <w:rPr>
                      <w:rFonts w:hint="eastAsia"/>
                      <w:b w:val="0"/>
                      <w:bCs/>
                      <w:color w:val="auto"/>
                      <w:sz w:val="21"/>
                      <w:szCs w:val="21"/>
                      <w:vertAlign w:val="baseline"/>
                      <w:lang w:val="en-US" w:eastAsia="zh-CN"/>
                    </w:rPr>
                    <w:t>固体份</w:t>
                  </w:r>
                </w:p>
              </w:tc>
              <w:tc>
                <w:tcPr>
                  <w:tcW w:w="1754" w:type="pct"/>
                  <w:vAlign w:val="center"/>
                </w:tcPr>
                <w:p w14:paraId="4ABEB444">
                  <w:pPr>
                    <w:pStyle w:val="3"/>
                    <w:pageBreakBefore w:val="0"/>
                    <w:kinsoku/>
                    <w:wordWrap/>
                    <w:overflowPunct/>
                    <w:topLinePunct w:val="0"/>
                    <w:autoSpaceDE/>
                    <w:autoSpaceDN/>
                    <w:bidi w:val="0"/>
                    <w:spacing w:before="0" w:after="0" w:line="240" w:lineRule="auto"/>
                    <w:ind w:left="0" w:leftChars="0" w:right="0" w:rightChars="0"/>
                    <w:jc w:val="center"/>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0</w:t>
                  </w:r>
                </w:p>
              </w:tc>
              <w:tc>
                <w:tcPr>
                  <w:tcW w:w="823" w:type="pct"/>
                  <w:vMerge w:val="continue"/>
                  <w:vAlign w:val="center"/>
                </w:tcPr>
                <w:p w14:paraId="4BE5345F">
                  <w:pPr>
                    <w:pStyle w:val="3"/>
                    <w:pageBreakBefore w:val="0"/>
                    <w:kinsoku/>
                    <w:wordWrap/>
                    <w:overflowPunct/>
                    <w:topLinePunct w:val="0"/>
                    <w:autoSpaceDE/>
                    <w:autoSpaceDN/>
                    <w:bidi w:val="0"/>
                    <w:spacing w:before="0" w:after="0" w:line="240" w:lineRule="auto"/>
                    <w:ind w:left="0" w:leftChars="0" w:right="0" w:rightChars="0"/>
                    <w:jc w:val="center"/>
                    <w:rPr>
                      <w:rFonts w:hint="eastAsia"/>
                      <w:b w:val="0"/>
                      <w:bCs/>
                      <w:color w:val="auto"/>
                      <w:sz w:val="21"/>
                      <w:szCs w:val="21"/>
                      <w:vertAlign w:val="baseline"/>
                      <w:lang w:val="en-US" w:eastAsia="zh-CN"/>
                    </w:rPr>
                  </w:pPr>
                </w:p>
              </w:tc>
            </w:tr>
            <w:tr w14:paraId="6F8F1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176" w:type="pct"/>
                  <w:gridSpan w:val="4"/>
                  <w:vAlign w:val="center"/>
                </w:tcPr>
                <w:p w14:paraId="59A8F7DB">
                  <w:pPr>
                    <w:pStyle w:val="3"/>
                    <w:pageBreakBefore w:val="0"/>
                    <w:kinsoku/>
                    <w:wordWrap/>
                    <w:overflowPunct/>
                    <w:topLinePunct w:val="0"/>
                    <w:autoSpaceDE/>
                    <w:autoSpaceDN/>
                    <w:bidi w:val="0"/>
                    <w:spacing w:before="0" w:after="0" w:line="240" w:lineRule="auto"/>
                    <w:ind w:left="0" w:leftChars="0" w:right="0" w:rightChars="0"/>
                    <w:jc w:val="center"/>
                    <w:rPr>
                      <w:rFonts w:hint="eastAsia"/>
                      <w:b w:val="0"/>
                      <w:bCs/>
                      <w:color w:val="auto"/>
                      <w:sz w:val="21"/>
                      <w:szCs w:val="21"/>
                      <w:vertAlign w:val="baseline"/>
                      <w:lang w:val="en-US" w:eastAsia="zh-CN"/>
                    </w:rPr>
                  </w:pPr>
                  <w:r>
                    <w:rPr>
                      <w:rFonts w:hint="eastAsia"/>
                      <w:b w:val="0"/>
                      <w:bCs w:val="0"/>
                      <w:color w:val="auto"/>
                      <w:sz w:val="21"/>
                      <w:szCs w:val="21"/>
                      <w:lang w:val="en-US" w:eastAsia="zh-CN"/>
                    </w:rPr>
                    <w:t>调墨、印刷废气总计</w:t>
                  </w:r>
                </w:p>
              </w:tc>
              <w:tc>
                <w:tcPr>
                  <w:tcW w:w="823" w:type="pct"/>
                  <w:vAlign w:val="center"/>
                </w:tcPr>
                <w:p w14:paraId="57494DB9">
                  <w:pPr>
                    <w:pStyle w:val="3"/>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1.</w:t>
                  </w:r>
                  <w:r>
                    <w:rPr>
                      <w:rFonts w:hint="eastAsia" w:cs="Times New Roman"/>
                      <w:b w:val="0"/>
                      <w:bCs/>
                      <w:color w:val="auto"/>
                      <w:sz w:val="21"/>
                      <w:szCs w:val="21"/>
                      <w:vertAlign w:val="baseline"/>
                      <w:lang w:val="en-US" w:eastAsia="zh-CN"/>
                    </w:rPr>
                    <w:t>097</w:t>
                  </w:r>
                </w:p>
              </w:tc>
            </w:tr>
            <w:tr w14:paraId="7C114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5000" w:type="pct"/>
                  <w:gridSpan w:val="5"/>
                  <w:vAlign w:val="center"/>
                </w:tcPr>
                <w:p w14:paraId="0CD17B8F">
                  <w:pPr>
                    <w:pStyle w:val="3"/>
                    <w:pageBreakBefore w:val="0"/>
                    <w:kinsoku/>
                    <w:wordWrap/>
                    <w:overflowPunct/>
                    <w:topLinePunct w:val="0"/>
                    <w:autoSpaceDE/>
                    <w:autoSpaceDN/>
                    <w:bidi w:val="0"/>
                    <w:spacing w:before="0" w:after="0" w:line="240" w:lineRule="auto"/>
                    <w:ind w:left="0" w:leftChars="0" w:right="0" w:rightChars="0"/>
                    <w:jc w:val="both"/>
                    <w:rPr>
                      <w:rFonts w:hint="eastAsia"/>
                      <w:b w:val="0"/>
                      <w:bCs/>
                      <w:color w:val="auto"/>
                      <w:sz w:val="21"/>
                      <w:szCs w:val="21"/>
                      <w:vertAlign w:val="baseline"/>
                      <w:lang w:val="en-US" w:eastAsia="zh-CN"/>
                    </w:rPr>
                  </w:pPr>
                  <w:r>
                    <w:rPr>
                      <w:rFonts w:hint="default" w:ascii="Times New Roman" w:hAnsi="Times New Roman" w:cs="Times New Roman"/>
                      <w:b w:val="0"/>
                      <w:bCs w:val="0"/>
                      <w:color w:val="auto"/>
                      <w:sz w:val="21"/>
                      <w:szCs w:val="21"/>
                      <w:lang w:val="en-US" w:eastAsia="zh-CN"/>
                    </w:rPr>
                    <w:t>注：1、根据MSDS报告，</w:t>
                  </w:r>
                  <w:r>
                    <w:rPr>
                      <w:rFonts w:hint="eastAsia" w:hAnsi="Times New Roman" w:cs="Times New Roman"/>
                      <w:b w:val="0"/>
                      <w:bCs w:val="0"/>
                      <w:color w:val="auto"/>
                      <w:sz w:val="21"/>
                      <w:szCs w:val="21"/>
                      <w:lang w:val="en-US" w:eastAsia="zh-CN"/>
                    </w:rPr>
                    <w:t>本项目</w:t>
                  </w:r>
                  <w:r>
                    <w:rPr>
                      <w:rFonts w:hint="default" w:ascii="Times New Roman" w:hAnsi="Times New Roman" w:cs="Times New Roman"/>
                      <w:b w:val="0"/>
                      <w:bCs w:val="0"/>
                      <w:color w:val="auto"/>
                      <w:sz w:val="21"/>
                      <w:szCs w:val="21"/>
                      <w:lang w:val="en-US" w:eastAsia="zh-CN"/>
                    </w:rPr>
                    <w:t>稀释剂挥发组分含量按最不利的情况计算（即</w:t>
                  </w:r>
                  <w:r>
                    <w:rPr>
                      <w:rFonts w:hint="eastAsia" w:hAnsi="Times New Roman" w:cs="Times New Roman"/>
                      <w:b w:val="0"/>
                      <w:bCs w:val="0"/>
                      <w:color w:val="auto"/>
                      <w:sz w:val="21"/>
                      <w:szCs w:val="21"/>
                      <w:lang w:val="en-US" w:eastAsia="zh-CN"/>
                    </w:rPr>
                    <w:t>稀释剂挥发组分按</w:t>
                  </w:r>
                  <w:r>
                    <w:rPr>
                      <w:rFonts w:hint="default" w:ascii="Times New Roman" w:hAnsi="Times New Roman" w:cs="Times New Roman"/>
                      <w:b w:val="0"/>
                      <w:bCs w:val="0"/>
                      <w:color w:val="auto"/>
                      <w:sz w:val="21"/>
                      <w:szCs w:val="21"/>
                      <w:lang w:val="en-US" w:eastAsia="zh-CN"/>
                    </w:rPr>
                    <w:t>100%</w:t>
                  </w:r>
                  <w:r>
                    <w:rPr>
                      <w:rFonts w:hint="eastAsia" w:hAnsi="Times New Roman" w:cs="Times New Roman"/>
                      <w:b w:val="0"/>
                      <w:bCs w:val="0"/>
                      <w:color w:val="auto"/>
                      <w:sz w:val="21"/>
                      <w:szCs w:val="21"/>
                      <w:lang w:val="en-US" w:eastAsia="zh-CN"/>
                    </w:rPr>
                    <w:t>计</w:t>
                  </w:r>
                  <w:r>
                    <w:rPr>
                      <w:rFonts w:hint="default" w:ascii="Times New Roman" w:hAnsi="Times New Roman" w:cs="Times New Roman"/>
                      <w:b w:val="0"/>
                      <w:bCs w:val="0"/>
                      <w:color w:val="auto"/>
                      <w:sz w:val="21"/>
                      <w:szCs w:val="21"/>
                      <w:lang w:val="en-US" w:eastAsia="zh-CN"/>
                    </w:rPr>
                    <w:t>）。2、根据企业生产经验以及类比相关行业的生产经验，项目加工时，调墨过程中</w:t>
                  </w:r>
                  <w:r>
                    <w:rPr>
                      <w:rFonts w:hint="eastAsia" w:hAnsi="Times New Roman" w:cs="Times New Roman"/>
                      <w:b w:val="0"/>
                      <w:bCs w:val="0"/>
                      <w:color w:val="auto"/>
                      <w:sz w:val="21"/>
                      <w:szCs w:val="21"/>
                      <w:lang w:val="en-US" w:eastAsia="zh-CN"/>
                    </w:rPr>
                    <w:t>产生的</w:t>
                  </w:r>
                  <w:r>
                    <w:rPr>
                      <w:rFonts w:hint="default" w:ascii="Times New Roman" w:hAnsi="Times New Roman" w:cs="Times New Roman"/>
                      <w:b w:val="0"/>
                      <w:bCs w:val="0"/>
                      <w:color w:val="auto"/>
                      <w:sz w:val="21"/>
                      <w:szCs w:val="21"/>
                      <w:lang w:val="en-US" w:eastAsia="zh-CN"/>
                    </w:rPr>
                    <w:t>挥发</w:t>
                  </w:r>
                  <w:r>
                    <w:rPr>
                      <w:rFonts w:hint="eastAsia" w:hAnsi="Times New Roman" w:cs="Times New Roman"/>
                      <w:b w:val="0"/>
                      <w:bCs w:val="0"/>
                      <w:color w:val="auto"/>
                      <w:sz w:val="21"/>
                      <w:szCs w:val="21"/>
                      <w:lang w:val="en-US" w:eastAsia="zh-CN"/>
                    </w:rPr>
                    <w:t>量</w:t>
                  </w:r>
                  <w:r>
                    <w:rPr>
                      <w:rFonts w:hint="default" w:ascii="Times New Roman" w:hAnsi="Times New Roman" w:cs="Times New Roman"/>
                      <w:b w:val="0"/>
                      <w:bCs w:val="0"/>
                      <w:color w:val="auto"/>
                      <w:sz w:val="21"/>
                      <w:szCs w:val="21"/>
                      <w:lang w:val="en-US" w:eastAsia="zh-CN"/>
                    </w:rPr>
                    <w:t>约</w:t>
                  </w:r>
                  <w:r>
                    <w:rPr>
                      <w:rFonts w:hint="eastAsia" w:hAnsi="Times New Roman" w:cs="Times New Roman"/>
                      <w:b w:val="0"/>
                      <w:bCs w:val="0"/>
                      <w:color w:val="auto"/>
                      <w:sz w:val="21"/>
                      <w:szCs w:val="21"/>
                      <w:lang w:val="en-US" w:eastAsia="zh-CN"/>
                    </w:rPr>
                    <w:t>占总挥发量的</w:t>
                  </w:r>
                  <w:r>
                    <w:rPr>
                      <w:rFonts w:hint="default" w:ascii="Times New Roman" w:hAnsi="Times New Roman" w:cs="Times New Roman"/>
                      <w:b w:val="0"/>
                      <w:bCs w:val="0"/>
                      <w:color w:val="auto"/>
                      <w:sz w:val="21"/>
                      <w:szCs w:val="21"/>
                      <w:lang w:val="en-US" w:eastAsia="zh-CN"/>
                    </w:rPr>
                    <w:t>10%，印刷过程中</w:t>
                  </w:r>
                  <w:r>
                    <w:rPr>
                      <w:rFonts w:hint="eastAsia" w:hAnsi="Times New Roman" w:cs="Times New Roman"/>
                      <w:b w:val="0"/>
                      <w:bCs w:val="0"/>
                      <w:color w:val="auto"/>
                      <w:sz w:val="21"/>
                      <w:szCs w:val="21"/>
                      <w:lang w:val="en-US" w:eastAsia="zh-CN"/>
                    </w:rPr>
                    <w:t>产生的</w:t>
                  </w:r>
                  <w:r>
                    <w:rPr>
                      <w:rFonts w:hint="default" w:ascii="Times New Roman" w:hAnsi="Times New Roman" w:cs="Times New Roman"/>
                      <w:b w:val="0"/>
                      <w:bCs w:val="0"/>
                      <w:color w:val="auto"/>
                      <w:sz w:val="21"/>
                      <w:szCs w:val="21"/>
                      <w:lang w:val="en-US" w:eastAsia="zh-CN"/>
                    </w:rPr>
                    <w:t>挥发</w:t>
                  </w:r>
                  <w:r>
                    <w:rPr>
                      <w:rFonts w:hint="eastAsia" w:hAnsi="Times New Roman" w:cs="Times New Roman"/>
                      <w:b w:val="0"/>
                      <w:bCs w:val="0"/>
                      <w:color w:val="auto"/>
                      <w:sz w:val="21"/>
                      <w:szCs w:val="21"/>
                      <w:lang w:val="en-US" w:eastAsia="zh-CN"/>
                    </w:rPr>
                    <w:t>量</w:t>
                  </w:r>
                  <w:r>
                    <w:rPr>
                      <w:rFonts w:hint="default" w:ascii="Times New Roman" w:hAnsi="Times New Roman" w:cs="Times New Roman"/>
                      <w:b w:val="0"/>
                      <w:bCs w:val="0"/>
                      <w:color w:val="auto"/>
                      <w:sz w:val="21"/>
                      <w:szCs w:val="21"/>
                      <w:lang w:val="en-US" w:eastAsia="zh-CN"/>
                    </w:rPr>
                    <w:t>约</w:t>
                  </w:r>
                  <w:r>
                    <w:rPr>
                      <w:rFonts w:hint="eastAsia" w:hAnsi="Times New Roman" w:cs="Times New Roman"/>
                      <w:b w:val="0"/>
                      <w:bCs w:val="0"/>
                      <w:color w:val="auto"/>
                      <w:sz w:val="21"/>
                      <w:szCs w:val="21"/>
                      <w:lang w:val="en-US" w:eastAsia="zh-CN"/>
                    </w:rPr>
                    <w:t>占总挥发量</w:t>
                  </w:r>
                  <w:r>
                    <w:rPr>
                      <w:rFonts w:hint="eastAsia" w:cs="Times New Roman"/>
                      <w:b w:val="0"/>
                      <w:bCs w:val="0"/>
                      <w:color w:val="auto"/>
                      <w:sz w:val="21"/>
                      <w:szCs w:val="21"/>
                      <w:lang w:val="en-US" w:eastAsia="zh-CN"/>
                    </w:rPr>
                    <w:t>的</w:t>
                  </w:r>
                  <w:r>
                    <w:rPr>
                      <w:rFonts w:hint="default" w:ascii="Times New Roman" w:hAnsi="Times New Roman" w:cs="Times New Roman"/>
                      <w:b w:val="0"/>
                      <w:bCs w:val="0"/>
                      <w:color w:val="auto"/>
                      <w:sz w:val="21"/>
                      <w:szCs w:val="21"/>
                      <w:lang w:val="en-US" w:eastAsia="zh-CN"/>
                    </w:rPr>
                    <w:t>90%</w:t>
                  </w:r>
                  <w:r>
                    <w:rPr>
                      <w:rFonts w:hint="eastAsia" w:cs="Times New Roman"/>
                      <w:b w:val="0"/>
                      <w:bCs w:val="0"/>
                      <w:color w:val="auto"/>
                      <w:sz w:val="21"/>
                      <w:szCs w:val="21"/>
                      <w:lang w:val="en-US" w:eastAsia="zh-CN"/>
                    </w:rPr>
                    <w:t>。</w:t>
                  </w:r>
                </w:p>
              </w:tc>
            </w:tr>
          </w:tbl>
          <w:p w14:paraId="486DF575">
            <w:pPr>
              <w:pStyle w:val="4"/>
              <w:keepNext/>
              <w:keepLines/>
              <w:pageBreakBefore w:val="0"/>
              <w:widowControl w:val="0"/>
              <w:numPr>
                <w:ilvl w:val="3"/>
                <w:numId w:val="0"/>
              </w:numPr>
              <w:kinsoku/>
              <w:wordWrap/>
              <w:overflowPunct/>
              <w:topLinePunct w:val="0"/>
              <w:autoSpaceDE/>
              <w:autoSpaceDN/>
              <w:bidi w:val="0"/>
              <w:adjustRightInd/>
              <w:snapToGrid/>
              <w:spacing w:line="240" w:lineRule="auto"/>
              <w:ind w:leftChars="0" w:firstLine="480" w:firstLineChars="200"/>
              <w:jc w:val="both"/>
              <w:textAlignment w:val="auto"/>
              <w:rPr>
                <w:rFonts w:hint="default"/>
                <w:b w:val="0"/>
                <w:bCs/>
                <w:color w:val="auto"/>
                <w:sz w:val="24"/>
                <w:szCs w:val="24"/>
                <w:lang w:val="en-US" w:eastAsia="zh-CN"/>
              </w:rPr>
            </w:pPr>
            <w:r>
              <w:rPr>
                <w:rFonts w:hint="eastAsia"/>
                <w:b w:val="0"/>
                <w:bCs/>
                <w:color w:val="auto"/>
                <w:sz w:val="24"/>
                <w:szCs w:val="24"/>
                <w:lang w:val="en-US" w:eastAsia="zh-CN"/>
              </w:rPr>
              <w:t>调墨、印刷过程位于彩印车间内进行，项目彩印车间为无尘车间。根据各工段生产过程中产生的有机废气挥发占比，各工段有机废气产生情况见下表：</w:t>
            </w:r>
          </w:p>
          <w:p w14:paraId="39D02CEE">
            <w:pPr>
              <w:pStyle w:val="4"/>
              <w:keepNext/>
              <w:keepLines/>
              <w:pageBreakBefore w:val="0"/>
              <w:widowControl w:val="0"/>
              <w:numPr>
                <w:ilvl w:val="3"/>
                <w:numId w:val="0"/>
              </w:numPr>
              <w:kinsoku/>
              <w:wordWrap/>
              <w:overflowPunct/>
              <w:topLinePunct w:val="0"/>
              <w:autoSpaceDE/>
              <w:autoSpaceDN/>
              <w:bidi w:val="0"/>
              <w:adjustRightInd/>
              <w:snapToGrid/>
              <w:spacing w:line="240" w:lineRule="auto"/>
              <w:ind w:leftChars="0"/>
              <w:jc w:val="center"/>
              <w:textAlignment w:val="auto"/>
              <w:rPr>
                <w:rFonts w:hint="default"/>
                <w:b/>
                <w:bCs w:val="0"/>
                <w:color w:val="auto"/>
                <w:sz w:val="24"/>
                <w:szCs w:val="24"/>
                <w:vertAlign w:val="baseline"/>
                <w:lang w:val="en-US" w:eastAsia="zh-CN"/>
              </w:rPr>
            </w:pPr>
            <w:r>
              <w:rPr>
                <w:rFonts w:hint="eastAsia"/>
                <w:b/>
                <w:bCs w:val="0"/>
                <w:color w:val="auto"/>
                <w:sz w:val="24"/>
                <w:szCs w:val="24"/>
                <w:lang w:val="en-US" w:eastAsia="zh-CN"/>
              </w:rPr>
              <w:t>表4-3  项目各工段有机废气产生情况</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7"/>
              <w:gridCol w:w="4257"/>
            </w:tblGrid>
            <w:tr w14:paraId="0F0E2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14:paraId="47F349D0">
                  <w:pPr>
                    <w:pStyle w:val="3"/>
                    <w:pageBreakBefore w:val="0"/>
                    <w:kinsoku/>
                    <w:wordWrap/>
                    <w:overflowPunct/>
                    <w:topLinePunct w:val="0"/>
                    <w:autoSpaceDE/>
                    <w:autoSpaceDN/>
                    <w:bidi w:val="0"/>
                    <w:spacing w:before="0" w:after="0" w:line="240" w:lineRule="auto"/>
                    <w:ind w:left="0" w:leftChars="0" w:right="0" w:rightChars="0"/>
                    <w:jc w:val="center"/>
                    <w:rPr>
                      <w:rFonts w:hint="default"/>
                      <w:b/>
                      <w:bCs w:val="0"/>
                      <w:color w:val="auto"/>
                      <w:sz w:val="24"/>
                      <w:szCs w:val="24"/>
                      <w:vertAlign w:val="baseline"/>
                      <w:lang w:val="en-US" w:eastAsia="zh-CN"/>
                    </w:rPr>
                  </w:pPr>
                  <w:r>
                    <w:rPr>
                      <w:rFonts w:hint="eastAsia"/>
                      <w:b w:val="0"/>
                      <w:bCs w:val="0"/>
                      <w:color w:val="auto"/>
                      <w:sz w:val="21"/>
                      <w:szCs w:val="21"/>
                      <w:lang w:val="en-US" w:eastAsia="zh-CN"/>
                    </w:rPr>
                    <w:t>产生工段</w:t>
                  </w:r>
                </w:p>
              </w:tc>
              <w:tc>
                <w:tcPr>
                  <w:tcW w:w="2500" w:type="pct"/>
                  <w:vAlign w:val="center"/>
                </w:tcPr>
                <w:p w14:paraId="2E969BB7">
                  <w:pPr>
                    <w:pStyle w:val="3"/>
                    <w:pageBreakBefore w:val="0"/>
                    <w:kinsoku/>
                    <w:wordWrap/>
                    <w:overflowPunct/>
                    <w:topLinePunct w:val="0"/>
                    <w:autoSpaceDE/>
                    <w:autoSpaceDN/>
                    <w:bidi w:val="0"/>
                    <w:spacing w:before="0" w:after="0" w:line="240" w:lineRule="auto"/>
                    <w:ind w:left="0" w:leftChars="0" w:right="0" w:rightChars="0"/>
                    <w:jc w:val="center"/>
                    <w:rPr>
                      <w:rFonts w:hint="default"/>
                      <w:b/>
                      <w:bCs w:val="0"/>
                      <w:color w:val="auto"/>
                      <w:sz w:val="21"/>
                      <w:szCs w:val="21"/>
                      <w:vertAlign w:val="baseline"/>
                      <w:lang w:val="en-US" w:eastAsia="zh-CN"/>
                    </w:rPr>
                  </w:pPr>
                  <w:r>
                    <w:rPr>
                      <w:rFonts w:hint="eastAsia"/>
                      <w:b w:val="0"/>
                      <w:bCs w:val="0"/>
                      <w:color w:val="auto"/>
                      <w:sz w:val="21"/>
                      <w:szCs w:val="21"/>
                      <w:lang w:val="en-US" w:eastAsia="zh-CN"/>
                    </w:rPr>
                    <w:t>产生量（t/a）</w:t>
                  </w:r>
                </w:p>
              </w:tc>
            </w:tr>
            <w:tr w14:paraId="70921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14:paraId="04E4F32E">
                  <w:pPr>
                    <w:pStyle w:val="3"/>
                    <w:pageBreakBefore w:val="0"/>
                    <w:kinsoku/>
                    <w:wordWrap/>
                    <w:overflowPunct/>
                    <w:topLinePunct w:val="0"/>
                    <w:autoSpaceDE/>
                    <w:autoSpaceDN/>
                    <w:bidi w:val="0"/>
                    <w:spacing w:before="0" w:after="0" w:line="240" w:lineRule="auto"/>
                    <w:ind w:left="0" w:leftChars="0" w:right="0" w:rightChars="0"/>
                    <w:jc w:val="center"/>
                    <w:rPr>
                      <w:rFonts w:hint="default"/>
                      <w:b/>
                      <w:bCs w:val="0"/>
                      <w:color w:val="auto"/>
                      <w:sz w:val="24"/>
                      <w:szCs w:val="24"/>
                      <w:vertAlign w:val="baseline"/>
                      <w:lang w:val="en-US" w:eastAsia="zh-CN"/>
                    </w:rPr>
                  </w:pPr>
                  <w:r>
                    <w:rPr>
                      <w:rFonts w:hint="eastAsia"/>
                      <w:b w:val="0"/>
                      <w:bCs w:val="0"/>
                      <w:color w:val="auto"/>
                      <w:sz w:val="21"/>
                      <w:szCs w:val="21"/>
                      <w:lang w:val="en-US" w:eastAsia="zh-CN"/>
                    </w:rPr>
                    <w:t>调墨</w:t>
                  </w:r>
                </w:p>
              </w:tc>
              <w:tc>
                <w:tcPr>
                  <w:tcW w:w="2500" w:type="pct"/>
                  <w:vAlign w:val="center"/>
                </w:tcPr>
                <w:p w14:paraId="49529945">
                  <w:pPr>
                    <w:pStyle w:val="3"/>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b/>
                      <w:bCs w:val="0"/>
                      <w:color w:val="auto"/>
                      <w:sz w:val="21"/>
                      <w:szCs w:val="21"/>
                      <w:vertAlign w:val="baseline"/>
                      <w:lang w:val="en-US" w:eastAsia="zh-CN"/>
                    </w:rPr>
                  </w:pPr>
                  <w:r>
                    <w:rPr>
                      <w:rFonts w:hint="eastAsia"/>
                      <w:b w:val="0"/>
                      <w:bCs/>
                      <w:color w:val="auto"/>
                      <w:sz w:val="21"/>
                      <w:szCs w:val="21"/>
                      <w:vertAlign w:val="baseline"/>
                      <w:lang w:val="en-US" w:eastAsia="zh-CN"/>
                    </w:rPr>
                    <w:t>0.11</w:t>
                  </w:r>
                </w:p>
              </w:tc>
            </w:tr>
            <w:tr w14:paraId="296C3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14:paraId="09EA76BB">
                  <w:pPr>
                    <w:pStyle w:val="3"/>
                    <w:pageBreakBefore w:val="0"/>
                    <w:kinsoku/>
                    <w:wordWrap/>
                    <w:overflowPunct/>
                    <w:topLinePunct w:val="0"/>
                    <w:autoSpaceDE/>
                    <w:autoSpaceDN/>
                    <w:bidi w:val="0"/>
                    <w:spacing w:before="0" w:after="0" w:line="240" w:lineRule="auto"/>
                    <w:ind w:left="0" w:leftChars="0" w:right="0" w:rightChars="0"/>
                    <w:jc w:val="center"/>
                    <w:rPr>
                      <w:rFonts w:hint="default"/>
                      <w:b/>
                      <w:bCs w:val="0"/>
                      <w:color w:val="auto"/>
                      <w:sz w:val="24"/>
                      <w:szCs w:val="24"/>
                      <w:vertAlign w:val="baseline"/>
                      <w:lang w:val="en-US" w:eastAsia="zh-CN"/>
                    </w:rPr>
                  </w:pPr>
                  <w:r>
                    <w:rPr>
                      <w:rFonts w:hint="eastAsia"/>
                      <w:b w:val="0"/>
                      <w:bCs w:val="0"/>
                      <w:color w:val="auto"/>
                      <w:sz w:val="21"/>
                      <w:szCs w:val="21"/>
                      <w:lang w:val="en-US" w:eastAsia="zh-CN"/>
                    </w:rPr>
                    <w:t>印刷</w:t>
                  </w:r>
                </w:p>
              </w:tc>
              <w:tc>
                <w:tcPr>
                  <w:tcW w:w="2500" w:type="pct"/>
                  <w:vAlign w:val="center"/>
                </w:tcPr>
                <w:p w14:paraId="14B913F2">
                  <w:pPr>
                    <w:pStyle w:val="3"/>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b/>
                      <w:bCs w:val="0"/>
                      <w:color w:val="auto"/>
                      <w:sz w:val="21"/>
                      <w:szCs w:val="21"/>
                      <w:vertAlign w:val="baseline"/>
                      <w:lang w:val="en-US" w:eastAsia="zh-CN"/>
                    </w:rPr>
                  </w:pPr>
                  <w:r>
                    <w:rPr>
                      <w:rFonts w:hint="eastAsia"/>
                      <w:b w:val="0"/>
                      <w:bCs/>
                      <w:color w:val="auto"/>
                      <w:sz w:val="21"/>
                      <w:szCs w:val="21"/>
                      <w:vertAlign w:val="baseline"/>
                      <w:lang w:val="en-US" w:eastAsia="zh-CN"/>
                    </w:rPr>
                    <w:t>0.987</w:t>
                  </w:r>
                </w:p>
              </w:tc>
            </w:tr>
          </w:tbl>
          <w:p w14:paraId="71BCB2CC">
            <w:pPr>
              <w:pStyle w:val="5"/>
              <w:ind w:left="0" w:leftChars="0" w:firstLine="482" w:firstLineChars="200"/>
              <w:rPr>
                <w:rFonts w:hint="default"/>
                <w:b w:val="0"/>
                <w:bCs/>
                <w:color w:val="auto"/>
                <w:lang w:val="en-US" w:eastAsia="zh-CN"/>
              </w:rPr>
            </w:pPr>
            <w:r>
              <w:rPr>
                <w:rFonts w:hint="eastAsia"/>
                <w:b/>
                <w:bCs w:val="0"/>
                <w:color w:val="auto"/>
                <w:lang w:val="en-US" w:eastAsia="zh-CN"/>
              </w:rPr>
              <w:t>调墨废气：</w:t>
            </w:r>
          </w:p>
          <w:p w14:paraId="5576EA30">
            <w:pPr>
              <w:pStyle w:val="5"/>
              <w:rPr>
                <w:rFonts w:hint="default" w:ascii="Times New Roman" w:hAnsi="Times New Roman" w:cs="Times New Roman"/>
                <w:bCs/>
                <w:color w:val="auto"/>
                <w:sz w:val="24"/>
                <w:vertAlign w:val="baseline"/>
                <w:lang w:val="en-US" w:eastAsia="zh-CN"/>
              </w:rPr>
            </w:pPr>
            <w:r>
              <w:rPr>
                <w:rFonts w:hint="eastAsia"/>
                <w:b w:val="0"/>
                <w:bCs/>
                <w:color w:val="auto"/>
                <w:sz w:val="24"/>
                <w:szCs w:val="24"/>
                <w:lang w:val="en-US" w:eastAsia="zh-CN"/>
              </w:rPr>
              <w:t>根据各工段生产过程中产生的有机废气挥发占比</w:t>
            </w:r>
            <w:r>
              <w:rPr>
                <w:rFonts w:hint="default" w:ascii="Times New Roman" w:hAnsi="Times New Roman" w:cs="Times New Roman"/>
                <w:bCs/>
                <w:color w:val="auto"/>
                <w:sz w:val="24"/>
                <w:lang w:val="en-US" w:eastAsia="zh-CN"/>
              </w:rPr>
              <w:t>，</w:t>
            </w:r>
            <w:r>
              <w:rPr>
                <w:rFonts w:hint="default" w:ascii="Times New Roman" w:hAnsi="Times New Roman" w:eastAsia="宋体" w:cs="Times New Roman"/>
                <w:bCs/>
                <w:color w:val="auto"/>
                <w:sz w:val="24"/>
                <w:szCs w:val="24"/>
                <w:lang w:val="en-US" w:eastAsia="zh-CN"/>
              </w:rPr>
              <w:t>调</w:t>
            </w:r>
            <w:r>
              <w:rPr>
                <w:rFonts w:hint="eastAsia" w:cs="Times New Roman"/>
                <w:bCs/>
                <w:color w:val="auto"/>
                <w:sz w:val="24"/>
                <w:szCs w:val="24"/>
                <w:lang w:val="en-US" w:eastAsia="zh-CN"/>
              </w:rPr>
              <w:t>墨</w:t>
            </w:r>
            <w:r>
              <w:rPr>
                <w:rFonts w:hint="default" w:ascii="Times New Roman" w:hAnsi="Times New Roman" w:eastAsia="宋体" w:cs="Times New Roman"/>
                <w:bCs/>
                <w:color w:val="auto"/>
                <w:sz w:val="24"/>
                <w:szCs w:val="24"/>
                <w:lang w:val="en-US" w:eastAsia="zh-CN"/>
              </w:rPr>
              <w:t>废气</w:t>
            </w:r>
            <w:r>
              <w:rPr>
                <w:rFonts w:hint="default" w:ascii="Times New Roman" w:hAnsi="Times New Roman" w:cs="Times New Roman"/>
                <w:bCs/>
                <w:color w:val="auto"/>
                <w:sz w:val="24"/>
                <w:szCs w:val="24"/>
                <w:vertAlign w:val="baseline"/>
                <w:lang w:val="en-US" w:eastAsia="zh-CN"/>
              </w:rPr>
              <w:t>NMHC</w:t>
            </w:r>
            <w:r>
              <w:rPr>
                <w:rFonts w:hint="default" w:ascii="Times New Roman" w:hAnsi="Times New Roman" w:eastAsia="宋体" w:cs="Times New Roman"/>
                <w:b w:val="0"/>
                <w:bCs/>
                <w:color w:val="auto"/>
                <w:sz w:val="24"/>
                <w:szCs w:val="24"/>
                <w:vertAlign w:val="baseline"/>
                <w:lang w:val="en-US" w:eastAsia="zh-CN"/>
              </w:rPr>
              <w:t>产生量为</w:t>
            </w:r>
            <w:r>
              <w:rPr>
                <w:rFonts w:hint="eastAsia" w:cs="Times New Roman"/>
                <w:b w:val="0"/>
                <w:bCs/>
                <w:color w:val="auto"/>
                <w:sz w:val="24"/>
                <w:szCs w:val="24"/>
                <w:vertAlign w:val="baseline"/>
                <w:lang w:val="en-US" w:eastAsia="zh-CN"/>
              </w:rPr>
              <w:t>0.11</w:t>
            </w:r>
            <w:r>
              <w:rPr>
                <w:rFonts w:hint="default" w:ascii="Times New Roman" w:hAnsi="Times New Roman" w:eastAsia="宋体" w:cs="Times New Roman"/>
                <w:b w:val="0"/>
                <w:bCs/>
                <w:color w:val="auto"/>
                <w:sz w:val="24"/>
                <w:szCs w:val="24"/>
                <w:vertAlign w:val="baseline"/>
                <w:lang w:val="en-US" w:eastAsia="zh-CN"/>
              </w:rPr>
              <w:t>t/a</w:t>
            </w:r>
            <w:r>
              <w:rPr>
                <w:rFonts w:hint="eastAsia" w:cs="Times New Roman"/>
                <w:b w:val="0"/>
                <w:bCs/>
                <w:color w:val="auto"/>
                <w:sz w:val="24"/>
                <w:szCs w:val="24"/>
                <w:vertAlign w:val="baseline"/>
                <w:lang w:val="en-US" w:eastAsia="zh-CN"/>
              </w:rPr>
              <w:t>，项目年最大生产时长为3100h，则废气</w:t>
            </w:r>
            <w:r>
              <w:rPr>
                <w:rFonts w:hint="default" w:ascii="Times New Roman" w:hAnsi="Times New Roman" w:eastAsia="宋体" w:cs="Times New Roman"/>
                <w:b w:val="0"/>
                <w:bCs/>
                <w:color w:val="auto"/>
                <w:sz w:val="24"/>
                <w:szCs w:val="24"/>
                <w:vertAlign w:val="baseline"/>
                <w:lang w:val="en-US" w:eastAsia="zh-CN"/>
              </w:rPr>
              <w:t>产生速率为</w:t>
            </w:r>
            <w:r>
              <w:rPr>
                <w:rFonts w:hint="eastAsia" w:cs="Times New Roman"/>
                <w:b w:val="0"/>
                <w:bCs/>
                <w:color w:val="auto"/>
                <w:sz w:val="24"/>
                <w:szCs w:val="24"/>
                <w:vertAlign w:val="baseline"/>
                <w:lang w:val="en-US" w:eastAsia="zh-CN"/>
              </w:rPr>
              <w:t>0.035</w:t>
            </w:r>
            <w:r>
              <w:rPr>
                <w:rFonts w:hint="default" w:ascii="Times New Roman" w:hAnsi="Times New Roman" w:eastAsia="宋体" w:cs="Times New Roman"/>
                <w:b w:val="0"/>
                <w:bCs/>
                <w:color w:val="auto"/>
                <w:sz w:val="24"/>
                <w:szCs w:val="24"/>
                <w:vertAlign w:val="baseline"/>
                <w:lang w:val="en-US" w:eastAsia="zh-CN"/>
              </w:rPr>
              <w:t>kg/h</w:t>
            </w:r>
            <w:r>
              <w:rPr>
                <w:rFonts w:hint="default" w:ascii="Times New Roman" w:hAnsi="Times New Roman" w:eastAsia="宋体" w:cs="Times New Roman"/>
                <w:bCs/>
                <w:color w:val="auto"/>
                <w:sz w:val="24"/>
                <w:szCs w:val="24"/>
                <w:lang w:val="en-US" w:eastAsia="zh-CN"/>
              </w:rPr>
              <w:t>。</w:t>
            </w:r>
            <w:r>
              <w:rPr>
                <w:rFonts w:hint="eastAsia" w:cs="Times New Roman"/>
                <w:bCs/>
                <w:color w:val="auto"/>
                <w:sz w:val="24"/>
                <w:szCs w:val="24"/>
                <w:lang w:val="en-US" w:eastAsia="zh-CN"/>
              </w:rPr>
              <w:t>调墨过程位于调墨房内进行，调墨房位于彩印车间内，彩印车间为无尘车间</w:t>
            </w:r>
            <w:r>
              <w:rPr>
                <w:rFonts w:hint="default" w:ascii="Times New Roman" w:hAnsi="Times New Roman" w:eastAsia="宋体" w:cs="Times New Roman"/>
                <w:bCs/>
                <w:color w:val="auto"/>
                <w:sz w:val="24"/>
                <w:szCs w:val="24"/>
                <w:lang w:val="en-US" w:eastAsia="zh-CN"/>
              </w:rPr>
              <w:t>，</w:t>
            </w:r>
            <w:r>
              <w:rPr>
                <w:rFonts w:hint="eastAsia" w:cs="Times New Roman"/>
                <w:bCs/>
                <w:color w:val="auto"/>
                <w:sz w:val="24"/>
                <w:szCs w:val="24"/>
                <w:lang w:val="en-US" w:eastAsia="zh-CN"/>
              </w:rPr>
              <w:t>车间内设有一套</w:t>
            </w:r>
            <w:r>
              <w:rPr>
                <w:rFonts w:hint="default" w:ascii="Times New Roman" w:hAnsi="Times New Roman" w:eastAsia="宋体" w:cs="Times New Roman"/>
                <w:bCs/>
                <w:color w:val="auto"/>
                <w:sz w:val="24"/>
                <w:szCs w:val="24"/>
                <w:lang w:val="en-US" w:eastAsia="zh-CN"/>
              </w:rPr>
              <w:t>负压集气</w:t>
            </w:r>
            <w:r>
              <w:rPr>
                <w:rFonts w:hint="eastAsia" w:cs="Times New Roman"/>
                <w:bCs/>
                <w:color w:val="auto"/>
                <w:sz w:val="24"/>
                <w:szCs w:val="24"/>
                <w:lang w:val="en-US" w:eastAsia="zh-CN"/>
              </w:rPr>
              <w:t>装置，废气通过负压集气</w:t>
            </w:r>
            <w:r>
              <w:rPr>
                <w:rFonts w:hint="default" w:ascii="Times New Roman" w:hAnsi="Times New Roman" w:eastAsia="宋体" w:cs="Times New Roman"/>
                <w:bCs/>
                <w:color w:val="auto"/>
                <w:sz w:val="24"/>
                <w:szCs w:val="24"/>
                <w:lang w:val="en-US" w:eastAsia="zh-CN"/>
              </w:rPr>
              <w:t>进行收集，</w:t>
            </w:r>
            <w:r>
              <w:rPr>
                <w:rFonts w:hint="eastAsia" w:cs="Times New Roman"/>
                <w:bCs/>
                <w:color w:val="auto"/>
                <w:sz w:val="24"/>
                <w:szCs w:val="24"/>
                <w:lang w:val="en-US" w:eastAsia="zh-CN"/>
              </w:rPr>
              <w:t>车间内总收集风量为</w:t>
            </w:r>
            <w:r>
              <w:rPr>
                <w:rFonts w:hint="default" w:ascii="Times New Roman" w:hAnsi="Times New Roman" w:eastAsia="宋体" w:cs="Times New Roman"/>
                <w:bCs/>
                <w:color w:val="auto"/>
                <w:sz w:val="24"/>
                <w:szCs w:val="24"/>
                <w:lang w:val="en-US" w:eastAsia="zh-CN"/>
              </w:rPr>
              <w:t>20000m</w:t>
            </w:r>
            <w:r>
              <w:rPr>
                <w:rFonts w:hint="default" w:ascii="Times New Roman" w:hAnsi="Times New Roman" w:eastAsia="宋体" w:cs="Times New Roman"/>
                <w:bCs/>
                <w:color w:val="auto"/>
                <w:sz w:val="24"/>
                <w:szCs w:val="24"/>
                <w:vertAlign w:val="superscript"/>
                <w:lang w:val="en-US" w:eastAsia="zh-CN"/>
              </w:rPr>
              <w:t>3</w:t>
            </w:r>
            <w:r>
              <w:rPr>
                <w:rFonts w:hint="default" w:ascii="Times New Roman" w:hAnsi="Times New Roman" w:eastAsia="宋体" w:cs="Times New Roman"/>
                <w:bCs/>
                <w:color w:val="auto"/>
                <w:sz w:val="24"/>
                <w:szCs w:val="24"/>
                <w:lang w:val="en-US" w:eastAsia="zh-CN"/>
              </w:rPr>
              <w:t>/h，废气收集后经一套</w:t>
            </w:r>
            <w:r>
              <w:rPr>
                <w:rFonts w:hint="eastAsia" w:ascii="Times New Roman" w:hAnsi="Times New Roman" w:eastAsia="宋体" w:cs="Times New Roman"/>
                <w:bCs/>
                <w:color w:val="auto"/>
                <w:sz w:val="24"/>
                <w:szCs w:val="24"/>
                <w:lang w:val="en-US" w:eastAsia="zh-CN"/>
              </w:rPr>
              <w:t>“</w:t>
            </w:r>
            <w:r>
              <w:rPr>
                <w:rFonts w:hint="eastAsia" w:cs="Times New Roman"/>
                <w:bCs/>
                <w:color w:val="auto"/>
                <w:sz w:val="24"/>
                <w:szCs w:val="24"/>
                <w:lang w:val="en-US" w:eastAsia="zh-CN"/>
              </w:rPr>
              <w:t>二级</w:t>
            </w:r>
            <w:r>
              <w:rPr>
                <w:rFonts w:hint="default" w:ascii="Times New Roman" w:hAnsi="Times New Roman" w:eastAsia="宋体" w:cs="Times New Roman"/>
                <w:bCs/>
                <w:color w:val="auto"/>
                <w:sz w:val="24"/>
                <w:szCs w:val="24"/>
                <w:lang w:val="en-US" w:eastAsia="zh-CN"/>
              </w:rPr>
              <w:t>活性炭吸附</w:t>
            </w:r>
            <w:r>
              <w:rPr>
                <w:rFonts w:hint="eastAsia" w:ascii="Times New Roman" w:hAnsi="Times New Roman" w:eastAsia="宋体" w:cs="Times New Roman"/>
                <w:bCs/>
                <w:color w:val="auto"/>
                <w:sz w:val="24"/>
                <w:szCs w:val="24"/>
                <w:lang w:val="en-US" w:eastAsia="zh-CN"/>
              </w:rPr>
              <w:t>”</w:t>
            </w:r>
            <w:r>
              <w:rPr>
                <w:rFonts w:hint="default" w:ascii="Times New Roman" w:hAnsi="Times New Roman" w:eastAsia="宋体" w:cs="Times New Roman"/>
                <w:bCs/>
                <w:color w:val="auto"/>
                <w:sz w:val="24"/>
                <w:szCs w:val="24"/>
                <w:lang w:val="en-US" w:eastAsia="zh-CN"/>
              </w:rPr>
              <w:t>装置处理后通过15m高排气筒DA001排放。根据《江西省生态环境厅关于做好2022年主要大气污染物总量减排核算工作的通知》，密闭环境下，负压集气收集效率为90%，</w:t>
            </w:r>
            <w:r>
              <w:rPr>
                <w:rFonts w:hint="eastAsia" w:ascii="Times New Roman" w:hAnsi="Times New Roman" w:eastAsia="宋体" w:cs="Times New Roman"/>
                <w:bCs/>
                <w:color w:val="auto"/>
                <w:sz w:val="24"/>
                <w:szCs w:val="24"/>
                <w:lang w:val="en-US" w:eastAsia="zh-CN"/>
              </w:rPr>
              <w:t>“</w:t>
            </w:r>
            <w:r>
              <w:rPr>
                <w:rFonts w:hint="eastAsia" w:cs="Times New Roman"/>
                <w:bCs/>
                <w:color w:val="auto"/>
                <w:sz w:val="24"/>
                <w:szCs w:val="24"/>
                <w:lang w:val="en-US" w:eastAsia="zh-CN"/>
              </w:rPr>
              <w:t>二级</w:t>
            </w:r>
            <w:r>
              <w:rPr>
                <w:rFonts w:hint="default" w:ascii="Times New Roman" w:hAnsi="Times New Roman" w:eastAsia="宋体" w:cs="Times New Roman"/>
                <w:bCs/>
                <w:color w:val="auto"/>
                <w:sz w:val="24"/>
                <w:szCs w:val="24"/>
                <w:lang w:val="en-US" w:eastAsia="zh-CN"/>
              </w:rPr>
              <w:t>活性炭吸附</w:t>
            </w:r>
            <w:r>
              <w:rPr>
                <w:rFonts w:hint="eastAsia" w:ascii="Times New Roman" w:hAnsi="Times New Roman" w:eastAsia="宋体" w:cs="Times New Roman"/>
                <w:bCs/>
                <w:color w:val="auto"/>
                <w:sz w:val="24"/>
                <w:szCs w:val="24"/>
                <w:lang w:val="en-US" w:eastAsia="zh-CN"/>
              </w:rPr>
              <w:t>”</w:t>
            </w:r>
            <w:r>
              <w:rPr>
                <w:rFonts w:hint="default" w:ascii="Times New Roman" w:hAnsi="Times New Roman" w:eastAsia="宋体" w:cs="Times New Roman"/>
                <w:bCs/>
                <w:color w:val="auto"/>
                <w:sz w:val="24"/>
                <w:szCs w:val="24"/>
                <w:lang w:val="en-US" w:eastAsia="zh-CN"/>
              </w:rPr>
              <w:t>装置对</w:t>
            </w:r>
            <w:r>
              <w:rPr>
                <w:rFonts w:hint="default" w:ascii="Times New Roman" w:hAnsi="Times New Roman" w:cs="Times New Roman"/>
                <w:bCs/>
                <w:color w:val="auto"/>
                <w:sz w:val="24"/>
                <w:szCs w:val="24"/>
                <w:vertAlign w:val="baseline"/>
                <w:lang w:val="en-US" w:eastAsia="zh-CN"/>
              </w:rPr>
              <w:t>NMHC</w:t>
            </w:r>
            <w:r>
              <w:rPr>
                <w:rFonts w:hint="default" w:ascii="Times New Roman" w:hAnsi="Times New Roman" w:eastAsia="宋体" w:cs="Times New Roman"/>
                <w:bCs/>
                <w:color w:val="auto"/>
                <w:sz w:val="24"/>
                <w:szCs w:val="24"/>
                <w:lang w:val="en-US" w:eastAsia="zh-CN"/>
              </w:rPr>
              <w:t>废气的去除效率为</w:t>
            </w:r>
            <w:r>
              <w:rPr>
                <w:rFonts w:hint="eastAsia" w:cs="Times New Roman"/>
                <w:bCs/>
                <w:color w:val="auto"/>
                <w:sz w:val="24"/>
                <w:szCs w:val="24"/>
                <w:lang w:val="en-US" w:eastAsia="zh-CN"/>
              </w:rPr>
              <w:t>27.75</w:t>
            </w:r>
            <w:r>
              <w:rPr>
                <w:rFonts w:hint="default" w:ascii="Times New Roman" w:hAnsi="Times New Roman" w:eastAsia="宋体" w:cs="Times New Roman"/>
                <w:bCs/>
                <w:color w:val="auto"/>
                <w:sz w:val="24"/>
                <w:szCs w:val="24"/>
                <w:lang w:val="en-US" w:eastAsia="zh-CN"/>
              </w:rPr>
              <w:t>%，则废气</w:t>
            </w:r>
            <w:r>
              <w:rPr>
                <w:rFonts w:hint="default" w:ascii="Times New Roman" w:hAnsi="Times New Roman" w:cs="Times New Roman"/>
                <w:bCs/>
                <w:color w:val="auto"/>
                <w:sz w:val="24"/>
                <w:szCs w:val="24"/>
                <w:vertAlign w:val="baseline"/>
                <w:lang w:val="en-US" w:eastAsia="zh-CN"/>
              </w:rPr>
              <w:t>NMHC</w:t>
            </w:r>
            <w:r>
              <w:rPr>
                <w:rFonts w:hint="default" w:ascii="Times New Roman" w:hAnsi="Times New Roman" w:eastAsia="宋体" w:cs="Times New Roman"/>
                <w:bCs/>
                <w:color w:val="auto"/>
                <w:sz w:val="24"/>
                <w:szCs w:val="24"/>
                <w:lang w:val="en-US" w:eastAsia="zh-CN"/>
              </w:rPr>
              <w:t>有组织产生量为</w:t>
            </w:r>
            <w:r>
              <w:rPr>
                <w:rFonts w:hint="eastAsia" w:cs="Times New Roman"/>
                <w:bCs/>
                <w:color w:val="auto"/>
                <w:sz w:val="24"/>
                <w:szCs w:val="24"/>
                <w:lang w:val="en-US" w:eastAsia="zh-CN"/>
              </w:rPr>
              <w:t>0.099</w:t>
            </w:r>
            <w:r>
              <w:rPr>
                <w:rFonts w:hint="default" w:ascii="Times New Roman" w:hAnsi="Times New Roman" w:eastAsia="宋体" w:cs="Times New Roman"/>
                <w:bCs/>
                <w:color w:val="auto"/>
                <w:sz w:val="24"/>
                <w:szCs w:val="24"/>
                <w:lang w:val="en-US" w:eastAsia="zh-CN"/>
              </w:rPr>
              <w:t>t/a、产生速率为</w:t>
            </w:r>
            <w:r>
              <w:rPr>
                <w:rFonts w:hint="eastAsia" w:cs="Times New Roman"/>
                <w:bCs/>
                <w:color w:val="auto"/>
                <w:sz w:val="24"/>
                <w:szCs w:val="24"/>
                <w:lang w:val="en-US" w:eastAsia="zh-CN"/>
              </w:rPr>
              <w:t>0.032</w:t>
            </w:r>
            <w:r>
              <w:rPr>
                <w:rFonts w:hint="default" w:ascii="Times New Roman" w:hAnsi="Times New Roman" w:eastAsia="宋体" w:cs="Times New Roman"/>
                <w:bCs/>
                <w:color w:val="auto"/>
                <w:sz w:val="24"/>
                <w:szCs w:val="24"/>
                <w:lang w:val="en-US" w:eastAsia="zh-CN"/>
              </w:rPr>
              <w:t>kg/h、产生浓度为</w:t>
            </w:r>
            <w:r>
              <w:rPr>
                <w:rFonts w:hint="eastAsia" w:cs="Times New Roman"/>
                <w:bCs/>
                <w:color w:val="auto"/>
                <w:sz w:val="24"/>
                <w:szCs w:val="24"/>
                <w:lang w:val="en-US" w:eastAsia="zh-CN"/>
              </w:rPr>
              <w:t>1.6</w:t>
            </w:r>
            <w:r>
              <w:rPr>
                <w:rFonts w:hint="default" w:ascii="Times New Roman" w:hAnsi="Times New Roman" w:eastAsia="宋体" w:cs="Times New Roman"/>
                <w:bCs/>
                <w:color w:val="auto"/>
                <w:sz w:val="24"/>
                <w:szCs w:val="24"/>
                <w:lang w:val="en-US" w:eastAsia="zh-CN"/>
              </w:rPr>
              <w:t>mg/m</w:t>
            </w:r>
            <w:r>
              <w:rPr>
                <w:rFonts w:hint="default" w:ascii="Times New Roman" w:hAnsi="Times New Roman" w:eastAsia="宋体" w:cs="Times New Roman"/>
                <w:bCs/>
                <w:color w:val="auto"/>
                <w:sz w:val="24"/>
                <w:szCs w:val="24"/>
                <w:vertAlign w:val="superscript"/>
                <w:lang w:val="en-US" w:eastAsia="zh-CN"/>
              </w:rPr>
              <w:t>3</w:t>
            </w:r>
            <w:r>
              <w:rPr>
                <w:rFonts w:hint="default" w:ascii="Times New Roman" w:hAnsi="Times New Roman" w:eastAsia="宋体" w:cs="Times New Roman"/>
                <w:bCs/>
                <w:color w:val="auto"/>
                <w:sz w:val="24"/>
                <w:szCs w:val="24"/>
                <w:vertAlign w:val="baseline"/>
                <w:lang w:val="en-US" w:eastAsia="zh-CN"/>
              </w:rPr>
              <w:t>；</w:t>
            </w:r>
            <w:r>
              <w:rPr>
                <w:rFonts w:hint="default" w:ascii="Times New Roman" w:hAnsi="Times New Roman" w:cs="Times New Roman"/>
                <w:bCs/>
                <w:color w:val="auto"/>
                <w:sz w:val="24"/>
                <w:szCs w:val="24"/>
                <w:vertAlign w:val="baseline"/>
                <w:lang w:val="en-US" w:eastAsia="zh-CN"/>
              </w:rPr>
              <w:t>NMHC</w:t>
            </w:r>
            <w:r>
              <w:rPr>
                <w:rFonts w:hint="default" w:ascii="Times New Roman" w:hAnsi="Times New Roman" w:eastAsia="宋体" w:cs="Times New Roman"/>
                <w:bCs/>
                <w:color w:val="auto"/>
                <w:sz w:val="24"/>
                <w:szCs w:val="24"/>
                <w:lang w:val="en-US" w:eastAsia="zh-CN"/>
              </w:rPr>
              <w:t>有组织排放量为</w:t>
            </w:r>
            <w:r>
              <w:rPr>
                <w:rFonts w:hint="eastAsia" w:cs="Times New Roman"/>
                <w:bCs/>
                <w:color w:val="auto"/>
                <w:sz w:val="24"/>
                <w:szCs w:val="24"/>
                <w:lang w:val="en-US" w:eastAsia="zh-CN"/>
              </w:rPr>
              <w:t>0.072</w:t>
            </w:r>
            <w:r>
              <w:rPr>
                <w:rFonts w:hint="default" w:ascii="Times New Roman" w:hAnsi="Times New Roman" w:eastAsia="宋体" w:cs="Times New Roman"/>
                <w:bCs/>
                <w:color w:val="auto"/>
                <w:sz w:val="24"/>
                <w:szCs w:val="24"/>
                <w:lang w:val="en-US" w:eastAsia="zh-CN"/>
              </w:rPr>
              <w:t>t/a、排放速率为</w:t>
            </w:r>
            <w:r>
              <w:rPr>
                <w:rFonts w:hint="eastAsia" w:cs="Times New Roman"/>
                <w:bCs/>
                <w:color w:val="auto"/>
                <w:sz w:val="24"/>
                <w:szCs w:val="24"/>
                <w:lang w:val="en-US" w:eastAsia="zh-CN"/>
              </w:rPr>
              <w:t>0.023</w:t>
            </w:r>
            <w:r>
              <w:rPr>
                <w:rFonts w:hint="default" w:ascii="Times New Roman" w:hAnsi="Times New Roman" w:eastAsia="宋体" w:cs="Times New Roman"/>
                <w:bCs/>
                <w:color w:val="auto"/>
                <w:sz w:val="24"/>
                <w:szCs w:val="24"/>
                <w:lang w:val="en-US" w:eastAsia="zh-CN"/>
              </w:rPr>
              <w:t>kg/h、排放浓度为</w:t>
            </w:r>
            <w:r>
              <w:rPr>
                <w:rFonts w:hint="eastAsia" w:cs="Times New Roman"/>
                <w:bCs/>
                <w:color w:val="auto"/>
                <w:sz w:val="24"/>
                <w:szCs w:val="24"/>
                <w:lang w:val="en-US" w:eastAsia="zh-CN"/>
              </w:rPr>
              <w:t>1.15</w:t>
            </w:r>
            <w:r>
              <w:rPr>
                <w:rFonts w:hint="default" w:ascii="Times New Roman" w:hAnsi="Times New Roman" w:eastAsia="宋体" w:cs="Times New Roman"/>
                <w:bCs/>
                <w:color w:val="auto"/>
                <w:sz w:val="24"/>
                <w:szCs w:val="24"/>
                <w:lang w:val="en-US" w:eastAsia="zh-CN"/>
              </w:rPr>
              <w:t>mg/m</w:t>
            </w:r>
            <w:r>
              <w:rPr>
                <w:rFonts w:hint="default" w:ascii="Times New Roman" w:hAnsi="Times New Roman" w:eastAsia="宋体" w:cs="Times New Roman"/>
                <w:bCs/>
                <w:color w:val="auto"/>
                <w:sz w:val="24"/>
                <w:szCs w:val="24"/>
                <w:vertAlign w:val="superscript"/>
                <w:lang w:val="en-US" w:eastAsia="zh-CN"/>
              </w:rPr>
              <w:t>3</w:t>
            </w:r>
            <w:r>
              <w:rPr>
                <w:rFonts w:hint="default" w:ascii="Times New Roman" w:hAnsi="Times New Roman" w:eastAsia="宋体" w:cs="Times New Roman"/>
                <w:bCs/>
                <w:color w:val="auto"/>
                <w:sz w:val="24"/>
                <w:szCs w:val="24"/>
                <w:vertAlign w:val="baseline"/>
                <w:lang w:val="en-US" w:eastAsia="zh-CN"/>
              </w:rPr>
              <w:t>；废气</w:t>
            </w:r>
            <w:r>
              <w:rPr>
                <w:rFonts w:hint="default" w:ascii="Times New Roman" w:hAnsi="Times New Roman" w:cs="Times New Roman"/>
                <w:bCs/>
                <w:color w:val="auto"/>
                <w:sz w:val="24"/>
                <w:szCs w:val="24"/>
                <w:vertAlign w:val="baseline"/>
                <w:lang w:val="en-US" w:eastAsia="zh-CN"/>
              </w:rPr>
              <w:t>NMHC</w:t>
            </w:r>
            <w:r>
              <w:rPr>
                <w:rFonts w:hint="default" w:ascii="Times New Roman" w:hAnsi="Times New Roman" w:eastAsia="宋体" w:cs="Times New Roman"/>
                <w:bCs/>
                <w:color w:val="auto"/>
                <w:sz w:val="24"/>
                <w:szCs w:val="24"/>
                <w:vertAlign w:val="baseline"/>
                <w:lang w:val="en-US" w:eastAsia="zh-CN"/>
              </w:rPr>
              <w:t>无组织</w:t>
            </w:r>
            <w:r>
              <w:rPr>
                <w:rFonts w:hint="eastAsia" w:cs="Times New Roman"/>
                <w:bCs/>
                <w:color w:val="auto"/>
                <w:sz w:val="24"/>
                <w:szCs w:val="24"/>
                <w:vertAlign w:val="baseline"/>
                <w:lang w:val="en-US" w:eastAsia="zh-CN"/>
              </w:rPr>
              <w:t>产生</w:t>
            </w:r>
            <w:r>
              <w:rPr>
                <w:rFonts w:hint="default" w:ascii="Times New Roman" w:hAnsi="Times New Roman" w:eastAsia="宋体" w:cs="Times New Roman"/>
                <w:bCs/>
                <w:color w:val="auto"/>
                <w:sz w:val="24"/>
                <w:szCs w:val="24"/>
                <w:vertAlign w:val="baseline"/>
                <w:lang w:val="en-US" w:eastAsia="zh-CN"/>
              </w:rPr>
              <w:t>量为</w:t>
            </w:r>
            <w:r>
              <w:rPr>
                <w:rFonts w:hint="eastAsia" w:cs="Times New Roman"/>
                <w:bCs/>
                <w:color w:val="auto"/>
                <w:sz w:val="24"/>
                <w:szCs w:val="24"/>
                <w:vertAlign w:val="baseline"/>
                <w:lang w:val="en-US" w:eastAsia="zh-CN"/>
              </w:rPr>
              <w:t>0.011</w:t>
            </w:r>
            <w:r>
              <w:rPr>
                <w:rFonts w:hint="default" w:ascii="Times New Roman" w:hAnsi="Times New Roman" w:eastAsia="宋体" w:cs="Times New Roman"/>
                <w:bCs/>
                <w:color w:val="auto"/>
                <w:sz w:val="24"/>
                <w:szCs w:val="24"/>
                <w:vertAlign w:val="baseline"/>
                <w:lang w:val="en-US" w:eastAsia="zh-CN"/>
              </w:rPr>
              <w:t>t/a、</w:t>
            </w:r>
            <w:r>
              <w:rPr>
                <w:rFonts w:hint="eastAsia" w:cs="Times New Roman"/>
                <w:bCs/>
                <w:color w:val="auto"/>
                <w:sz w:val="24"/>
                <w:szCs w:val="24"/>
                <w:vertAlign w:val="baseline"/>
                <w:lang w:val="en-US" w:eastAsia="zh-CN"/>
              </w:rPr>
              <w:t>产生</w:t>
            </w:r>
            <w:r>
              <w:rPr>
                <w:rFonts w:hint="default" w:ascii="Times New Roman" w:hAnsi="Times New Roman" w:eastAsia="宋体" w:cs="Times New Roman"/>
                <w:bCs/>
                <w:color w:val="auto"/>
                <w:sz w:val="24"/>
                <w:szCs w:val="24"/>
                <w:vertAlign w:val="baseline"/>
                <w:lang w:val="en-US" w:eastAsia="zh-CN"/>
              </w:rPr>
              <w:t>速率为</w:t>
            </w:r>
            <w:r>
              <w:rPr>
                <w:rFonts w:hint="default" w:ascii="Times New Roman" w:hAnsi="Times New Roman" w:eastAsia="宋体" w:cs="Times New Roman"/>
                <w:bCs/>
                <w:color w:val="auto"/>
                <w:sz w:val="24"/>
                <w:szCs w:val="24"/>
                <w:lang w:val="en-US" w:eastAsia="zh-CN"/>
              </w:rPr>
              <w:t>0.</w:t>
            </w:r>
            <w:r>
              <w:rPr>
                <w:rFonts w:hint="eastAsia" w:cs="Times New Roman"/>
                <w:bCs/>
                <w:color w:val="auto"/>
                <w:sz w:val="24"/>
                <w:szCs w:val="24"/>
                <w:lang w:val="en-US" w:eastAsia="zh-CN"/>
              </w:rPr>
              <w:t>004</w:t>
            </w:r>
            <w:r>
              <w:rPr>
                <w:rFonts w:hint="default" w:ascii="Times New Roman" w:hAnsi="Times New Roman" w:eastAsia="宋体" w:cs="Times New Roman"/>
                <w:bCs/>
                <w:color w:val="auto"/>
                <w:sz w:val="24"/>
                <w:szCs w:val="24"/>
                <w:vertAlign w:val="baseline"/>
                <w:lang w:val="en-US" w:eastAsia="zh-CN"/>
              </w:rPr>
              <w:t>kg/h</w:t>
            </w:r>
            <w:r>
              <w:rPr>
                <w:rFonts w:hint="eastAsia" w:cs="Times New Roman"/>
                <w:bCs/>
                <w:color w:val="auto"/>
                <w:sz w:val="24"/>
                <w:szCs w:val="24"/>
                <w:vertAlign w:val="baseline"/>
                <w:lang w:val="en-US" w:eastAsia="zh-CN"/>
              </w:rPr>
              <w:t>。</w:t>
            </w:r>
          </w:p>
          <w:p w14:paraId="0CF9B7E7">
            <w:pPr>
              <w:pStyle w:val="5"/>
              <w:rPr>
                <w:rFonts w:hint="default" w:ascii="Times New Roman" w:hAnsi="Times New Roman" w:cs="Times New Roman"/>
                <w:bCs/>
                <w:color w:val="auto"/>
                <w:sz w:val="24"/>
                <w:vertAlign w:val="baseline"/>
                <w:lang w:val="en-US" w:eastAsia="zh-CN"/>
              </w:rPr>
            </w:pPr>
            <w:r>
              <w:rPr>
                <w:rFonts w:hint="eastAsia" w:cs="Times New Roman"/>
                <w:b/>
                <w:bCs w:val="0"/>
                <w:color w:val="auto"/>
                <w:sz w:val="24"/>
                <w:lang w:val="en-US" w:eastAsia="zh-CN"/>
              </w:rPr>
              <w:t>印刷废气</w:t>
            </w:r>
            <w:r>
              <w:rPr>
                <w:rFonts w:hint="eastAsia"/>
                <w:b/>
                <w:bCs w:val="0"/>
                <w:color w:val="auto"/>
                <w:lang w:val="en-US" w:eastAsia="zh-CN"/>
              </w:rPr>
              <w:t>：</w:t>
            </w:r>
          </w:p>
          <w:p w14:paraId="45C815FD">
            <w:pPr>
              <w:pStyle w:val="5"/>
              <w:rPr>
                <w:rFonts w:hint="eastAsia" w:eastAsia="宋体"/>
                <w:color w:val="auto"/>
                <w:sz w:val="24"/>
                <w:szCs w:val="24"/>
              </w:rPr>
            </w:pPr>
            <w:r>
              <w:rPr>
                <w:rFonts w:hint="eastAsia"/>
                <w:b w:val="0"/>
                <w:bCs/>
                <w:color w:val="auto"/>
                <w:sz w:val="24"/>
                <w:szCs w:val="24"/>
                <w:lang w:val="en-US" w:eastAsia="zh-CN"/>
              </w:rPr>
              <w:t>根据各工段生产过程中产生的有机废气挥发占比</w:t>
            </w:r>
            <w:r>
              <w:rPr>
                <w:rFonts w:hint="default" w:ascii="Times New Roman" w:hAnsi="Times New Roman" w:cs="Times New Roman"/>
                <w:bCs/>
                <w:color w:val="auto"/>
                <w:sz w:val="24"/>
                <w:lang w:val="en-US" w:eastAsia="zh-CN"/>
              </w:rPr>
              <w:t>，</w:t>
            </w:r>
            <w:r>
              <w:rPr>
                <w:rFonts w:hint="eastAsia" w:cs="Times New Roman"/>
                <w:bCs/>
                <w:color w:val="auto"/>
                <w:sz w:val="24"/>
                <w:lang w:val="en-US" w:eastAsia="zh-CN"/>
              </w:rPr>
              <w:t>印刷</w:t>
            </w:r>
            <w:r>
              <w:rPr>
                <w:rFonts w:hint="default" w:ascii="Times New Roman" w:hAnsi="Times New Roman" w:eastAsia="宋体" w:cs="Times New Roman"/>
                <w:bCs/>
                <w:color w:val="auto"/>
                <w:sz w:val="24"/>
                <w:szCs w:val="24"/>
                <w:lang w:val="en-US" w:eastAsia="zh-CN"/>
              </w:rPr>
              <w:t>废气</w:t>
            </w:r>
            <w:r>
              <w:rPr>
                <w:rFonts w:hint="default" w:ascii="Times New Roman" w:hAnsi="Times New Roman" w:cs="Times New Roman"/>
                <w:bCs/>
                <w:color w:val="auto"/>
                <w:sz w:val="24"/>
                <w:szCs w:val="24"/>
                <w:vertAlign w:val="baseline"/>
                <w:lang w:val="en-US" w:eastAsia="zh-CN"/>
              </w:rPr>
              <w:t>NMHC</w:t>
            </w:r>
            <w:r>
              <w:rPr>
                <w:rFonts w:hint="default" w:ascii="Times New Roman" w:hAnsi="Times New Roman" w:eastAsia="宋体" w:cs="Times New Roman"/>
                <w:b w:val="0"/>
                <w:bCs/>
                <w:color w:val="auto"/>
                <w:sz w:val="24"/>
                <w:szCs w:val="24"/>
                <w:vertAlign w:val="baseline"/>
                <w:lang w:val="en-US" w:eastAsia="zh-CN"/>
              </w:rPr>
              <w:t>产生量为</w:t>
            </w:r>
            <w:r>
              <w:rPr>
                <w:rFonts w:hint="eastAsia" w:cs="Times New Roman"/>
                <w:b w:val="0"/>
                <w:bCs/>
                <w:color w:val="auto"/>
                <w:sz w:val="24"/>
                <w:szCs w:val="24"/>
                <w:vertAlign w:val="baseline"/>
                <w:lang w:val="en-US" w:eastAsia="zh-CN"/>
              </w:rPr>
              <w:t>0.987</w:t>
            </w:r>
            <w:r>
              <w:rPr>
                <w:rFonts w:hint="default" w:ascii="Times New Roman" w:hAnsi="Times New Roman" w:eastAsia="宋体" w:cs="Times New Roman"/>
                <w:b w:val="0"/>
                <w:bCs/>
                <w:color w:val="auto"/>
                <w:sz w:val="24"/>
                <w:szCs w:val="24"/>
                <w:vertAlign w:val="baseline"/>
                <w:lang w:val="en-US" w:eastAsia="zh-CN"/>
              </w:rPr>
              <w:t>t/a、</w:t>
            </w:r>
            <w:r>
              <w:rPr>
                <w:rFonts w:hint="eastAsia" w:cs="Times New Roman"/>
                <w:b w:val="0"/>
                <w:bCs/>
                <w:color w:val="auto"/>
                <w:sz w:val="24"/>
                <w:szCs w:val="24"/>
                <w:vertAlign w:val="baseline"/>
                <w:lang w:val="en-US" w:eastAsia="zh-CN"/>
              </w:rPr>
              <w:t>项目年最大生产时长为3100h，则</w:t>
            </w:r>
            <w:r>
              <w:rPr>
                <w:rFonts w:hint="default" w:ascii="Times New Roman" w:hAnsi="Times New Roman" w:eastAsia="宋体" w:cs="Times New Roman"/>
                <w:b w:val="0"/>
                <w:bCs/>
                <w:color w:val="auto"/>
                <w:sz w:val="24"/>
                <w:szCs w:val="24"/>
                <w:vertAlign w:val="baseline"/>
                <w:lang w:val="en-US" w:eastAsia="zh-CN"/>
              </w:rPr>
              <w:t>产生速率为</w:t>
            </w:r>
            <w:r>
              <w:rPr>
                <w:rFonts w:hint="eastAsia" w:cs="Times New Roman"/>
                <w:b w:val="0"/>
                <w:bCs/>
                <w:color w:val="auto"/>
                <w:sz w:val="24"/>
                <w:szCs w:val="24"/>
                <w:vertAlign w:val="baseline"/>
                <w:lang w:val="en-US" w:eastAsia="zh-CN"/>
              </w:rPr>
              <w:t>0.318</w:t>
            </w:r>
            <w:r>
              <w:rPr>
                <w:rFonts w:hint="default" w:ascii="Times New Roman" w:hAnsi="Times New Roman" w:eastAsia="宋体" w:cs="Times New Roman"/>
                <w:b w:val="0"/>
                <w:bCs/>
                <w:color w:val="auto"/>
                <w:sz w:val="24"/>
                <w:szCs w:val="24"/>
                <w:vertAlign w:val="baseline"/>
                <w:lang w:val="en-US" w:eastAsia="zh-CN"/>
              </w:rPr>
              <w:t>kg/h</w:t>
            </w:r>
            <w:r>
              <w:rPr>
                <w:rFonts w:hint="default" w:ascii="Times New Roman" w:hAnsi="Times New Roman" w:eastAsia="宋体" w:cs="Times New Roman"/>
                <w:bCs/>
                <w:color w:val="auto"/>
                <w:sz w:val="24"/>
                <w:szCs w:val="24"/>
                <w:lang w:val="en-US" w:eastAsia="zh-CN"/>
              </w:rPr>
              <w:t>。</w:t>
            </w:r>
            <w:r>
              <w:rPr>
                <w:rFonts w:hint="eastAsia" w:cs="Times New Roman"/>
                <w:bCs/>
                <w:color w:val="auto"/>
                <w:sz w:val="24"/>
                <w:szCs w:val="24"/>
                <w:lang w:val="en-US" w:eastAsia="zh-CN"/>
              </w:rPr>
              <w:t>印刷过程位于彩印车间内进行，彩印车间为无尘车间</w:t>
            </w:r>
            <w:r>
              <w:rPr>
                <w:rFonts w:hint="default" w:ascii="Times New Roman" w:hAnsi="Times New Roman" w:eastAsia="宋体" w:cs="Times New Roman"/>
                <w:bCs/>
                <w:color w:val="auto"/>
                <w:sz w:val="24"/>
                <w:szCs w:val="24"/>
                <w:lang w:val="en-US" w:eastAsia="zh-CN"/>
              </w:rPr>
              <w:t>，</w:t>
            </w:r>
            <w:r>
              <w:rPr>
                <w:rFonts w:hint="eastAsia" w:cs="Times New Roman"/>
                <w:bCs/>
                <w:color w:val="auto"/>
                <w:sz w:val="24"/>
                <w:szCs w:val="24"/>
                <w:lang w:val="en-US" w:eastAsia="zh-CN"/>
              </w:rPr>
              <w:t>车间内设有一套</w:t>
            </w:r>
            <w:r>
              <w:rPr>
                <w:rFonts w:hint="default" w:ascii="Times New Roman" w:hAnsi="Times New Roman" w:eastAsia="宋体" w:cs="Times New Roman"/>
                <w:bCs/>
                <w:color w:val="auto"/>
                <w:sz w:val="24"/>
                <w:szCs w:val="24"/>
                <w:lang w:val="en-US" w:eastAsia="zh-CN"/>
              </w:rPr>
              <w:t>负压集气</w:t>
            </w:r>
            <w:r>
              <w:rPr>
                <w:rFonts w:hint="eastAsia" w:cs="Times New Roman"/>
                <w:bCs/>
                <w:color w:val="auto"/>
                <w:sz w:val="24"/>
                <w:szCs w:val="24"/>
                <w:lang w:val="en-US" w:eastAsia="zh-CN"/>
              </w:rPr>
              <w:t>装置，废气通过负压集气</w:t>
            </w:r>
            <w:r>
              <w:rPr>
                <w:rFonts w:hint="default" w:ascii="Times New Roman" w:hAnsi="Times New Roman" w:eastAsia="宋体" w:cs="Times New Roman"/>
                <w:bCs/>
                <w:color w:val="auto"/>
                <w:sz w:val="24"/>
                <w:szCs w:val="24"/>
                <w:lang w:val="en-US" w:eastAsia="zh-CN"/>
              </w:rPr>
              <w:t>进行收集，</w:t>
            </w:r>
            <w:r>
              <w:rPr>
                <w:rFonts w:hint="eastAsia" w:cs="Times New Roman"/>
                <w:bCs/>
                <w:color w:val="auto"/>
                <w:sz w:val="24"/>
                <w:szCs w:val="24"/>
                <w:lang w:val="en-US" w:eastAsia="zh-CN"/>
              </w:rPr>
              <w:t>车间内总收集风量为</w:t>
            </w:r>
            <w:r>
              <w:rPr>
                <w:rFonts w:hint="default" w:ascii="Times New Roman" w:hAnsi="Times New Roman" w:eastAsia="宋体" w:cs="Times New Roman"/>
                <w:bCs/>
                <w:color w:val="auto"/>
                <w:sz w:val="24"/>
                <w:szCs w:val="24"/>
                <w:lang w:val="en-US" w:eastAsia="zh-CN"/>
              </w:rPr>
              <w:t>20000m</w:t>
            </w:r>
            <w:r>
              <w:rPr>
                <w:rFonts w:hint="default" w:ascii="Times New Roman" w:hAnsi="Times New Roman" w:eastAsia="宋体" w:cs="Times New Roman"/>
                <w:bCs/>
                <w:color w:val="auto"/>
                <w:sz w:val="24"/>
                <w:szCs w:val="24"/>
                <w:vertAlign w:val="superscript"/>
                <w:lang w:val="en-US" w:eastAsia="zh-CN"/>
              </w:rPr>
              <w:t>3</w:t>
            </w:r>
            <w:r>
              <w:rPr>
                <w:rFonts w:hint="default" w:ascii="Times New Roman" w:hAnsi="Times New Roman" w:eastAsia="宋体" w:cs="Times New Roman"/>
                <w:bCs/>
                <w:color w:val="auto"/>
                <w:sz w:val="24"/>
                <w:szCs w:val="24"/>
                <w:lang w:val="en-US" w:eastAsia="zh-CN"/>
              </w:rPr>
              <w:t>/h，废气收集后经一套</w:t>
            </w:r>
            <w:r>
              <w:rPr>
                <w:rFonts w:hint="eastAsia" w:ascii="Times New Roman" w:hAnsi="Times New Roman" w:eastAsia="宋体" w:cs="Times New Roman"/>
                <w:bCs/>
                <w:color w:val="auto"/>
                <w:sz w:val="24"/>
                <w:szCs w:val="24"/>
                <w:lang w:val="en-US" w:eastAsia="zh-CN"/>
              </w:rPr>
              <w:t>“</w:t>
            </w:r>
            <w:r>
              <w:rPr>
                <w:rFonts w:hint="eastAsia" w:cs="Times New Roman"/>
                <w:bCs/>
                <w:color w:val="auto"/>
                <w:sz w:val="24"/>
                <w:szCs w:val="24"/>
                <w:lang w:val="en-US" w:eastAsia="zh-CN"/>
              </w:rPr>
              <w:t>二级</w:t>
            </w:r>
            <w:r>
              <w:rPr>
                <w:rFonts w:hint="default" w:ascii="Times New Roman" w:hAnsi="Times New Roman" w:eastAsia="宋体" w:cs="Times New Roman"/>
                <w:bCs/>
                <w:color w:val="auto"/>
                <w:sz w:val="24"/>
                <w:szCs w:val="24"/>
                <w:lang w:val="en-US" w:eastAsia="zh-CN"/>
              </w:rPr>
              <w:t>活性炭吸附</w:t>
            </w:r>
            <w:r>
              <w:rPr>
                <w:rFonts w:hint="eastAsia" w:ascii="Times New Roman" w:hAnsi="Times New Roman" w:eastAsia="宋体" w:cs="Times New Roman"/>
                <w:bCs/>
                <w:color w:val="auto"/>
                <w:sz w:val="24"/>
                <w:szCs w:val="24"/>
                <w:lang w:val="en-US" w:eastAsia="zh-CN"/>
              </w:rPr>
              <w:t>”</w:t>
            </w:r>
            <w:r>
              <w:rPr>
                <w:rFonts w:hint="default" w:ascii="Times New Roman" w:hAnsi="Times New Roman" w:eastAsia="宋体" w:cs="Times New Roman"/>
                <w:bCs/>
                <w:color w:val="auto"/>
                <w:sz w:val="24"/>
                <w:szCs w:val="24"/>
                <w:lang w:val="en-US" w:eastAsia="zh-CN"/>
              </w:rPr>
              <w:t>装置处理后通过15m高排气筒DA001排放。根据《江西省生态环境厅关于做好2022年主要大气污染物总量减排核算工作的通知》，密闭环境下，负压集气收集效率为90%，</w:t>
            </w:r>
            <w:r>
              <w:rPr>
                <w:rFonts w:hint="eastAsia" w:ascii="Times New Roman" w:hAnsi="Times New Roman" w:eastAsia="宋体" w:cs="Times New Roman"/>
                <w:bCs/>
                <w:color w:val="auto"/>
                <w:sz w:val="24"/>
                <w:szCs w:val="24"/>
                <w:lang w:val="en-US" w:eastAsia="zh-CN"/>
              </w:rPr>
              <w:t>“</w:t>
            </w:r>
            <w:r>
              <w:rPr>
                <w:rFonts w:hint="eastAsia" w:cs="Times New Roman"/>
                <w:bCs/>
                <w:color w:val="auto"/>
                <w:sz w:val="24"/>
                <w:szCs w:val="24"/>
                <w:lang w:val="en-US" w:eastAsia="zh-CN"/>
              </w:rPr>
              <w:t>二级</w:t>
            </w:r>
            <w:r>
              <w:rPr>
                <w:rFonts w:hint="default" w:ascii="Times New Roman" w:hAnsi="Times New Roman" w:eastAsia="宋体" w:cs="Times New Roman"/>
                <w:bCs/>
                <w:color w:val="auto"/>
                <w:sz w:val="24"/>
                <w:szCs w:val="24"/>
                <w:lang w:val="en-US" w:eastAsia="zh-CN"/>
              </w:rPr>
              <w:t>活性炭吸附</w:t>
            </w:r>
            <w:r>
              <w:rPr>
                <w:rFonts w:hint="eastAsia" w:ascii="Times New Roman" w:hAnsi="Times New Roman" w:eastAsia="宋体" w:cs="Times New Roman"/>
                <w:bCs/>
                <w:color w:val="auto"/>
                <w:sz w:val="24"/>
                <w:szCs w:val="24"/>
                <w:lang w:val="en-US" w:eastAsia="zh-CN"/>
              </w:rPr>
              <w:t>”</w:t>
            </w:r>
            <w:r>
              <w:rPr>
                <w:rFonts w:hint="default" w:ascii="Times New Roman" w:hAnsi="Times New Roman" w:eastAsia="宋体" w:cs="Times New Roman"/>
                <w:bCs/>
                <w:color w:val="auto"/>
                <w:sz w:val="24"/>
                <w:szCs w:val="24"/>
                <w:lang w:val="en-US" w:eastAsia="zh-CN"/>
              </w:rPr>
              <w:t>装置对</w:t>
            </w:r>
            <w:r>
              <w:rPr>
                <w:rFonts w:hint="default" w:ascii="Times New Roman" w:hAnsi="Times New Roman" w:cs="Times New Roman"/>
                <w:bCs/>
                <w:color w:val="auto"/>
                <w:sz w:val="24"/>
                <w:szCs w:val="24"/>
                <w:vertAlign w:val="baseline"/>
                <w:lang w:val="en-US" w:eastAsia="zh-CN"/>
              </w:rPr>
              <w:t>NMHC</w:t>
            </w:r>
            <w:r>
              <w:rPr>
                <w:rFonts w:hint="default" w:ascii="Times New Roman" w:hAnsi="Times New Roman" w:eastAsia="宋体" w:cs="Times New Roman"/>
                <w:bCs/>
                <w:color w:val="auto"/>
                <w:sz w:val="24"/>
                <w:szCs w:val="24"/>
                <w:lang w:val="en-US" w:eastAsia="zh-CN"/>
              </w:rPr>
              <w:t>废气的去除效率为</w:t>
            </w:r>
            <w:r>
              <w:rPr>
                <w:rFonts w:hint="eastAsia" w:cs="Times New Roman"/>
                <w:bCs/>
                <w:color w:val="auto"/>
                <w:sz w:val="24"/>
                <w:szCs w:val="24"/>
                <w:lang w:val="en-US" w:eastAsia="zh-CN"/>
              </w:rPr>
              <w:t>27.75</w:t>
            </w:r>
            <w:r>
              <w:rPr>
                <w:rFonts w:hint="default" w:ascii="Times New Roman" w:hAnsi="Times New Roman" w:eastAsia="宋体" w:cs="Times New Roman"/>
                <w:bCs/>
                <w:color w:val="auto"/>
                <w:sz w:val="24"/>
                <w:szCs w:val="24"/>
                <w:lang w:val="en-US" w:eastAsia="zh-CN"/>
              </w:rPr>
              <w:t>%，则废气</w:t>
            </w:r>
            <w:r>
              <w:rPr>
                <w:rFonts w:hint="default" w:ascii="Times New Roman" w:hAnsi="Times New Roman" w:cs="Times New Roman"/>
                <w:bCs/>
                <w:color w:val="auto"/>
                <w:sz w:val="24"/>
                <w:szCs w:val="24"/>
                <w:vertAlign w:val="baseline"/>
                <w:lang w:val="en-US" w:eastAsia="zh-CN"/>
              </w:rPr>
              <w:t>NMHC</w:t>
            </w:r>
            <w:r>
              <w:rPr>
                <w:rFonts w:hint="default" w:ascii="Times New Roman" w:hAnsi="Times New Roman" w:eastAsia="宋体" w:cs="Times New Roman"/>
                <w:bCs/>
                <w:color w:val="auto"/>
                <w:sz w:val="24"/>
                <w:szCs w:val="24"/>
                <w:lang w:val="en-US" w:eastAsia="zh-CN"/>
              </w:rPr>
              <w:t>有组织产生量为</w:t>
            </w:r>
            <w:r>
              <w:rPr>
                <w:rFonts w:hint="eastAsia" w:cs="Times New Roman"/>
                <w:bCs/>
                <w:color w:val="auto"/>
                <w:sz w:val="24"/>
                <w:szCs w:val="24"/>
                <w:lang w:val="en-US" w:eastAsia="zh-CN"/>
              </w:rPr>
              <w:t>0.888</w:t>
            </w:r>
            <w:r>
              <w:rPr>
                <w:rFonts w:hint="default" w:ascii="Times New Roman" w:hAnsi="Times New Roman" w:eastAsia="宋体" w:cs="Times New Roman"/>
                <w:bCs/>
                <w:color w:val="auto"/>
                <w:sz w:val="24"/>
                <w:szCs w:val="24"/>
                <w:lang w:val="en-US" w:eastAsia="zh-CN"/>
              </w:rPr>
              <w:t>t/a、产生速率为</w:t>
            </w:r>
            <w:r>
              <w:rPr>
                <w:rFonts w:hint="eastAsia" w:cs="Times New Roman"/>
                <w:bCs/>
                <w:color w:val="auto"/>
                <w:sz w:val="24"/>
                <w:szCs w:val="24"/>
                <w:lang w:val="en-US" w:eastAsia="zh-CN"/>
              </w:rPr>
              <w:t>0.286</w:t>
            </w:r>
            <w:r>
              <w:rPr>
                <w:rFonts w:hint="default" w:ascii="Times New Roman" w:hAnsi="Times New Roman" w:eastAsia="宋体" w:cs="Times New Roman"/>
                <w:bCs/>
                <w:color w:val="auto"/>
                <w:sz w:val="24"/>
                <w:szCs w:val="24"/>
                <w:lang w:val="en-US" w:eastAsia="zh-CN"/>
              </w:rPr>
              <w:t>kg/h、产生浓度为</w:t>
            </w:r>
            <w:r>
              <w:rPr>
                <w:rFonts w:hint="eastAsia" w:cs="Times New Roman"/>
                <w:bCs/>
                <w:color w:val="auto"/>
                <w:sz w:val="24"/>
                <w:szCs w:val="24"/>
                <w:lang w:val="en-US" w:eastAsia="zh-CN"/>
              </w:rPr>
              <w:t>14.3</w:t>
            </w:r>
            <w:r>
              <w:rPr>
                <w:rFonts w:hint="default" w:ascii="Times New Roman" w:hAnsi="Times New Roman" w:eastAsia="宋体" w:cs="Times New Roman"/>
                <w:bCs/>
                <w:color w:val="auto"/>
                <w:sz w:val="24"/>
                <w:szCs w:val="24"/>
                <w:lang w:val="en-US" w:eastAsia="zh-CN"/>
              </w:rPr>
              <w:t>mg/m</w:t>
            </w:r>
            <w:r>
              <w:rPr>
                <w:rFonts w:hint="default" w:ascii="Times New Roman" w:hAnsi="Times New Roman" w:eastAsia="宋体" w:cs="Times New Roman"/>
                <w:bCs/>
                <w:color w:val="auto"/>
                <w:sz w:val="24"/>
                <w:szCs w:val="24"/>
                <w:vertAlign w:val="superscript"/>
                <w:lang w:val="en-US" w:eastAsia="zh-CN"/>
              </w:rPr>
              <w:t>3</w:t>
            </w:r>
            <w:r>
              <w:rPr>
                <w:rFonts w:hint="default" w:ascii="Times New Roman" w:hAnsi="Times New Roman" w:eastAsia="宋体" w:cs="Times New Roman"/>
                <w:bCs/>
                <w:color w:val="auto"/>
                <w:sz w:val="24"/>
                <w:szCs w:val="24"/>
                <w:vertAlign w:val="baseline"/>
                <w:lang w:val="en-US" w:eastAsia="zh-CN"/>
              </w:rPr>
              <w:t>；</w:t>
            </w:r>
            <w:r>
              <w:rPr>
                <w:rFonts w:hint="default" w:ascii="Times New Roman" w:hAnsi="Times New Roman" w:cs="Times New Roman"/>
                <w:bCs/>
                <w:color w:val="auto"/>
                <w:sz w:val="24"/>
                <w:szCs w:val="24"/>
                <w:vertAlign w:val="baseline"/>
                <w:lang w:val="en-US" w:eastAsia="zh-CN"/>
              </w:rPr>
              <w:t>NMHC</w:t>
            </w:r>
            <w:r>
              <w:rPr>
                <w:rFonts w:hint="default" w:ascii="Times New Roman" w:hAnsi="Times New Roman" w:eastAsia="宋体" w:cs="Times New Roman"/>
                <w:bCs/>
                <w:color w:val="auto"/>
                <w:sz w:val="24"/>
                <w:szCs w:val="24"/>
                <w:lang w:val="en-US" w:eastAsia="zh-CN"/>
              </w:rPr>
              <w:t>有组织排放量为</w:t>
            </w:r>
            <w:r>
              <w:rPr>
                <w:rFonts w:hint="eastAsia" w:cs="Times New Roman"/>
                <w:bCs/>
                <w:color w:val="auto"/>
                <w:sz w:val="24"/>
                <w:szCs w:val="24"/>
                <w:lang w:val="en-US" w:eastAsia="zh-CN"/>
              </w:rPr>
              <w:t>0.642</w:t>
            </w:r>
            <w:r>
              <w:rPr>
                <w:rFonts w:hint="default" w:ascii="Times New Roman" w:hAnsi="Times New Roman" w:eastAsia="宋体" w:cs="Times New Roman"/>
                <w:bCs/>
                <w:color w:val="auto"/>
                <w:sz w:val="24"/>
                <w:szCs w:val="24"/>
                <w:lang w:val="en-US" w:eastAsia="zh-CN"/>
              </w:rPr>
              <w:t>t/a、排放速率为</w:t>
            </w:r>
            <w:r>
              <w:rPr>
                <w:rFonts w:hint="eastAsia" w:cs="Times New Roman"/>
                <w:bCs/>
                <w:color w:val="auto"/>
                <w:sz w:val="24"/>
                <w:szCs w:val="24"/>
                <w:lang w:val="en-US" w:eastAsia="zh-CN"/>
              </w:rPr>
              <w:t>0.207</w:t>
            </w:r>
            <w:r>
              <w:rPr>
                <w:rFonts w:hint="default" w:ascii="Times New Roman" w:hAnsi="Times New Roman" w:eastAsia="宋体" w:cs="Times New Roman"/>
                <w:bCs/>
                <w:color w:val="auto"/>
                <w:sz w:val="24"/>
                <w:szCs w:val="24"/>
                <w:lang w:val="en-US" w:eastAsia="zh-CN"/>
              </w:rPr>
              <w:t>kg/h、排放浓度为</w:t>
            </w:r>
            <w:r>
              <w:rPr>
                <w:rFonts w:hint="eastAsia" w:cs="Times New Roman"/>
                <w:bCs/>
                <w:color w:val="auto"/>
                <w:sz w:val="24"/>
                <w:szCs w:val="24"/>
                <w:lang w:val="en-US" w:eastAsia="zh-CN"/>
              </w:rPr>
              <w:t>10.35</w:t>
            </w:r>
            <w:r>
              <w:rPr>
                <w:rFonts w:hint="default" w:ascii="Times New Roman" w:hAnsi="Times New Roman" w:eastAsia="宋体" w:cs="Times New Roman"/>
                <w:bCs/>
                <w:color w:val="auto"/>
                <w:sz w:val="24"/>
                <w:szCs w:val="24"/>
                <w:lang w:val="en-US" w:eastAsia="zh-CN"/>
              </w:rPr>
              <w:t>mg/m</w:t>
            </w:r>
            <w:r>
              <w:rPr>
                <w:rFonts w:hint="default" w:ascii="Times New Roman" w:hAnsi="Times New Roman" w:eastAsia="宋体" w:cs="Times New Roman"/>
                <w:bCs/>
                <w:color w:val="auto"/>
                <w:sz w:val="24"/>
                <w:szCs w:val="24"/>
                <w:vertAlign w:val="superscript"/>
                <w:lang w:val="en-US" w:eastAsia="zh-CN"/>
              </w:rPr>
              <w:t>3</w:t>
            </w:r>
            <w:r>
              <w:rPr>
                <w:rFonts w:hint="default" w:ascii="Times New Roman" w:hAnsi="Times New Roman" w:eastAsia="宋体" w:cs="Times New Roman"/>
                <w:bCs/>
                <w:color w:val="auto"/>
                <w:sz w:val="24"/>
                <w:szCs w:val="24"/>
                <w:vertAlign w:val="baseline"/>
                <w:lang w:val="en-US" w:eastAsia="zh-CN"/>
              </w:rPr>
              <w:t>；废气</w:t>
            </w:r>
            <w:r>
              <w:rPr>
                <w:rFonts w:hint="default" w:ascii="Times New Roman" w:hAnsi="Times New Roman" w:cs="Times New Roman"/>
                <w:bCs/>
                <w:color w:val="auto"/>
                <w:sz w:val="24"/>
                <w:szCs w:val="24"/>
                <w:vertAlign w:val="baseline"/>
                <w:lang w:val="en-US" w:eastAsia="zh-CN"/>
              </w:rPr>
              <w:t>NMHC</w:t>
            </w:r>
            <w:r>
              <w:rPr>
                <w:rFonts w:hint="default" w:ascii="Times New Roman" w:hAnsi="Times New Roman" w:eastAsia="宋体" w:cs="Times New Roman"/>
                <w:bCs/>
                <w:color w:val="auto"/>
                <w:sz w:val="24"/>
                <w:szCs w:val="24"/>
                <w:vertAlign w:val="baseline"/>
                <w:lang w:val="en-US" w:eastAsia="zh-CN"/>
              </w:rPr>
              <w:t>无组织排放量为</w:t>
            </w:r>
            <w:r>
              <w:rPr>
                <w:rFonts w:hint="eastAsia" w:cs="Times New Roman"/>
                <w:bCs/>
                <w:color w:val="auto"/>
                <w:sz w:val="24"/>
                <w:szCs w:val="24"/>
                <w:vertAlign w:val="baseline"/>
                <w:lang w:val="en-US" w:eastAsia="zh-CN"/>
              </w:rPr>
              <w:t>0.099</w:t>
            </w:r>
            <w:r>
              <w:rPr>
                <w:rFonts w:hint="default" w:ascii="Times New Roman" w:hAnsi="Times New Roman" w:eastAsia="宋体" w:cs="Times New Roman"/>
                <w:bCs/>
                <w:color w:val="auto"/>
                <w:sz w:val="24"/>
                <w:szCs w:val="24"/>
                <w:vertAlign w:val="baseline"/>
                <w:lang w:val="en-US" w:eastAsia="zh-CN"/>
              </w:rPr>
              <w:t>t/a、排放速率为</w:t>
            </w:r>
            <w:r>
              <w:rPr>
                <w:rFonts w:hint="default" w:ascii="Times New Roman" w:hAnsi="Times New Roman" w:eastAsia="宋体" w:cs="Times New Roman"/>
                <w:bCs/>
                <w:color w:val="auto"/>
                <w:sz w:val="24"/>
                <w:szCs w:val="24"/>
                <w:lang w:val="en-US" w:eastAsia="zh-CN"/>
              </w:rPr>
              <w:t>0.</w:t>
            </w:r>
            <w:r>
              <w:rPr>
                <w:rFonts w:hint="eastAsia" w:cs="Times New Roman"/>
                <w:bCs/>
                <w:color w:val="auto"/>
                <w:sz w:val="24"/>
                <w:szCs w:val="24"/>
                <w:lang w:val="en-US" w:eastAsia="zh-CN"/>
              </w:rPr>
              <w:t>032</w:t>
            </w:r>
            <w:r>
              <w:rPr>
                <w:rFonts w:hint="default" w:ascii="Times New Roman" w:hAnsi="Times New Roman" w:eastAsia="宋体" w:cs="Times New Roman"/>
                <w:bCs/>
                <w:color w:val="auto"/>
                <w:sz w:val="24"/>
                <w:szCs w:val="24"/>
                <w:vertAlign w:val="baseline"/>
                <w:lang w:val="en-US" w:eastAsia="zh-CN"/>
              </w:rPr>
              <w:t>kg/h</w:t>
            </w:r>
            <w:r>
              <w:rPr>
                <w:rFonts w:hint="eastAsia" w:cs="Times New Roman"/>
                <w:bCs/>
                <w:color w:val="auto"/>
                <w:sz w:val="24"/>
                <w:szCs w:val="24"/>
                <w:vertAlign w:val="baseline"/>
                <w:lang w:val="en-US" w:eastAsia="zh-CN"/>
              </w:rPr>
              <w:t>。</w:t>
            </w:r>
          </w:p>
          <w:p w14:paraId="2BA34947">
            <w:pPr>
              <w:pStyle w:val="42"/>
              <w:spacing w:before="0" w:after="0" w:line="360" w:lineRule="auto"/>
              <w:ind w:left="433" w:leftChars="202" w:hanging="9" w:hangingChars="4"/>
              <w:rPr>
                <w:rFonts w:eastAsia="宋体"/>
                <w:color w:val="auto"/>
                <w:sz w:val="24"/>
                <w:szCs w:val="24"/>
              </w:rPr>
            </w:pPr>
            <w:r>
              <w:rPr>
                <w:rFonts w:hint="eastAsia" w:eastAsia="宋体"/>
                <w:color w:val="auto"/>
                <w:sz w:val="24"/>
                <w:szCs w:val="24"/>
              </w:rPr>
              <w:t>3、废气污染防治措施可行性分析</w:t>
            </w:r>
          </w:p>
          <w:p w14:paraId="2FA3E210">
            <w:pPr>
              <w:adjustRightInd w:val="0"/>
              <w:snapToGrid w:val="0"/>
              <w:spacing w:line="360" w:lineRule="auto"/>
              <w:ind w:firstLine="480" w:firstLineChars="200"/>
              <w:rPr>
                <w:rFonts w:hint="default" w:ascii="Times New Roman" w:hAnsi="Times New Roman" w:cs="Times New Roman"/>
                <w:bCs/>
                <w:color w:val="auto"/>
                <w:kern w:val="0"/>
                <w:sz w:val="24"/>
              </w:rPr>
            </w:pPr>
            <w:r>
              <w:rPr>
                <w:rFonts w:hint="default" w:ascii="Times New Roman" w:hAnsi="Times New Roman" w:cs="Times New Roman"/>
                <w:color w:val="auto"/>
                <w:sz w:val="24"/>
              </w:rPr>
              <w:t>根据</w:t>
            </w:r>
            <w:r>
              <w:rPr>
                <w:rFonts w:hint="default" w:ascii="Times New Roman" w:hAnsi="Times New Roman" w:cs="Times New Roman"/>
                <w:bCs/>
                <w:color w:val="auto"/>
                <w:kern w:val="0"/>
                <w:sz w:val="24"/>
              </w:rPr>
              <w:t>《排污许可证申请与核发技术规范</w:t>
            </w:r>
            <w:r>
              <w:rPr>
                <w:rFonts w:hint="eastAsia" w:cs="Times New Roman"/>
                <w:bCs/>
                <w:color w:val="auto"/>
                <w:kern w:val="0"/>
                <w:sz w:val="24"/>
                <w:lang w:val="en-US" w:eastAsia="zh-CN"/>
              </w:rPr>
              <w:t xml:space="preserve"> </w:t>
            </w:r>
            <w:r>
              <w:rPr>
                <w:rFonts w:hint="default" w:ascii="Times New Roman" w:hAnsi="Times New Roman" w:cs="Times New Roman"/>
                <w:bCs/>
                <w:color w:val="auto"/>
                <w:kern w:val="0"/>
                <w:sz w:val="24"/>
              </w:rPr>
              <w:t>印刷工业</w:t>
            </w:r>
            <w:r>
              <w:rPr>
                <w:rFonts w:hint="eastAsia" w:cs="Times New Roman"/>
                <w:bCs/>
                <w:color w:val="auto"/>
                <w:kern w:val="0"/>
                <w:sz w:val="24"/>
                <w:lang w:eastAsia="zh-CN"/>
              </w:rPr>
              <w:t>》（</w:t>
            </w:r>
            <w:r>
              <w:rPr>
                <w:rFonts w:hint="default" w:ascii="Times New Roman" w:hAnsi="Times New Roman" w:cs="Times New Roman"/>
                <w:bCs/>
                <w:color w:val="auto"/>
                <w:kern w:val="0"/>
                <w:sz w:val="24"/>
              </w:rPr>
              <w:t>HJ1066-2019</w:t>
            </w:r>
            <w:r>
              <w:rPr>
                <w:rFonts w:hint="eastAsia" w:cs="Times New Roman"/>
                <w:bCs/>
                <w:color w:val="auto"/>
                <w:kern w:val="0"/>
                <w:sz w:val="24"/>
                <w:lang w:eastAsia="zh-CN"/>
              </w:rPr>
              <w:t>）</w:t>
            </w:r>
            <w:r>
              <w:rPr>
                <w:rFonts w:hint="default" w:ascii="Times New Roman" w:hAnsi="Times New Roman" w:cs="Times New Roman"/>
                <w:bCs/>
                <w:color w:val="auto"/>
                <w:kern w:val="0"/>
                <w:sz w:val="24"/>
              </w:rPr>
              <w:t>，废气污染治理设施</w:t>
            </w:r>
            <w:r>
              <w:rPr>
                <w:rFonts w:hint="eastAsia" w:cs="Times New Roman"/>
                <w:bCs/>
                <w:color w:val="auto"/>
                <w:kern w:val="0"/>
                <w:sz w:val="24"/>
                <w:lang w:val="en-US" w:eastAsia="zh-CN"/>
              </w:rPr>
              <w:t>为</w:t>
            </w:r>
            <w:r>
              <w:rPr>
                <w:rFonts w:hint="default" w:ascii="Times New Roman" w:hAnsi="Times New Roman" w:cs="Times New Roman"/>
                <w:bCs/>
                <w:color w:val="auto"/>
                <w:kern w:val="0"/>
                <w:sz w:val="24"/>
              </w:rPr>
              <w:t>集气设施或密闭车间、活性炭吸附</w:t>
            </w:r>
            <w:r>
              <w:rPr>
                <w:rFonts w:hint="eastAsia" w:cs="Times New Roman"/>
                <w:bCs/>
                <w:color w:val="auto"/>
                <w:kern w:val="0"/>
                <w:sz w:val="24"/>
                <w:lang w:eastAsia="zh-CN"/>
              </w:rPr>
              <w:t>（</w:t>
            </w:r>
            <w:r>
              <w:rPr>
                <w:rFonts w:hint="default" w:ascii="Times New Roman" w:hAnsi="Times New Roman" w:cs="Times New Roman"/>
                <w:bCs/>
                <w:color w:val="auto"/>
                <w:kern w:val="0"/>
                <w:sz w:val="24"/>
              </w:rPr>
              <w:t>现场再生</w:t>
            </w:r>
            <w:r>
              <w:rPr>
                <w:rFonts w:hint="eastAsia" w:cs="Times New Roman"/>
                <w:bCs/>
                <w:color w:val="auto"/>
                <w:kern w:val="0"/>
                <w:sz w:val="24"/>
                <w:lang w:eastAsia="zh-CN"/>
              </w:rPr>
              <w:t>）</w:t>
            </w:r>
            <w:r>
              <w:rPr>
                <w:rFonts w:hint="default" w:ascii="Times New Roman" w:hAnsi="Times New Roman" w:cs="Times New Roman"/>
                <w:bCs/>
                <w:color w:val="auto"/>
                <w:kern w:val="0"/>
                <w:sz w:val="24"/>
              </w:rPr>
              <w:t>、浓缩+热力</w:t>
            </w:r>
            <w:r>
              <w:rPr>
                <w:rFonts w:hint="eastAsia" w:cs="Times New Roman"/>
                <w:bCs/>
                <w:color w:val="auto"/>
                <w:kern w:val="0"/>
                <w:sz w:val="24"/>
                <w:lang w:eastAsia="zh-CN"/>
              </w:rPr>
              <w:t>（</w:t>
            </w:r>
            <w:r>
              <w:rPr>
                <w:rFonts w:hint="default" w:ascii="Times New Roman" w:hAnsi="Times New Roman" w:cs="Times New Roman"/>
                <w:bCs/>
                <w:color w:val="auto"/>
                <w:kern w:val="0"/>
                <w:sz w:val="24"/>
              </w:rPr>
              <w:t>催化</w:t>
            </w:r>
            <w:r>
              <w:rPr>
                <w:rFonts w:hint="eastAsia" w:cs="Times New Roman"/>
                <w:bCs/>
                <w:color w:val="auto"/>
                <w:kern w:val="0"/>
                <w:sz w:val="24"/>
                <w:lang w:eastAsia="zh-CN"/>
              </w:rPr>
              <w:t>）</w:t>
            </w:r>
            <w:r>
              <w:rPr>
                <w:rFonts w:hint="default" w:ascii="Times New Roman" w:hAnsi="Times New Roman" w:cs="Times New Roman"/>
                <w:bCs/>
                <w:color w:val="auto"/>
                <w:kern w:val="0"/>
                <w:sz w:val="24"/>
              </w:rPr>
              <w:t>氧化技术、直接热力</w:t>
            </w:r>
            <w:r>
              <w:rPr>
                <w:rFonts w:hint="eastAsia" w:cs="Times New Roman"/>
                <w:bCs/>
                <w:color w:val="auto"/>
                <w:kern w:val="0"/>
                <w:sz w:val="24"/>
                <w:lang w:eastAsia="zh-CN"/>
              </w:rPr>
              <w:t>（</w:t>
            </w:r>
            <w:r>
              <w:rPr>
                <w:rFonts w:hint="default" w:ascii="Times New Roman" w:hAnsi="Times New Roman" w:cs="Times New Roman"/>
                <w:bCs/>
                <w:color w:val="auto"/>
                <w:kern w:val="0"/>
                <w:sz w:val="24"/>
              </w:rPr>
              <w:t>催化</w:t>
            </w:r>
            <w:r>
              <w:rPr>
                <w:rFonts w:hint="eastAsia" w:cs="Times New Roman"/>
                <w:bCs/>
                <w:color w:val="auto"/>
                <w:kern w:val="0"/>
                <w:sz w:val="24"/>
                <w:lang w:eastAsia="zh-CN"/>
              </w:rPr>
              <w:t>）</w:t>
            </w:r>
            <w:r>
              <w:rPr>
                <w:rFonts w:hint="default" w:ascii="Times New Roman" w:hAnsi="Times New Roman" w:cs="Times New Roman"/>
                <w:bCs/>
                <w:color w:val="auto"/>
                <w:kern w:val="0"/>
                <w:sz w:val="24"/>
              </w:rPr>
              <w:t>氧化技术、其他。</w:t>
            </w:r>
          </w:p>
          <w:p w14:paraId="40DF2011">
            <w:pPr>
              <w:adjustRightInd w:val="0"/>
              <w:snapToGrid w:val="0"/>
              <w:spacing w:line="360" w:lineRule="auto"/>
              <w:ind w:firstLine="480" w:firstLineChars="200"/>
              <w:rPr>
                <w:rFonts w:hint="default" w:eastAsia="宋体"/>
                <w:bCs/>
                <w:color w:val="auto"/>
                <w:kern w:val="0"/>
                <w:sz w:val="24"/>
                <w:lang w:val="en-US" w:eastAsia="zh-CN"/>
              </w:rPr>
            </w:pPr>
            <w:r>
              <w:rPr>
                <w:rFonts w:hint="eastAsia"/>
                <w:bCs/>
                <w:color w:val="auto"/>
                <w:kern w:val="0"/>
                <w:sz w:val="24"/>
              </w:rPr>
              <w:t>项目</w:t>
            </w:r>
            <w:r>
              <w:rPr>
                <w:rFonts w:hint="eastAsia"/>
                <w:bCs/>
                <w:color w:val="auto"/>
                <w:kern w:val="0"/>
                <w:sz w:val="24"/>
                <w:lang w:val="en-US" w:eastAsia="zh-CN"/>
              </w:rPr>
              <w:t>调墨、印刷废气通过密闭负压收集后</w:t>
            </w:r>
            <w:r>
              <w:rPr>
                <w:rFonts w:hint="eastAsia"/>
                <w:bCs/>
                <w:color w:val="auto"/>
                <w:kern w:val="0"/>
                <w:sz w:val="24"/>
              </w:rPr>
              <w:t>经</w:t>
            </w:r>
            <w:r>
              <w:rPr>
                <w:rFonts w:hint="eastAsia"/>
                <w:bCs/>
                <w:color w:val="auto"/>
                <w:kern w:val="0"/>
                <w:sz w:val="24"/>
                <w:lang w:val="en-US" w:eastAsia="zh-CN"/>
              </w:rPr>
              <w:t>一套“二级</w:t>
            </w:r>
            <w:r>
              <w:rPr>
                <w:rFonts w:hint="eastAsia" w:ascii="Times New Roman" w:hAnsi="Times New Roman" w:cs="Times New Roman"/>
                <w:color w:val="auto"/>
                <w:sz w:val="24"/>
                <w:szCs w:val="24"/>
                <w:highlight w:val="none"/>
                <w:lang w:val="en-US" w:eastAsia="zh-CN"/>
              </w:rPr>
              <w:t>活性炭吸附</w:t>
            </w:r>
            <w:r>
              <w:rPr>
                <w:rFonts w:hint="eastAsia"/>
                <w:bCs/>
                <w:color w:val="auto"/>
                <w:kern w:val="0"/>
                <w:sz w:val="24"/>
                <w:lang w:val="en-US" w:eastAsia="zh-CN"/>
              </w:rPr>
              <w:t>”装置</w:t>
            </w:r>
            <w:r>
              <w:rPr>
                <w:rFonts w:hint="eastAsia"/>
                <w:bCs/>
                <w:color w:val="auto"/>
                <w:kern w:val="0"/>
                <w:sz w:val="24"/>
              </w:rPr>
              <w:t>处理达标后通过15m高排气筒DA001排放。</w:t>
            </w:r>
            <w:r>
              <w:rPr>
                <w:rFonts w:hint="eastAsia"/>
                <w:bCs/>
                <w:color w:val="auto"/>
                <w:kern w:val="0"/>
                <w:sz w:val="24"/>
                <w:lang w:val="en-US" w:eastAsia="zh-CN"/>
              </w:rPr>
              <w:t>二级活性炭吸附属于</w:t>
            </w:r>
            <w:r>
              <w:rPr>
                <w:rFonts w:hint="default" w:ascii="Times New Roman" w:hAnsi="Times New Roman" w:cs="Times New Roman"/>
                <w:bCs/>
                <w:color w:val="auto"/>
                <w:kern w:val="0"/>
                <w:sz w:val="24"/>
              </w:rPr>
              <w:t>《排污许可证申请与核发技术规范</w:t>
            </w:r>
            <w:r>
              <w:rPr>
                <w:rFonts w:hint="eastAsia" w:cs="Times New Roman"/>
                <w:bCs/>
                <w:color w:val="auto"/>
                <w:kern w:val="0"/>
                <w:sz w:val="24"/>
                <w:lang w:val="en-US" w:eastAsia="zh-CN"/>
              </w:rPr>
              <w:t xml:space="preserve"> </w:t>
            </w:r>
            <w:r>
              <w:rPr>
                <w:rFonts w:hint="default" w:ascii="Times New Roman" w:hAnsi="Times New Roman" w:cs="Times New Roman"/>
                <w:bCs/>
                <w:color w:val="auto"/>
                <w:kern w:val="0"/>
                <w:sz w:val="24"/>
              </w:rPr>
              <w:t>印刷工业</w:t>
            </w:r>
            <w:r>
              <w:rPr>
                <w:rFonts w:hint="eastAsia" w:cs="Times New Roman"/>
                <w:bCs/>
                <w:color w:val="auto"/>
                <w:kern w:val="0"/>
                <w:sz w:val="24"/>
                <w:lang w:eastAsia="zh-CN"/>
              </w:rPr>
              <w:t>》（</w:t>
            </w:r>
            <w:r>
              <w:rPr>
                <w:rFonts w:hint="default" w:ascii="Times New Roman" w:hAnsi="Times New Roman" w:cs="Times New Roman"/>
                <w:bCs/>
                <w:color w:val="auto"/>
                <w:kern w:val="0"/>
                <w:sz w:val="24"/>
              </w:rPr>
              <w:t>HJ1066-2019</w:t>
            </w:r>
            <w:r>
              <w:rPr>
                <w:rFonts w:hint="eastAsia" w:cs="Times New Roman"/>
                <w:bCs/>
                <w:color w:val="auto"/>
                <w:kern w:val="0"/>
                <w:sz w:val="24"/>
                <w:lang w:eastAsia="zh-CN"/>
              </w:rPr>
              <w:t>）</w:t>
            </w:r>
            <w:r>
              <w:rPr>
                <w:rFonts w:hint="eastAsia" w:cs="Times New Roman"/>
                <w:bCs/>
                <w:color w:val="auto"/>
                <w:kern w:val="0"/>
                <w:sz w:val="24"/>
                <w:lang w:val="en-US" w:eastAsia="zh-CN"/>
              </w:rPr>
              <w:t>中</w:t>
            </w:r>
            <w:r>
              <w:rPr>
                <w:rFonts w:hint="default" w:ascii="Times New Roman" w:hAnsi="Times New Roman" w:cs="Times New Roman"/>
                <w:bCs/>
                <w:color w:val="auto"/>
                <w:kern w:val="0"/>
                <w:sz w:val="24"/>
              </w:rPr>
              <w:t>其他</w:t>
            </w:r>
            <w:r>
              <w:rPr>
                <w:rFonts w:hint="eastAsia" w:cs="Times New Roman"/>
                <w:bCs/>
                <w:color w:val="auto"/>
                <w:kern w:val="0"/>
                <w:sz w:val="24"/>
                <w:lang w:val="en-US" w:eastAsia="zh-CN"/>
              </w:rPr>
              <w:t>类治理设施。</w:t>
            </w:r>
          </w:p>
          <w:p w14:paraId="36CE6B33">
            <w:pPr>
              <w:pStyle w:val="5"/>
              <w:rPr>
                <w:rFonts w:hint="default" w:eastAsia="宋体" w:cs="Times New Roman"/>
                <w:i w:val="0"/>
                <w:iCs w:val="0"/>
                <w:caps w:val="0"/>
                <w:color w:val="auto"/>
                <w:spacing w:val="0"/>
                <w:sz w:val="24"/>
                <w:szCs w:val="24"/>
                <w:shd w:val="clear" w:fill="FFFFFF"/>
                <w:lang w:val="en-US" w:eastAsia="zh-CN"/>
              </w:rPr>
            </w:pPr>
            <w:r>
              <w:rPr>
                <w:rFonts w:hint="default" w:ascii="Times New Roman" w:hAnsi="Times New Roman" w:cs="Times New Roman"/>
                <w:color w:val="auto"/>
                <w:sz w:val="24"/>
                <w:lang w:eastAsia="zh-CN"/>
              </w:rPr>
              <w:t>活性炭吸附处理装置又可称为活性炭吸附过滤器，是一种废气过滤吸附异味的环保装置，具有吸附效率高、适用面广、维护方便、能同时处理多种混合废气等优点，该装置广泛用于电线电缆生产、电子原件生产、酸洗作业、实验室排风、冶金、化工、医药、</w:t>
            </w:r>
            <w:r>
              <w:rPr>
                <w:rFonts w:hint="default" w:ascii="Times New Roman" w:hAnsi="Times New Roman" w:eastAsia="宋体" w:cs="Times New Roman"/>
                <w:color w:val="auto"/>
                <w:sz w:val="24"/>
                <w:szCs w:val="24"/>
                <w:lang w:eastAsia="zh-CN"/>
              </w:rPr>
              <w:t>涂装、食品、酿造等有机废气处理。</w:t>
            </w:r>
            <w:r>
              <w:rPr>
                <w:rFonts w:hint="default" w:ascii="Times New Roman" w:hAnsi="Times New Roman" w:eastAsia="宋体" w:cs="Times New Roman"/>
                <w:color w:val="auto"/>
                <w:sz w:val="24"/>
                <w:szCs w:val="24"/>
                <w:highlight w:val="none"/>
              </w:rPr>
              <w:t>项目活性炭采用碘值大于800mg/g</w:t>
            </w:r>
            <w:r>
              <w:rPr>
                <w:rFonts w:hint="default" w:ascii="Times New Roman" w:hAnsi="Times New Roman" w:eastAsia="宋体" w:cs="Times New Roman"/>
                <w:color w:val="auto"/>
                <w:sz w:val="24"/>
                <w:szCs w:val="24"/>
                <w:highlight w:val="none"/>
                <w:lang w:val="en-US" w:eastAsia="zh-CN"/>
              </w:rPr>
              <w:t>的</w:t>
            </w:r>
            <w:r>
              <w:rPr>
                <w:rFonts w:hint="default" w:ascii="Times New Roman" w:hAnsi="Times New Roman" w:eastAsia="宋体" w:cs="Times New Roman"/>
                <w:color w:val="auto"/>
                <w:sz w:val="24"/>
                <w:szCs w:val="24"/>
                <w:highlight w:val="none"/>
              </w:rPr>
              <w:t>颗粒活性炭，</w:t>
            </w:r>
            <w:r>
              <w:rPr>
                <w:rFonts w:hint="eastAsia" w:ascii="Times New Roman" w:hAnsi="Times New Roman" w:eastAsia="宋体" w:cs="Times New Roman"/>
                <w:color w:val="auto"/>
                <w:sz w:val="24"/>
                <w:szCs w:val="24"/>
                <w:highlight w:val="none"/>
                <w:lang w:val="en-US" w:eastAsia="zh-CN"/>
              </w:rPr>
              <w:t>并且</w:t>
            </w:r>
            <w:r>
              <w:rPr>
                <w:rFonts w:hint="default" w:ascii="Times New Roman" w:hAnsi="Times New Roman" w:eastAsia="宋体" w:cs="Times New Roman"/>
                <w:color w:val="auto"/>
                <w:sz w:val="24"/>
                <w:szCs w:val="24"/>
                <w:highlight w:val="none"/>
              </w:rPr>
              <w:t>活性炭吸附箱</w:t>
            </w:r>
            <w:r>
              <w:rPr>
                <w:rFonts w:hint="eastAsia" w:ascii="Times New Roman" w:hAnsi="Times New Roman" w:eastAsia="宋体" w:cs="Times New Roman"/>
                <w:color w:val="auto"/>
                <w:sz w:val="24"/>
                <w:szCs w:val="24"/>
                <w:highlight w:val="none"/>
                <w:lang w:val="en-US" w:eastAsia="zh-CN"/>
              </w:rPr>
              <w:t>每</w:t>
            </w:r>
            <w:r>
              <w:rPr>
                <w:rFonts w:hint="eastAsia" w:cs="Times New Roman"/>
                <w:color w:val="auto"/>
                <w:sz w:val="24"/>
                <w:szCs w:val="24"/>
                <w:highlight w:val="none"/>
                <w:lang w:val="en-US" w:eastAsia="zh-CN"/>
              </w:rPr>
              <w:t>季度</w:t>
            </w:r>
            <w:r>
              <w:rPr>
                <w:rFonts w:hint="default" w:ascii="Times New Roman" w:hAnsi="Times New Roman" w:eastAsia="宋体" w:cs="Times New Roman"/>
                <w:color w:val="auto"/>
                <w:sz w:val="24"/>
                <w:szCs w:val="24"/>
                <w:highlight w:val="none"/>
              </w:rPr>
              <w:t>一换，吸附箱单次填充量为</w:t>
            </w:r>
            <w:r>
              <w:rPr>
                <w:rFonts w:hint="eastAsia"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00kg</w:t>
            </w:r>
            <w:r>
              <w:rPr>
                <w:rFonts w:hint="default" w:ascii="Times New Roman" w:hAnsi="Times New Roman" w:eastAsia="宋体" w:cs="Times New Roman"/>
                <w:color w:val="auto"/>
                <w:sz w:val="24"/>
                <w:szCs w:val="24"/>
                <w:highlight w:val="none"/>
                <w:lang w:eastAsia="zh-CN"/>
              </w:rPr>
              <w:t>；</w:t>
            </w:r>
            <w:r>
              <w:rPr>
                <w:rFonts w:hint="eastAsia" w:cs="Times New Roman"/>
                <w:color w:val="auto"/>
                <w:sz w:val="24"/>
                <w:szCs w:val="24"/>
                <w:lang w:val="en-US" w:eastAsia="zh-CN"/>
              </w:rPr>
              <w:t>吸附棉的材质为天然纤维，其可通过纤维结构中的亲水基团和多孔中空结构吸附湿气，可用于喷淋装置与活性炭吸附装置之间，用于吸附喷淋装置散发的水汽，使活性炭吸附装置吸附效率不受影响。</w:t>
            </w:r>
          </w:p>
          <w:p w14:paraId="11C7C7A3">
            <w:pPr>
              <w:adjustRightInd w:val="0"/>
              <w:snapToGrid w:val="0"/>
              <w:spacing w:line="360" w:lineRule="auto"/>
              <w:ind w:firstLine="480" w:firstLineChars="200"/>
              <w:rPr>
                <w:rFonts w:hint="eastAsia" w:ascii="Helvetica" w:hAnsi="Helvetica" w:eastAsia="宋体" w:cs="Helvetica"/>
                <w:i w:val="0"/>
                <w:iCs w:val="0"/>
                <w:caps w:val="0"/>
                <w:color w:val="auto"/>
                <w:spacing w:val="0"/>
                <w:sz w:val="24"/>
                <w:szCs w:val="24"/>
                <w:shd w:val="clear" w:fill="FFFFFF"/>
                <w:lang w:val="en-US" w:eastAsia="zh-CN"/>
              </w:rPr>
            </w:pPr>
            <w:r>
              <w:rPr>
                <w:rFonts w:hint="eastAsia" w:cs="Times New Roman"/>
                <w:i w:val="0"/>
                <w:iCs w:val="0"/>
                <w:caps w:val="0"/>
                <w:color w:val="auto"/>
                <w:spacing w:val="0"/>
                <w:sz w:val="24"/>
                <w:szCs w:val="24"/>
                <w:shd w:val="clear" w:fill="FFFFFF"/>
                <w:lang w:val="en-US" w:eastAsia="zh-CN"/>
              </w:rPr>
              <w:t>经</w:t>
            </w:r>
            <w:r>
              <w:rPr>
                <w:rFonts w:hint="eastAsia" w:ascii="Times New Roman" w:hAnsi="Times New Roman" w:eastAsia="宋体" w:cs="Times New Roman"/>
                <w:i w:val="0"/>
                <w:iCs w:val="0"/>
                <w:caps w:val="0"/>
                <w:color w:val="auto"/>
                <w:spacing w:val="0"/>
                <w:sz w:val="24"/>
                <w:szCs w:val="24"/>
                <w:shd w:val="clear" w:fill="FFFFFF"/>
                <w:lang w:val="en-US" w:eastAsia="zh-CN"/>
              </w:rPr>
              <w:t>处理后，</w:t>
            </w:r>
            <w:r>
              <w:rPr>
                <w:rFonts w:hint="eastAsia" w:cs="Times New Roman"/>
                <w:i w:val="0"/>
                <w:iCs w:val="0"/>
                <w:caps w:val="0"/>
                <w:color w:val="auto"/>
                <w:spacing w:val="0"/>
                <w:sz w:val="24"/>
                <w:szCs w:val="24"/>
                <w:shd w:val="clear" w:fill="FFFFFF"/>
                <w:lang w:val="en-US" w:eastAsia="zh-CN"/>
              </w:rPr>
              <w:t>废气</w:t>
            </w:r>
            <w:r>
              <w:rPr>
                <w:rFonts w:hint="default" w:ascii="Times New Roman" w:hAnsi="Times New Roman" w:cs="Times New Roman"/>
                <w:bCs/>
                <w:color w:val="auto"/>
                <w:sz w:val="24"/>
                <w:szCs w:val="24"/>
                <w:vertAlign w:val="baseline"/>
                <w:lang w:val="en-US" w:eastAsia="zh-CN"/>
              </w:rPr>
              <w:t>NMHC</w:t>
            </w:r>
            <w:r>
              <w:rPr>
                <w:rFonts w:hint="eastAsia" w:ascii="Times New Roman" w:hAnsi="Times New Roman" w:eastAsia="宋体" w:cs="Times New Roman"/>
                <w:i w:val="0"/>
                <w:iCs w:val="0"/>
                <w:caps w:val="0"/>
                <w:color w:val="auto"/>
                <w:spacing w:val="0"/>
                <w:sz w:val="24"/>
                <w:szCs w:val="24"/>
                <w:shd w:val="clear" w:fill="FFFFFF"/>
                <w:lang w:val="en-US" w:eastAsia="zh-CN"/>
              </w:rPr>
              <w:t>可以达到</w:t>
            </w:r>
            <w:r>
              <w:rPr>
                <w:rFonts w:hint="default" w:ascii="Times New Roman" w:hAnsi="Times New Roman" w:cs="Times New Roman"/>
                <w:color w:val="auto"/>
                <w:kern w:val="0"/>
                <w:sz w:val="24"/>
                <w:szCs w:val="24"/>
                <w:lang w:bidi="ar"/>
              </w:rPr>
              <w:t>《印刷工业大气污染物排放标准》（GB41616-2022）表1</w:t>
            </w:r>
            <w:r>
              <w:rPr>
                <w:rFonts w:hint="default" w:ascii="Times New Roman" w:hAnsi="Times New Roman" w:cs="Times New Roman"/>
                <w:color w:val="auto"/>
                <w:kern w:val="0"/>
                <w:sz w:val="24"/>
                <w:szCs w:val="24"/>
                <w:lang w:val="en-US" w:eastAsia="zh-CN" w:bidi="ar"/>
              </w:rPr>
              <w:t>中</w:t>
            </w:r>
            <w:r>
              <w:rPr>
                <w:rFonts w:hint="default" w:ascii="Times New Roman" w:hAnsi="Times New Roman" w:cs="Times New Roman"/>
                <w:color w:val="auto"/>
                <w:sz w:val="24"/>
                <w:szCs w:val="24"/>
              </w:rPr>
              <w:t>相</w:t>
            </w:r>
            <w:r>
              <w:rPr>
                <w:rFonts w:hint="default" w:ascii="Times New Roman" w:hAnsi="Times New Roman" w:cs="Times New Roman"/>
                <w:bCs/>
                <w:color w:val="auto"/>
                <w:sz w:val="24"/>
                <w:szCs w:val="24"/>
              </w:rPr>
              <w:t>关限值</w:t>
            </w:r>
            <w:r>
              <w:rPr>
                <w:rFonts w:hint="eastAsia"/>
                <w:color w:val="auto"/>
                <w:sz w:val="24"/>
                <w:szCs w:val="24"/>
                <w:lang w:eastAsia="zh-CN"/>
              </w:rPr>
              <w:t>。</w:t>
            </w:r>
          </w:p>
          <w:p w14:paraId="2BF6E517">
            <w:pPr>
              <w:adjustRightInd w:val="0"/>
              <w:snapToGrid w:val="0"/>
              <w:spacing w:line="360" w:lineRule="auto"/>
              <w:ind w:firstLine="480" w:firstLineChars="200"/>
              <w:rPr>
                <w:bCs/>
                <w:color w:val="auto"/>
                <w:kern w:val="0"/>
                <w:sz w:val="24"/>
              </w:rPr>
            </w:pPr>
            <w:r>
              <w:rPr>
                <w:rFonts w:hint="eastAsia"/>
                <w:color w:val="auto"/>
                <w:sz w:val="24"/>
                <w:lang w:val="en-US" w:eastAsia="zh-CN"/>
              </w:rPr>
              <w:t>综上所述，</w:t>
            </w:r>
            <w:r>
              <w:rPr>
                <w:rFonts w:hint="eastAsia"/>
                <w:bCs/>
                <w:color w:val="auto"/>
                <w:kern w:val="0"/>
                <w:sz w:val="24"/>
              </w:rPr>
              <w:t>本项目</w:t>
            </w:r>
            <w:r>
              <w:rPr>
                <w:rFonts w:hint="eastAsia"/>
                <w:bCs/>
                <w:color w:val="auto"/>
                <w:kern w:val="0"/>
                <w:sz w:val="24"/>
                <w:lang w:val="en-US" w:eastAsia="zh-CN"/>
              </w:rPr>
              <w:t>废气处理设施</w:t>
            </w:r>
            <w:r>
              <w:rPr>
                <w:rFonts w:hint="eastAsia"/>
                <w:bCs/>
                <w:color w:val="auto"/>
                <w:kern w:val="0"/>
                <w:sz w:val="24"/>
              </w:rPr>
              <w:t>属于可行。</w:t>
            </w:r>
          </w:p>
          <w:p w14:paraId="209B6CF7">
            <w:pPr>
              <w:pStyle w:val="7"/>
              <w:autoSpaceDE/>
              <w:autoSpaceDN/>
              <w:adjustRightInd/>
              <w:spacing w:line="240" w:lineRule="auto"/>
              <w:ind w:left="0" w:firstLine="0"/>
              <w:jc w:val="center"/>
              <w:textAlignment w:val="auto"/>
              <w:rPr>
                <w:rFonts w:hint="eastAsia"/>
                <w:bCs/>
                <w:color w:val="auto"/>
                <w:kern w:val="0"/>
                <w:sz w:val="24"/>
                <w:lang w:val="en-US" w:eastAsia="zh-CN"/>
              </w:rPr>
            </w:pPr>
            <w:r>
              <w:rPr>
                <w:rFonts w:hint="eastAsia"/>
                <w:b/>
                <w:bCs/>
                <w:color w:val="auto"/>
                <w:spacing w:val="-10"/>
                <w:szCs w:val="24"/>
              </w:rPr>
              <w:t>表4-</w:t>
            </w:r>
            <w:r>
              <w:rPr>
                <w:rFonts w:hint="eastAsia"/>
                <w:b/>
                <w:bCs/>
                <w:color w:val="auto"/>
                <w:spacing w:val="-10"/>
                <w:szCs w:val="24"/>
                <w:lang w:val="en-US" w:eastAsia="zh-CN"/>
              </w:rPr>
              <w:t xml:space="preserve">4  </w:t>
            </w:r>
            <w:r>
              <w:rPr>
                <w:rFonts w:hint="eastAsia"/>
                <w:b/>
                <w:bCs/>
                <w:color w:val="auto"/>
                <w:spacing w:val="-10"/>
                <w:szCs w:val="24"/>
              </w:rPr>
              <w:t>排放口基本情况表</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401"/>
              <w:gridCol w:w="783"/>
              <w:gridCol w:w="1658"/>
              <w:gridCol w:w="1541"/>
              <w:gridCol w:w="629"/>
              <w:gridCol w:w="460"/>
              <w:gridCol w:w="511"/>
              <w:gridCol w:w="806"/>
              <w:gridCol w:w="487"/>
              <w:gridCol w:w="402"/>
            </w:tblGrid>
            <w:tr w14:paraId="7BCB1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91" w:type="pct"/>
                  <w:vMerge w:val="restart"/>
                  <w:shd w:val="clear" w:color="auto" w:fill="auto"/>
                  <w:vAlign w:val="center"/>
                </w:tcPr>
                <w:p w14:paraId="77C95440">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排放口编号</w:t>
                  </w:r>
                </w:p>
              </w:tc>
              <w:tc>
                <w:tcPr>
                  <w:tcW w:w="284" w:type="pct"/>
                  <w:vMerge w:val="restart"/>
                  <w:vAlign w:val="center"/>
                </w:tcPr>
                <w:p w14:paraId="2AB3C822">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排放口名称</w:t>
                  </w:r>
                </w:p>
              </w:tc>
              <w:tc>
                <w:tcPr>
                  <w:tcW w:w="524" w:type="pct"/>
                  <w:vMerge w:val="restart"/>
                  <w:vAlign w:val="center"/>
                </w:tcPr>
                <w:p w14:paraId="27964A4D">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污染物种类</w:t>
                  </w:r>
                </w:p>
              </w:tc>
              <w:tc>
                <w:tcPr>
                  <w:tcW w:w="1748" w:type="pct"/>
                  <w:gridSpan w:val="2"/>
                  <w:vAlign w:val="center"/>
                </w:tcPr>
                <w:p w14:paraId="526D948F">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rPr>
                    <w:t>排放口地理坐标</w:t>
                  </w:r>
                </w:p>
              </w:tc>
              <w:tc>
                <w:tcPr>
                  <w:tcW w:w="347" w:type="pct"/>
                  <w:vMerge w:val="restart"/>
                  <w:vAlign w:val="center"/>
                </w:tcPr>
                <w:p w14:paraId="037197FD">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排放速率kg/h</w:t>
                  </w:r>
                </w:p>
              </w:tc>
              <w:tc>
                <w:tcPr>
                  <w:tcW w:w="285" w:type="pct"/>
                  <w:vMerge w:val="restart"/>
                  <w:vAlign w:val="center"/>
                </w:tcPr>
                <w:p w14:paraId="2FEED251">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排气筒高度/m</w:t>
                  </w:r>
                </w:p>
              </w:tc>
              <w:tc>
                <w:tcPr>
                  <w:tcW w:w="320" w:type="pct"/>
                  <w:vMerge w:val="restart"/>
                  <w:vAlign w:val="center"/>
                </w:tcPr>
                <w:p w14:paraId="571892CC">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排气筒内径/m</w:t>
                  </w:r>
                </w:p>
              </w:tc>
              <w:tc>
                <w:tcPr>
                  <w:tcW w:w="436" w:type="pct"/>
                  <w:vMerge w:val="restart"/>
                  <w:vAlign w:val="center"/>
                </w:tcPr>
                <w:p w14:paraId="646789E6">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风量m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lang w:val="en-US" w:eastAsia="zh-CN"/>
                    </w:rPr>
                    <w:t>/h</w:t>
                  </w:r>
                </w:p>
              </w:tc>
              <w:tc>
                <w:tcPr>
                  <w:tcW w:w="288" w:type="pct"/>
                  <w:vMerge w:val="restart"/>
                  <w:vAlign w:val="center"/>
                </w:tcPr>
                <w:p w14:paraId="2A8CA439">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排气温度/℃</w:t>
                  </w:r>
                </w:p>
              </w:tc>
              <w:tc>
                <w:tcPr>
                  <w:tcW w:w="271" w:type="pct"/>
                  <w:vMerge w:val="restart"/>
                  <w:vAlign w:val="center"/>
                </w:tcPr>
                <w:p w14:paraId="73FAE2CF">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排气筒类型</w:t>
                  </w:r>
                </w:p>
              </w:tc>
            </w:tr>
            <w:tr w14:paraId="07CBE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 w:hRule="atLeast"/>
                <w:jc w:val="center"/>
              </w:trPr>
              <w:tc>
                <w:tcPr>
                  <w:tcW w:w="491" w:type="pct"/>
                  <w:vMerge w:val="continue"/>
                  <w:shd w:val="clear" w:color="auto" w:fill="auto"/>
                  <w:vAlign w:val="center"/>
                </w:tcPr>
                <w:p w14:paraId="2C7A9E83">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cs="Times New Roman"/>
                      <w:color w:val="auto"/>
                      <w:sz w:val="21"/>
                      <w:szCs w:val="21"/>
                    </w:rPr>
                  </w:pPr>
                </w:p>
              </w:tc>
              <w:tc>
                <w:tcPr>
                  <w:tcW w:w="284" w:type="pct"/>
                  <w:vMerge w:val="continue"/>
                  <w:vAlign w:val="center"/>
                </w:tcPr>
                <w:p w14:paraId="78B1128E">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cs="Times New Roman"/>
                      <w:color w:val="auto"/>
                      <w:sz w:val="21"/>
                      <w:szCs w:val="21"/>
                    </w:rPr>
                  </w:pPr>
                </w:p>
              </w:tc>
              <w:tc>
                <w:tcPr>
                  <w:tcW w:w="524" w:type="pct"/>
                  <w:vMerge w:val="continue"/>
                  <w:vAlign w:val="center"/>
                </w:tcPr>
                <w:p w14:paraId="387FEC96">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cs="Times New Roman"/>
                      <w:color w:val="auto"/>
                      <w:sz w:val="21"/>
                      <w:szCs w:val="21"/>
                    </w:rPr>
                  </w:pPr>
                </w:p>
              </w:tc>
              <w:tc>
                <w:tcPr>
                  <w:tcW w:w="904" w:type="pct"/>
                  <w:vAlign w:val="center"/>
                </w:tcPr>
                <w:p w14:paraId="0C97805C">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经度</w:t>
                  </w:r>
                </w:p>
              </w:tc>
              <w:tc>
                <w:tcPr>
                  <w:tcW w:w="843" w:type="pct"/>
                  <w:vAlign w:val="center"/>
                </w:tcPr>
                <w:p w14:paraId="2C635FAE">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纬度</w:t>
                  </w:r>
                </w:p>
              </w:tc>
              <w:tc>
                <w:tcPr>
                  <w:tcW w:w="347" w:type="pct"/>
                  <w:vMerge w:val="continue"/>
                  <w:vAlign w:val="center"/>
                </w:tcPr>
                <w:p w14:paraId="0D8AFB5F">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p>
              </w:tc>
              <w:tc>
                <w:tcPr>
                  <w:tcW w:w="285" w:type="pct"/>
                  <w:vMerge w:val="continue"/>
                  <w:vAlign w:val="center"/>
                </w:tcPr>
                <w:p w14:paraId="0CE58920">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p>
              </w:tc>
              <w:tc>
                <w:tcPr>
                  <w:tcW w:w="320" w:type="pct"/>
                  <w:vMerge w:val="continue"/>
                  <w:vAlign w:val="center"/>
                </w:tcPr>
                <w:p w14:paraId="06D50F0B">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p>
              </w:tc>
              <w:tc>
                <w:tcPr>
                  <w:tcW w:w="436" w:type="pct"/>
                  <w:vMerge w:val="continue"/>
                  <w:vAlign w:val="center"/>
                </w:tcPr>
                <w:p w14:paraId="6C895FAE">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p>
              </w:tc>
              <w:tc>
                <w:tcPr>
                  <w:tcW w:w="288" w:type="pct"/>
                  <w:vMerge w:val="continue"/>
                  <w:vAlign w:val="center"/>
                </w:tcPr>
                <w:p w14:paraId="4A9EDA7C">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p>
              </w:tc>
              <w:tc>
                <w:tcPr>
                  <w:tcW w:w="271" w:type="pct"/>
                  <w:vMerge w:val="continue"/>
                  <w:vAlign w:val="center"/>
                </w:tcPr>
                <w:p w14:paraId="5189C21F">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p>
              </w:tc>
            </w:tr>
            <w:tr w14:paraId="19345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1" w:type="pct"/>
                  <w:vAlign w:val="center"/>
                </w:tcPr>
                <w:p w14:paraId="101910A3">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DA001</w:t>
                  </w:r>
                </w:p>
              </w:tc>
              <w:tc>
                <w:tcPr>
                  <w:tcW w:w="284" w:type="pct"/>
                  <w:vAlign w:val="center"/>
                </w:tcPr>
                <w:p w14:paraId="76349AA4">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废气排放口</w:t>
                  </w:r>
                </w:p>
              </w:tc>
              <w:tc>
                <w:tcPr>
                  <w:tcW w:w="524" w:type="pct"/>
                  <w:vAlign w:val="center"/>
                </w:tcPr>
                <w:p w14:paraId="142716E0">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Cs/>
                      <w:color w:val="auto"/>
                      <w:sz w:val="21"/>
                      <w:szCs w:val="21"/>
                      <w:vertAlign w:val="baseline"/>
                      <w:lang w:val="en-US" w:eastAsia="zh-CN"/>
                    </w:rPr>
                    <w:t>NMHC</w:t>
                  </w:r>
                </w:p>
              </w:tc>
              <w:tc>
                <w:tcPr>
                  <w:tcW w:w="904" w:type="pct"/>
                  <w:vAlign w:val="center"/>
                </w:tcPr>
                <w:p w14:paraId="6FD4C9BA">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color w:val="auto"/>
                      <w:kern w:val="0"/>
                      <w:sz w:val="21"/>
                      <w:szCs w:val="21"/>
                      <w:highlight w:val="none"/>
                      <w:lang w:bidi="ar"/>
                    </w:rPr>
                    <w:t>115°25′31.421″</w:t>
                  </w:r>
                </w:p>
              </w:tc>
              <w:tc>
                <w:tcPr>
                  <w:tcW w:w="843" w:type="pct"/>
                  <w:vAlign w:val="center"/>
                </w:tcPr>
                <w:p w14:paraId="07C770C0">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color w:val="auto"/>
                      <w:kern w:val="0"/>
                      <w:sz w:val="21"/>
                      <w:szCs w:val="21"/>
                      <w:highlight w:val="none"/>
                      <w:lang w:bidi="ar"/>
                    </w:rPr>
                    <w:t>28°23′41.992″</w:t>
                  </w:r>
                </w:p>
              </w:tc>
              <w:tc>
                <w:tcPr>
                  <w:tcW w:w="347" w:type="pct"/>
                  <w:vAlign w:val="center"/>
                </w:tcPr>
                <w:p w14:paraId="1B22DBAF">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cs="Times New Roman"/>
                      <w:b w:val="0"/>
                      <w:bCs w:val="0"/>
                      <w:color w:val="auto"/>
                      <w:sz w:val="21"/>
                      <w:szCs w:val="21"/>
                      <w:lang w:val="en-US" w:eastAsia="zh-CN"/>
                    </w:rPr>
                  </w:pPr>
                  <w:r>
                    <w:rPr>
                      <w:rFonts w:hint="eastAsia" w:cs="Times New Roman"/>
                      <w:b w:val="0"/>
                      <w:bCs w:val="0"/>
                      <w:color w:val="auto"/>
                      <w:sz w:val="21"/>
                      <w:szCs w:val="21"/>
                      <w:lang w:val="en-US" w:eastAsia="zh-CN"/>
                    </w:rPr>
                    <w:t>0.23</w:t>
                  </w:r>
                </w:p>
              </w:tc>
              <w:tc>
                <w:tcPr>
                  <w:tcW w:w="285" w:type="pct"/>
                  <w:vAlign w:val="center"/>
                </w:tcPr>
                <w:p w14:paraId="32FEEBC1">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15</w:t>
                  </w:r>
                </w:p>
              </w:tc>
              <w:tc>
                <w:tcPr>
                  <w:tcW w:w="320" w:type="pct"/>
                  <w:vAlign w:val="center"/>
                </w:tcPr>
                <w:p w14:paraId="2CCA1EF1">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b w:val="0"/>
                      <w:bCs w:val="0"/>
                      <w:color w:val="FF0000"/>
                      <w:sz w:val="21"/>
                      <w:szCs w:val="21"/>
                      <w:lang w:val="en-US" w:eastAsia="zh-CN"/>
                    </w:rPr>
                    <w:t>0.</w:t>
                  </w:r>
                  <w:r>
                    <w:rPr>
                      <w:rFonts w:hint="eastAsia" w:cs="Times New Roman"/>
                      <w:b w:val="0"/>
                      <w:bCs w:val="0"/>
                      <w:color w:val="FF0000"/>
                      <w:sz w:val="21"/>
                      <w:szCs w:val="21"/>
                      <w:lang w:val="en-US" w:eastAsia="zh-CN"/>
                    </w:rPr>
                    <w:t>8</w:t>
                  </w:r>
                </w:p>
              </w:tc>
              <w:tc>
                <w:tcPr>
                  <w:tcW w:w="436" w:type="pct"/>
                  <w:vAlign w:val="center"/>
                </w:tcPr>
                <w:p w14:paraId="5E042C4F">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20000</w:t>
                  </w:r>
                </w:p>
              </w:tc>
              <w:tc>
                <w:tcPr>
                  <w:tcW w:w="288" w:type="pct"/>
                  <w:vAlign w:val="center"/>
                </w:tcPr>
                <w:p w14:paraId="094ED4FE">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25</w:t>
                  </w:r>
                </w:p>
              </w:tc>
              <w:tc>
                <w:tcPr>
                  <w:tcW w:w="271" w:type="pct"/>
                  <w:vAlign w:val="center"/>
                </w:tcPr>
                <w:p w14:paraId="18909C6F">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一般排放口</w:t>
                  </w:r>
                </w:p>
              </w:tc>
            </w:tr>
          </w:tbl>
          <w:p w14:paraId="2F92F4CC">
            <w:pPr>
              <w:pStyle w:val="42"/>
              <w:spacing w:before="0" w:after="0" w:line="360" w:lineRule="auto"/>
              <w:ind w:left="0" w:leftChars="0" w:firstLine="458" w:firstLineChars="200"/>
              <w:rPr>
                <w:rFonts w:eastAsia="宋体"/>
                <w:color w:val="auto"/>
                <w:sz w:val="24"/>
                <w:szCs w:val="24"/>
              </w:rPr>
            </w:pPr>
            <w:r>
              <w:rPr>
                <w:rFonts w:hint="eastAsia" w:eastAsia="宋体"/>
                <w:color w:val="auto"/>
                <w:sz w:val="24"/>
                <w:szCs w:val="24"/>
              </w:rPr>
              <w:t>4、废气环境影响分析</w:t>
            </w:r>
          </w:p>
          <w:p w14:paraId="3D929AA1">
            <w:pPr>
              <w:spacing w:line="360" w:lineRule="auto"/>
              <w:ind w:firstLine="480"/>
              <w:rPr>
                <w:color w:val="auto"/>
                <w:sz w:val="24"/>
              </w:rPr>
            </w:pPr>
            <w:r>
              <w:rPr>
                <w:color w:val="auto"/>
                <w:sz w:val="24"/>
              </w:rPr>
              <w:t>项目产生的大气污染物主要为</w:t>
            </w:r>
            <w:r>
              <w:rPr>
                <w:rFonts w:hint="eastAsia"/>
                <w:color w:val="auto"/>
                <w:sz w:val="24"/>
                <w:lang w:val="en-US" w:eastAsia="zh-CN"/>
              </w:rPr>
              <w:t>生产过程中产生的废气</w:t>
            </w:r>
            <w:r>
              <w:rPr>
                <w:rFonts w:hint="default" w:ascii="Times New Roman" w:hAnsi="Times New Roman" w:cs="Times New Roman"/>
                <w:bCs/>
                <w:color w:val="auto"/>
                <w:sz w:val="24"/>
                <w:szCs w:val="24"/>
                <w:vertAlign w:val="baseline"/>
                <w:lang w:val="en-US" w:eastAsia="zh-CN"/>
              </w:rPr>
              <w:t>NMHC</w:t>
            </w:r>
            <w:r>
              <w:rPr>
                <w:rFonts w:hint="eastAsia"/>
                <w:color w:val="auto"/>
                <w:sz w:val="24"/>
                <w:vertAlign w:val="baseline"/>
                <w:lang w:val="en-US" w:eastAsia="zh-CN"/>
              </w:rPr>
              <w:t>。</w:t>
            </w:r>
            <w:r>
              <w:rPr>
                <w:color w:val="auto"/>
                <w:sz w:val="24"/>
              </w:rPr>
              <w:t>在正常情况下，各项废气经处理后均能达标排放，对周边环境影响较小。</w:t>
            </w:r>
          </w:p>
          <w:p w14:paraId="3A47128E">
            <w:pPr>
              <w:spacing w:line="360" w:lineRule="auto"/>
              <w:ind w:left="420" w:leftChars="200"/>
              <w:rPr>
                <w:rFonts w:ascii="宋体" w:hAnsi="宋体" w:cs="宋体"/>
                <w:b/>
                <w:color w:val="auto"/>
                <w:sz w:val="24"/>
              </w:rPr>
            </w:pPr>
            <w:r>
              <w:rPr>
                <w:rFonts w:hint="eastAsia"/>
                <w:b/>
                <w:color w:val="auto"/>
                <w:sz w:val="24"/>
              </w:rPr>
              <w:t>5、</w:t>
            </w:r>
            <w:r>
              <w:rPr>
                <w:b/>
                <w:color w:val="auto"/>
                <w:sz w:val="24"/>
              </w:rPr>
              <w:t>项目非正常排放情况分析</w:t>
            </w:r>
          </w:p>
          <w:p w14:paraId="0D249641">
            <w:pPr>
              <w:spacing w:line="360" w:lineRule="auto"/>
              <w:ind w:firstLine="480" w:firstLineChars="200"/>
              <w:rPr>
                <w:color w:val="auto"/>
                <w:sz w:val="24"/>
              </w:rPr>
            </w:pPr>
            <w:r>
              <w:rPr>
                <w:color w:val="auto"/>
                <w:sz w:val="24"/>
              </w:rPr>
              <w:t>非正常情况下，废气处理系统处理效率降低。按照处理效率为0%，无环保治理措施计算，则非正常情况下的排放情况见</w:t>
            </w:r>
            <w:r>
              <w:rPr>
                <w:rFonts w:hint="eastAsia"/>
                <w:color w:val="auto"/>
                <w:sz w:val="24"/>
                <w:highlight w:val="none"/>
                <w:lang w:val="en-US" w:eastAsia="zh-CN"/>
              </w:rPr>
              <w:t>下</w:t>
            </w:r>
            <w:r>
              <w:rPr>
                <w:color w:val="auto"/>
                <w:sz w:val="24"/>
              </w:rPr>
              <w:t>表：</w:t>
            </w:r>
          </w:p>
          <w:p w14:paraId="44F837A7">
            <w:pPr>
              <w:pStyle w:val="7"/>
              <w:autoSpaceDE/>
              <w:autoSpaceDN/>
              <w:adjustRightInd/>
              <w:spacing w:line="240" w:lineRule="auto"/>
              <w:ind w:left="0" w:firstLine="0"/>
              <w:jc w:val="center"/>
              <w:textAlignment w:val="auto"/>
              <w:rPr>
                <w:b/>
                <w:bCs/>
                <w:color w:val="auto"/>
                <w:spacing w:val="-10"/>
                <w:szCs w:val="24"/>
              </w:rPr>
            </w:pPr>
            <w:r>
              <w:rPr>
                <w:b/>
                <w:bCs/>
                <w:color w:val="auto"/>
                <w:spacing w:val="-10"/>
                <w:szCs w:val="24"/>
              </w:rPr>
              <w:t>表4-</w:t>
            </w:r>
            <w:r>
              <w:rPr>
                <w:rFonts w:hint="eastAsia"/>
                <w:b/>
                <w:bCs/>
                <w:color w:val="auto"/>
                <w:spacing w:val="-10"/>
                <w:szCs w:val="24"/>
                <w:lang w:val="en-US" w:eastAsia="zh-CN"/>
              </w:rPr>
              <w:t>5</w:t>
            </w:r>
            <w:r>
              <w:rPr>
                <w:rFonts w:hint="eastAsia"/>
                <w:b/>
                <w:bCs/>
                <w:color w:val="auto"/>
                <w:spacing w:val="-10"/>
                <w:szCs w:val="24"/>
              </w:rPr>
              <w:t xml:space="preserve">  非正常情况下污染物排放情况一览表</w:t>
            </w:r>
          </w:p>
          <w:tbl>
            <w:tblPr>
              <w:tblStyle w:val="29"/>
              <w:tblW w:w="5000"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05"/>
              <w:gridCol w:w="1001"/>
              <w:gridCol w:w="1066"/>
              <w:gridCol w:w="1035"/>
              <w:gridCol w:w="1016"/>
              <w:gridCol w:w="1052"/>
              <w:gridCol w:w="2049"/>
            </w:tblGrid>
            <w:tr w14:paraId="103CEAE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5" w:type="pct"/>
                  <w:vMerge w:val="restart"/>
                  <w:vAlign w:val="center"/>
                </w:tcPr>
                <w:p w14:paraId="78734CBD">
                  <w:pPr>
                    <w:pStyle w:val="3"/>
                    <w:spacing w:before="0" w:after="0" w:line="0" w:lineRule="atLeast"/>
                    <w:jc w:val="center"/>
                    <w:rPr>
                      <w:color w:val="auto"/>
                      <w:sz w:val="21"/>
                      <w:szCs w:val="21"/>
                    </w:rPr>
                  </w:pPr>
                  <w:r>
                    <w:rPr>
                      <w:color w:val="auto"/>
                      <w:sz w:val="21"/>
                      <w:szCs w:val="21"/>
                    </w:rPr>
                    <w:t>产排污环节</w:t>
                  </w:r>
                </w:p>
              </w:tc>
              <w:tc>
                <w:tcPr>
                  <w:tcW w:w="587" w:type="pct"/>
                  <w:vMerge w:val="restart"/>
                  <w:vAlign w:val="center"/>
                </w:tcPr>
                <w:p w14:paraId="05B194CB">
                  <w:pPr>
                    <w:pStyle w:val="3"/>
                    <w:spacing w:before="0" w:after="0" w:line="0" w:lineRule="atLeast"/>
                    <w:jc w:val="center"/>
                    <w:rPr>
                      <w:color w:val="auto"/>
                      <w:sz w:val="21"/>
                      <w:szCs w:val="21"/>
                    </w:rPr>
                  </w:pPr>
                  <w:r>
                    <w:rPr>
                      <w:color w:val="auto"/>
                      <w:sz w:val="21"/>
                      <w:szCs w:val="21"/>
                    </w:rPr>
                    <w:t>污染物种类</w:t>
                  </w:r>
                </w:p>
              </w:tc>
              <w:tc>
                <w:tcPr>
                  <w:tcW w:w="1232" w:type="pct"/>
                  <w:gridSpan w:val="2"/>
                  <w:vAlign w:val="center"/>
                </w:tcPr>
                <w:p w14:paraId="1085A1EC">
                  <w:pPr>
                    <w:pStyle w:val="3"/>
                    <w:spacing w:before="0" w:after="0" w:line="0" w:lineRule="atLeast"/>
                    <w:jc w:val="center"/>
                    <w:rPr>
                      <w:color w:val="auto"/>
                      <w:sz w:val="21"/>
                      <w:szCs w:val="21"/>
                    </w:rPr>
                  </w:pPr>
                  <w:r>
                    <w:rPr>
                      <w:color w:val="auto"/>
                      <w:sz w:val="21"/>
                      <w:szCs w:val="21"/>
                    </w:rPr>
                    <w:t>污染物排放</w:t>
                  </w:r>
                </w:p>
              </w:tc>
              <w:tc>
                <w:tcPr>
                  <w:tcW w:w="1213" w:type="pct"/>
                  <w:gridSpan w:val="2"/>
                  <w:vAlign w:val="center"/>
                </w:tcPr>
                <w:p w14:paraId="12D94616">
                  <w:pPr>
                    <w:pStyle w:val="3"/>
                    <w:spacing w:before="0" w:after="0" w:line="0" w:lineRule="atLeast"/>
                    <w:jc w:val="center"/>
                    <w:rPr>
                      <w:color w:val="auto"/>
                      <w:sz w:val="21"/>
                      <w:szCs w:val="21"/>
                    </w:rPr>
                  </w:pPr>
                  <w:r>
                    <w:rPr>
                      <w:color w:val="auto"/>
                      <w:sz w:val="21"/>
                      <w:szCs w:val="21"/>
                    </w:rPr>
                    <w:t>非正常排放情况</w:t>
                  </w:r>
                </w:p>
              </w:tc>
              <w:tc>
                <w:tcPr>
                  <w:tcW w:w="1201" w:type="pct"/>
                  <w:vMerge w:val="restart"/>
                  <w:vAlign w:val="center"/>
                </w:tcPr>
                <w:p w14:paraId="52D2737B">
                  <w:pPr>
                    <w:pStyle w:val="3"/>
                    <w:spacing w:before="0" w:after="0" w:line="0" w:lineRule="atLeast"/>
                    <w:jc w:val="center"/>
                    <w:rPr>
                      <w:color w:val="auto"/>
                      <w:sz w:val="21"/>
                      <w:szCs w:val="21"/>
                    </w:rPr>
                  </w:pPr>
                  <w:r>
                    <w:rPr>
                      <w:color w:val="auto"/>
                      <w:sz w:val="21"/>
                      <w:szCs w:val="21"/>
                    </w:rPr>
                    <w:t>控制措施</w:t>
                  </w:r>
                </w:p>
              </w:tc>
            </w:tr>
            <w:tr w14:paraId="6D92E5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765" w:type="pct"/>
                  <w:vMerge w:val="continue"/>
                  <w:vAlign w:val="center"/>
                </w:tcPr>
                <w:p w14:paraId="7EEBD133">
                  <w:pPr>
                    <w:spacing w:line="0" w:lineRule="atLeast"/>
                    <w:ind w:firstLine="422"/>
                    <w:jc w:val="center"/>
                    <w:rPr>
                      <w:b/>
                      <w:bCs/>
                      <w:color w:val="auto"/>
                      <w:szCs w:val="21"/>
                      <w:highlight w:val="red"/>
                    </w:rPr>
                  </w:pPr>
                </w:p>
              </w:tc>
              <w:tc>
                <w:tcPr>
                  <w:tcW w:w="587" w:type="pct"/>
                  <w:vMerge w:val="continue"/>
                  <w:vAlign w:val="center"/>
                </w:tcPr>
                <w:p w14:paraId="0AA16210">
                  <w:pPr>
                    <w:spacing w:line="0" w:lineRule="atLeast"/>
                    <w:ind w:firstLine="422"/>
                    <w:jc w:val="center"/>
                    <w:rPr>
                      <w:b/>
                      <w:bCs/>
                      <w:color w:val="auto"/>
                      <w:szCs w:val="21"/>
                      <w:highlight w:val="red"/>
                    </w:rPr>
                  </w:pPr>
                </w:p>
              </w:tc>
              <w:tc>
                <w:tcPr>
                  <w:tcW w:w="625" w:type="pct"/>
                  <w:vAlign w:val="center"/>
                </w:tcPr>
                <w:p w14:paraId="4941A7C8">
                  <w:pPr>
                    <w:pStyle w:val="3"/>
                    <w:spacing w:before="0" w:after="0" w:line="0" w:lineRule="atLeast"/>
                    <w:jc w:val="center"/>
                    <w:rPr>
                      <w:color w:val="auto"/>
                      <w:sz w:val="21"/>
                      <w:szCs w:val="21"/>
                    </w:rPr>
                  </w:pPr>
                  <w:r>
                    <w:rPr>
                      <w:color w:val="auto"/>
                      <w:sz w:val="21"/>
                      <w:szCs w:val="21"/>
                    </w:rPr>
                    <w:t>排放速率kg/h</w:t>
                  </w:r>
                </w:p>
              </w:tc>
              <w:tc>
                <w:tcPr>
                  <w:tcW w:w="606" w:type="pct"/>
                  <w:vAlign w:val="center"/>
                </w:tcPr>
                <w:p w14:paraId="418823D2">
                  <w:pPr>
                    <w:pStyle w:val="3"/>
                    <w:spacing w:before="0" w:after="0" w:line="0" w:lineRule="atLeast"/>
                    <w:jc w:val="center"/>
                    <w:rPr>
                      <w:color w:val="auto"/>
                      <w:sz w:val="21"/>
                      <w:szCs w:val="21"/>
                    </w:rPr>
                  </w:pPr>
                  <w:r>
                    <w:rPr>
                      <w:color w:val="auto"/>
                      <w:sz w:val="21"/>
                      <w:szCs w:val="21"/>
                    </w:rPr>
                    <w:t>排放量kg/a</w:t>
                  </w:r>
                </w:p>
              </w:tc>
              <w:tc>
                <w:tcPr>
                  <w:tcW w:w="596" w:type="pct"/>
                  <w:vAlign w:val="center"/>
                </w:tcPr>
                <w:p w14:paraId="759CDE46">
                  <w:pPr>
                    <w:pStyle w:val="3"/>
                    <w:spacing w:before="0" w:after="0" w:line="0" w:lineRule="atLeast"/>
                    <w:jc w:val="center"/>
                    <w:rPr>
                      <w:color w:val="auto"/>
                      <w:sz w:val="21"/>
                      <w:szCs w:val="21"/>
                    </w:rPr>
                  </w:pPr>
                  <w:r>
                    <w:rPr>
                      <w:color w:val="auto"/>
                      <w:sz w:val="21"/>
                      <w:szCs w:val="21"/>
                    </w:rPr>
                    <w:t>年发生频次/次</w:t>
                  </w:r>
                </w:p>
              </w:tc>
              <w:tc>
                <w:tcPr>
                  <w:tcW w:w="617" w:type="pct"/>
                  <w:vAlign w:val="center"/>
                </w:tcPr>
                <w:p w14:paraId="75278330">
                  <w:pPr>
                    <w:spacing w:line="0" w:lineRule="atLeast"/>
                    <w:jc w:val="center"/>
                    <w:rPr>
                      <w:b/>
                      <w:bCs/>
                      <w:color w:val="auto"/>
                      <w:szCs w:val="21"/>
                    </w:rPr>
                  </w:pPr>
                  <w:r>
                    <w:rPr>
                      <w:b/>
                      <w:bCs/>
                      <w:color w:val="auto"/>
                      <w:szCs w:val="21"/>
                    </w:rPr>
                    <w:t>单次持续时间/h</w:t>
                  </w:r>
                </w:p>
              </w:tc>
              <w:tc>
                <w:tcPr>
                  <w:tcW w:w="1201" w:type="pct"/>
                  <w:vMerge w:val="continue"/>
                  <w:vAlign w:val="center"/>
                </w:tcPr>
                <w:p w14:paraId="6288D309">
                  <w:pPr>
                    <w:spacing w:line="0" w:lineRule="atLeast"/>
                    <w:ind w:firstLine="482"/>
                    <w:jc w:val="center"/>
                    <w:rPr>
                      <w:b/>
                      <w:bCs/>
                      <w:color w:val="auto"/>
                      <w:szCs w:val="21"/>
                      <w:highlight w:val="red"/>
                    </w:rPr>
                  </w:pPr>
                </w:p>
              </w:tc>
            </w:tr>
            <w:tr w14:paraId="7A1B1F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765" w:type="pct"/>
                  <w:vAlign w:val="center"/>
                </w:tcPr>
                <w:p w14:paraId="2505A78D">
                  <w:pPr>
                    <w:jc w:val="center"/>
                    <w:rPr>
                      <w:rFonts w:hint="default" w:eastAsia="宋体"/>
                      <w:b w:val="0"/>
                      <w:bCs w:val="0"/>
                      <w:color w:val="auto"/>
                      <w:szCs w:val="21"/>
                      <w:highlight w:val="none"/>
                      <w:lang w:val="en-US" w:eastAsia="zh-CN"/>
                    </w:rPr>
                  </w:pPr>
                  <w:r>
                    <w:rPr>
                      <w:rFonts w:hint="eastAsia"/>
                      <w:b w:val="0"/>
                      <w:bCs w:val="0"/>
                      <w:color w:val="auto"/>
                      <w:szCs w:val="21"/>
                      <w:highlight w:val="none"/>
                      <w:lang w:val="en-US" w:eastAsia="zh-CN"/>
                    </w:rPr>
                    <w:t>调墨、印刷</w:t>
                  </w:r>
                </w:p>
              </w:tc>
              <w:tc>
                <w:tcPr>
                  <w:tcW w:w="587" w:type="pct"/>
                  <w:vAlign w:val="center"/>
                </w:tcPr>
                <w:p w14:paraId="589A46DD">
                  <w:pPr>
                    <w:spacing w:line="0" w:lineRule="atLeast"/>
                    <w:jc w:val="center"/>
                    <w:rPr>
                      <w:rFonts w:hint="default" w:eastAsia="宋体"/>
                      <w:color w:val="auto"/>
                      <w:sz w:val="21"/>
                      <w:szCs w:val="21"/>
                      <w:lang w:val="en-US" w:eastAsia="zh-CN"/>
                    </w:rPr>
                  </w:pPr>
                  <w:r>
                    <w:rPr>
                      <w:rFonts w:hint="default" w:ascii="Times New Roman" w:hAnsi="Times New Roman" w:cs="Times New Roman"/>
                      <w:bCs/>
                      <w:color w:val="auto"/>
                      <w:sz w:val="21"/>
                      <w:szCs w:val="21"/>
                      <w:vertAlign w:val="baseline"/>
                      <w:lang w:val="en-US" w:eastAsia="zh-CN"/>
                    </w:rPr>
                    <w:t>NMHC</w:t>
                  </w:r>
                </w:p>
              </w:tc>
              <w:tc>
                <w:tcPr>
                  <w:tcW w:w="1047" w:type="dxa"/>
                  <w:vAlign w:val="center"/>
                </w:tcPr>
                <w:p w14:paraId="107A0533">
                  <w:pPr>
                    <w:pStyle w:val="3"/>
                    <w:pageBreakBefore w:val="0"/>
                    <w:kinsoku/>
                    <w:wordWrap/>
                    <w:overflowPunct/>
                    <w:topLinePunct w:val="0"/>
                    <w:autoSpaceDE/>
                    <w:autoSpaceDN/>
                    <w:bidi w:val="0"/>
                    <w:spacing w:before="0" w:after="0" w:line="240" w:lineRule="auto"/>
                    <w:ind w:left="0" w:leftChars="0" w:right="0" w:rightChars="0"/>
                    <w:jc w:val="center"/>
                    <w:rPr>
                      <w:rFonts w:hint="default" w:ascii="Times New Roman" w:hAnsi="Times New Roman" w:eastAsia="宋体" w:cs="Times New Roman"/>
                      <w:b w:val="0"/>
                      <w:color w:val="auto"/>
                      <w:sz w:val="21"/>
                      <w:szCs w:val="21"/>
                      <w:highlight w:val="none"/>
                      <w:lang w:val="en-US" w:eastAsia="zh-CN"/>
                    </w:rPr>
                  </w:pPr>
                  <w:r>
                    <w:rPr>
                      <w:rFonts w:hint="eastAsia"/>
                      <w:b w:val="0"/>
                      <w:bCs w:val="0"/>
                      <w:color w:val="auto"/>
                      <w:sz w:val="21"/>
                      <w:szCs w:val="21"/>
                      <w:lang w:val="en-US" w:eastAsia="zh-CN"/>
                    </w:rPr>
                    <w:t>0.318</w:t>
                  </w:r>
                </w:p>
              </w:tc>
              <w:tc>
                <w:tcPr>
                  <w:tcW w:w="606" w:type="pct"/>
                  <w:vAlign w:val="center"/>
                </w:tcPr>
                <w:p w14:paraId="1A7CE0D5">
                  <w:pPr>
                    <w:pStyle w:val="3"/>
                    <w:spacing w:before="0" w:after="0" w:line="0" w:lineRule="atLeast"/>
                    <w:jc w:val="center"/>
                    <w:rPr>
                      <w:rFonts w:hint="default" w:eastAsia="宋体"/>
                      <w:b w:val="0"/>
                      <w:color w:val="auto"/>
                      <w:sz w:val="21"/>
                      <w:szCs w:val="21"/>
                      <w:highlight w:val="none"/>
                      <w:lang w:val="en-US" w:eastAsia="zh-CN"/>
                    </w:rPr>
                  </w:pPr>
                  <w:r>
                    <w:rPr>
                      <w:rFonts w:hint="eastAsia"/>
                      <w:b w:val="0"/>
                      <w:color w:val="auto"/>
                      <w:sz w:val="21"/>
                      <w:szCs w:val="21"/>
                      <w:highlight w:val="none"/>
                      <w:lang w:val="en-US" w:eastAsia="zh-CN"/>
                    </w:rPr>
                    <w:t>0.636</w:t>
                  </w:r>
                </w:p>
              </w:tc>
              <w:tc>
                <w:tcPr>
                  <w:tcW w:w="596" w:type="pct"/>
                  <w:vAlign w:val="center"/>
                </w:tcPr>
                <w:p w14:paraId="4C3AC3D7">
                  <w:pPr>
                    <w:pStyle w:val="3"/>
                    <w:spacing w:before="0" w:after="0" w:line="0" w:lineRule="atLeast"/>
                    <w:jc w:val="center"/>
                    <w:rPr>
                      <w:b w:val="0"/>
                      <w:color w:val="auto"/>
                      <w:sz w:val="21"/>
                      <w:szCs w:val="21"/>
                      <w:highlight w:val="none"/>
                    </w:rPr>
                  </w:pPr>
                  <w:r>
                    <w:rPr>
                      <w:b w:val="0"/>
                      <w:color w:val="auto"/>
                      <w:sz w:val="21"/>
                      <w:szCs w:val="21"/>
                      <w:highlight w:val="none"/>
                    </w:rPr>
                    <w:t>2</w:t>
                  </w:r>
                </w:p>
              </w:tc>
              <w:tc>
                <w:tcPr>
                  <w:tcW w:w="617" w:type="pct"/>
                  <w:vAlign w:val="center"/>
                </w:tcPr>
                <w:p w14:paraId="283834F2">
                  <w:pPr>
                    <w:spacing w:line="0" w:lineRule="atLeast"/>
                    <w:jc w:val="center"/>
                    <w:rPr>
                      <w:color w:val="auto"/>
                      <w:szCs w:val="21"/>
                      <w:highlight w:val="none"/>
                    </w:rPr>
                  </w:pPr>
                  <w:r>
                    <w:rPr>
                      <w:color w:val="auto"/>
                      <w:szCs w:val="21"/>
                      <w:highlight w:val="none"/>
                    </w:rPr>
                    <w:t>1</w:t>
                  </w:r>
                </w:p>
              </w:tc>
              <w:tc>
                <w:tcPr>
                  <w:tcW w:w="1201" w:type="pct"/>
                  <w:vAlign w:val="center"/>
                </w:tcPr>
                <w:p w14:paraId="644A9404">
                  <w:pPr>
                    <w:spacing w:line="0" w:lineRule="atLeast"/>
                    <w:jc w:val="both"/>
                    <w:rPr>
                      <w:rFonts w:hint="eastAsia" w:eastAsia="宋体"/>
                      <w:b/>
                      <w:bCs/>
                      <w:color w:val="auto"/>
                      <w:szCs w:val="21"/>
                      <w:lang w:eastAsia="zh-CN"/>
                    </w:rPr>
                  </w:pPr>
                  <w:r>
                    <w:rPr>
                      <w:color w:val="auto"/>
                      <w:szCs w:val="21"/>
                      <w:highlight w:val="none"/>
                    </w:rPr>
                    <w:t>企业应加强管理，一旦废气</w:t>
                  </w:r>
                  <w:r>
                    <w:rPr>
                      <w:rFonts w:hint="eastAsia"/>
                      <w:color w:val="auto"/>
                      <w:szCs w:val="21"/>
                      <w:highlight w:val="none"/>
                      <w:lang w:val="en-US" w:eastAsia="zh-CN"/>
                    </w:rPr>
                    <w:t>处</w:t>
                  </w:r>
                  <w:r>
                    <w:rPr>
                      <w:color w:val="auto"/>
                      <w:szCs w:val="21"/>
                      <w:highlight w:val="none"/>
                    </w:rPr>
                    <w:t>理设施故障</w:t>
                  </w:r>
                  <w:r>
                    <w:rPr>
                      <w:rFonts w:hint="eastAsia"/>
                      <w:color w:val="auto"/>
                      <w:szCs w:val="21"/>
                      <w:highlight w:val="none"/>
                      <w:lang w:val="en-US" w:eastAsia="zh-CN"/>
                    </w:rPr>
                    <w:t>立即</w:t>
                  </w:r>
                  <w:r>
                    <w:rPr>
                      <w:color w:val="auto"/>
                      <w:szCs w:val="21"/>
                      <w:highlight w:val="none"/>
                    </w:rPr>
                    <w:t>检修，防</w:t>
                  </w:r>
                  <w:r>
                    <w:rPr>
                      <w:rFonts w:hint="eastAsia"/>
                      <w:color w:val="auto"/>
                      <w:szCs w:val="21"/>
                      <w:highlight w:val="none"/>
                      <w:lang w:val="en-US" w:eastAsia="zh-CN"/>
                    </w:rPr>
                    <w:t>止</w:t>
                  </w:r>
                  <w:r>
                    <w:rPr>
                      <w:color w:val="auto"/>
                      <w:szCs w:val="21"/>
                      <w:highlight w:val="none"/>
                    </w:rPr>
                    <w:t>停产事故废气排放</w:t>
                  </w:r>
                  <w:r>
                    <w:rPr>
                      <w:rFonts w:hint="eastAsia"/>
                      <w:color w:val="auto"/>
                      <w:szCs w:val="21"/>
                      <w:highlight w:val="none"/>
                      <w:lang w:eastAsia="zh-CN"/>
                    </w:rPr>
                    <w:t>。</w:t>
                  </w:r>
                </w:p>
              </w:tc>
            </w:tr>
          </w:tbl>
          <w:p w14:paraId="23692C25">
            <w:pPr>
              <w:pStyle w:val="5"/>
              <w:ind w:firstLine="482"/>
              <w:rPr>
                <w:b/>
                <w:bCs/>
                <w:color w:val="auto"/>
              </w:rPr>
            </w:pPr>
            <w:r>
              <w:rPr>
                <w:rFonts w:hint="eastAsia"/>
                <w:b/>
                <w:bCs/>
                <w:color w:val="auto"/>
              </w:rPr>
              <w:t>6</w:t>
            </w:r>
            <w:r>
              <w:rPr>
                <w:b/>
                <w:bCs/>
                <w:color w:val="auto"/>
              </w:rPr>
              <w:t>、卫生防护距离分析</w:t>
            </w:r>
          </w:p>
          <w:p w14:paraId="7FE00C9F">
            <w:pPr>
              <w:spacing w:line="360" w:lineRule="auto"/>
              <w:ind w:firstLine="482"/>
              <w:rPr>
                <w:color w:val="auto"/>
                <w:sz w:val="24"/>
              </w:rPr>
            </w:pPr>
            <w:r>
              <w:rPr>
                <w:color w:val="auto"/>
                <w:sz w:val="24"/>
              </w:rPr>
              <w:t>本项目无组织排放污染物</w:t>
            </w:r>
            <w:r>
              <w:rPr>
                <w:rFonts w:hint="eastAsia"/>
                <w:color w:val="auto"/>
                <w:sz w:val="24"/>
                <w:lang w:val="en-US" w:eastAsia="zh-CN"/>
              </w:rPr>
              <w:t>为生产过程中</w:t>
            </w:r>
            <w:r>
              <w:rPr>
                <w:color w:val="auto"/>
                <w:sz w:val="24"/>
              </w:rPr>
              <w:t>产生的</w:t>
            </w:r>
            <w:r>
              <w:rPr>
                <w:rFonts w:hint="eastAsia"/>
                <w:color w:val="auto"/>
                <w:sz w:val="24"/>
                <w:lang w:val="en-US" w:eastAsia="zh-CN"/>
              </w:rPr>
              <w:t>废气</w:t>
            </w:r>
            <w:r>
              <w:rPr>
                <w:rFonts w:hint="default" w:ascii="Times New Roman" w:hAnsi="Times New Roman" w:cs="Times New Roman"/>
                <w:bCs/>
                <w:color w:val="auto"/>
                <w:sz w:val="24"/>
                <w:szCs w:val="24"/>
                <w:vertAlign w:val="baseline"/>
                <w:lang w:val="en-US" w:eastAsia="zh-CN"/>
              </w:rPr>
              <w:t>NMHC</w:t>
            </w:r>
            <w:r>
              <w:rPr>
                <w:rFonts w:hint="eastAsia"/>
                <w:color w:val="auto"/>
                <w:sz w:val="24"/>
                <w:vertAlign w:val="baseline"/>
                <w:lang w:eastAsia="zh-CN"/>
              </w:rPr>
              <w:t>。</w:t>
            </w:r>
            <w:r>
              <w:rPr>
                <w:color w:val="auto"/>
                <w:sz w:val="24"/>
              </w:rPr>
              <w:t>根据《大气有害物质无组织排放卫生防护距离推导技术导则》（GB/T39499-2020）规定，当目标企业无组织排放存在多种有毒有害污染物时，基于单个污染物的等标排放量计算结果，优先选择等标排放量最大的污染物为企业无组织排放的主要特征大气有害物质。当前两种污染物的等标排放量相差在10%以内时，需要同时选择这两种特征大气有害物质分别计算卫生防护距离初值。无组织排放污染源污染物等标计算结果见表4-</w:t>
            </w:r>
            <w:r>
              <w:rPr>
                <w:rFonts w:hint="eastAsia"/>
                <w:color w:val="auto"/>
                <w:sz w:val="24"/>
                <w:lang w:val="en-US" w:eastAsia="zh-CN"/>
              </w:rPr>
              <w:t>6</w:t>
            </w:r>
            <w:r>
              <w:rPr>
                <w:color w:val="auto"/>
                <w:sz w:val="24"/>
              </w:rPr>
              <w:t>。</w:t>
            </w:r>
          </w:p>
          <w:p w14:paraId="0114A8A1">
            <w:pPr>
              <w:pStyle w:val="95"/>
              <w:spacing w:before="0" w:after="0"/>
              <w:ind w:firstLine="498"/>
              <w:rPr>
                <w:color w:val="auto"/>
                <w:sz w:val="24"/>
              </w:rPr>
            </w:pPr>
            <w:r>
              <w:rPr>
                <w:color w:val="auto"/>
                <w:spacing w:val="4"/>
                <w:kern w:val="18"/>
                <w:sz w:val="24"/>
              </w:rPr>
              <w:t>表4-</w:t>
            </w:r>
            <w:r>
              <w:rPr>
                <w:rFonts w:hint="eastAsia"/>
                <w:color w:val="auto"/>
                <w:spacing w:val="4"/>
                <w:kern w:val="18"/>
                <w:sz w:val="24"/>
                <w:lang w:val="en-US" w:eastAsia="zh-CN"/>
              </w:rPr>
              <w:t>6</w:t>
            </w:r>
            <w:r>
              <w:rPr>
                <w:color w:val="auto"/>
                <w:spacing w:val="4"/>
                <w:kern w:val="18"/>
                <w:sz w:val="24"/>
              </w:rPr>
              <w:t xml:space="preserve">  等标负荷法计算结果表</w:t>
            </w:r>
          </w:p>
          <w:tbl>
            <w:tblPr>
              <w:tblStyle w:val="29"/>
              <w:tblW w:w="499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95"/>
              <w:gridCol w:w="1021"/>
              <w:gridCol w:w="1138"/>
              <w:gridCol w:w="1343"/>
              <w:gridCol w:w="1032"/>
              <w:gridCol w:w="996"/>
              <w:gridCol w:w="996"/>
              <w:gridCol w:w="998"/>
            </w:tblGrid>
            <w:tr w14:paraId="3A5516F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94" w:type="pct"/>
                  <w:vAlign w:val="center"/>
                </w:tcPr>
                <w:p w14:paraId="7D52BC6C">
                  <w:pPr>
                    <w:widowControl/>
                    <w:jc w:val="center"/>
                    <w:textAlignment w:val="center"/>
                    <w:rPr>
                      <w:rFonts w:hint="default" w:ascii="Times New Roman" w:hAnsi="Times New Roman" w:cs="Times New Roman"/>
                      <w:bCs/>
                      <w:color w:val="auto"/>
                      <w:sz w:val="24"/>
                    </w:rPr>
                  </w:pPr>
                  <w:r>
                    <w:rPr>
                      <w:rFonts w:hint="default" w:ascii="Times New Roman" w:hAnsi="Times New Roman" w:cs="Times New Roman"/>
                      <w:color w:val="auto"/>
                      <w:szCs w:val="21"/>
                    </w:rPr>
                    <w:t>污染源位置</w:t>
                  </w:r>
                </w:p>
              </w:tc>
              <w:tc>
                <w:tcPr>
                  <w:tcW w:w="609" w:type="pct"/>
                  <w:vAlign w:val="center"/>
                </w:tcPr>
                <w:p w14:paraId="17AB5162">
                  <w:pPr>
                    <w:widowControl/>
                    <w:jc w:val="center"/>
                    <w:textAlignment w:val="center"/>
                    <w:rPr>
                      <w:rFonts w:hint="default" w:ascii="Times New Roman" w:hAnsi="Times New Roman" w:cs="Times New Roman"/>
                      <w:bCs/>
                      <w:color w:val="auto"/>
                      <w:sz w:val="24"/>
                    </w:rPr>
                  </w:pPr>
                  <w:r>
                    <w:rPr>
                      <w:rFonts w:hint="default" w:ascii="Times New Roman" w:hAnsi="Times New Roman" w:cs="Times New Roman"/>
                      <w:color w:val="auto"/>
                      <w:szCs w:val="21"/>
                    </w:rPr>
                    <w:t>污染物名称</w:t>
                  </w:r>
                </w:p>
              </w:tc>
              <w:tc>
                <w:tcPr>
                  <w:tcW w:w="677" w:type="pct"/>
                  <w:vAlign w:val="center"/>
                </w:tcPr>
                <w:p w14:paraId="3CCBBB0C">
                  <w:pPr>
                    <w:widowControl/>
                    <w:jc w:val="center"/>
                    <w:textAlignment w:val="center"/>
                    <w:rPr>
                      <w:rFonts w:hint="default" w:ascii="Times New Roman" w:hAnsi="Times New Roman" w:cs="Times New Roman"/>
                      <w:bCs/>
                      <w:color w:val="auto"/>
                      <w:sz w:val="24"/>
                    </w:rPr>
                  </w:pPr>
                  <w:r>
                    <w:rPr>
                      <w:rFonts w:hint="default" w:ascii="Times New Roman" w:hAnsi="Times New Roman" w:cs="Times New Roman"/>
                      <w:color w:val="auto"/>
                      <w:szCs w:val="21"/>
                    </w:rPr>
                    <w:t>污染物源强Q</w:t>
                  </w:r>
                  <w:r>
                    <w:rPr>
                      <w:rFonts w:hint="default" w:ascii="Times New Roman" w:hAnsi="Times New Roman" w:cs="Times New Roman"/>
                      <w:color w:val="auto"/>
                      <w:szCs w:val="21"/>
                      <w:vertAlign w:val="subscript"/>
                    </w:rPr>
                    <w:t>C</w:t>
                  </w:r>
                  <w:r>
                    <w:rPr>
                      <w:rFonts w:hint="default" w:ascii="Times New Roman" w:hAnsi="Times New Roman" w:cs="Times New Roman"/>
                      <w:color w:val="auto"/>
                      <w:szCs w:val="21"/>
                    </w:rPr>
                    <w:t>（kg/h）</w:t>
                  </w:r>
                </w:p>
              </w:tc>
              <w:tc>
                <w:tcPr>
                  <w:tcW w:w="716" w:type="pct"/>
                  <w:vAlign w:val="center"/>
                </w:tcPr>
                <w:p w14:paraId="68ADC5FB">
                  <w:pPr>
                    <w:widowControl/>
                    <w:jc w:val="center"/>
                    <w:textAlignment w:val="center"/>
                    <w:rPr>
                      <w:rFonts w:hint="default" w:ascii="Times New Roman" w:hAnsi="Times New Roman" w:cs="Times New Roman"/>
                      <w:bCs/>
                      <w:color w:val="auto"/>
                      <w:sz w:val="24"/>
                    </w:rPr>
                  </w:pPr>
                  <w:r>
                    <w:rPr>
                      <w:rFonts w:hint="default" w:ascii="Times New Roman" w:hAnsi="Times New Roman" w:cs="Times New Roman"/>
                      <w:color w:val="auto"/>
                      <w:szCs w:val="21"/>
                    </w:rPr>
                    <w:t>评价标准Cm（mg/m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w:t>
                  </w:r>
                </w:p>
              </w:tc>
              <w:tc>
                <w:tcPr>
                  <w:tcW w:w="615" w:type="pct"/>
                  <w:vAlign w:val="center"/>
                </w:tcPr>
                <w:p w14:paraId="0580E92A">
                  <w:pPr>
                    <w:widowControl/>
                    <w:jc w:val="center"/>
                    <w:textAlignment w:val="center"/>
                    <w:rPr>
                      <w:rFonts w:hint="default" w:ascii="Times New Roman" w:hAnsi="Times New Roman" w:cs="Times New Roman"/>
                      <w:bCs/>
                      <w:color w:val="auto"/>
                      <w:sz w:val="24"/>
                    </w:rPr>
                  </w:pPr>
                  <w:r>
                    <w:rPr>
                      <w:rFonts w:hint="default" w:ascii="Times New Roman" w:hAnsi="Times New Roman" w:cs="Times New Roman"/>
                      <w:color w:val="auto"/>
                      <w:szCs w:val="21"/>
                    </w:rPr>
                    <w:t>等标排放负荷Q</w:t>
                  </w:r>
                  <w:r>
                    <w:rPr>
                      <w:rFonts w:hint="default" w:ascii="Times New Roman" w:hAnsi="Times New Roman" w:cs="Times New Roman"/>
                      <w:color w:val="auto"/>
                      <w:szCs w:val="21"/>
                      <w:vertAlign w:val="subscript"/>
                    </w:rPr>
                    <w:t>C</w:t>
                  </w:r>
                  <w:r>
                    <w:rPr>
                      <w:rFonts w:hint="default" w:ascii="Times New Roman" w:hAnsi="Times New Roman" w:cs="Times New Roman"/>
                      <w:color w:val="auto"/>
                      <w:szCs w:val="21"/>
                    </w:rPr>
                    <w:t>/Cm</w:t>
                  </w:r>
                </w:p>
              </w:tc>
              <w:tc>
                <w:tcPr>
                  <w:tcW w:w="594" w:type="pct"/>
                  <w:vAlign w:val="center"/>
                </w:tcPr>
                <w:p w14:paraId="346BD85E">
                  <w:pPr>
                    <w:widowControl/>
                    <w:jc w:val="center"/>
                    <w:textAlignment w:val="center"/>
                    <w:rPr>
                      <w:rFonts w:hint="default" w:ascii="Times New Roman" w:hAnsi="Times New Roman" w:cs="Times New Roman"/>
                      <w:bCs/>
                      <w:color w:val="auto"/>
                      <w:sz w:val="24"/>
                    </w:rPr>
                  </w:pPr>
                  <w:r>
                    <w:rPr>
                      <w:rFonts w:hint="default" w:ascii="Times New Roman" w:hAnsi="Times New Roman" w:cs="Times New Roman"/>
                      <w:color w:val="auto"/>
                      <w:szCs w:val="21"/>
                    </w:rPr>
                    <w:t>排名</w:t>
                  </w:r>
                </w:p>
              </w:tc>
              <w:tc>
                <w:tcPr>
                  <w:tcW w:w="594" w:type="pct"/>
                  <w:vAlign w:val="center"/>
                </w:tcPr>
                <w:p w14:paraId="22F72893">
                  <w:pPr>
                    <w:widowControl/>
                    <w:jc w:val="center"/>
                    <w:textAlignment w:val="center"/>
                    <w:rPr>
                      <w:rFonts w:hint="default" w:ascii="Times New Roman" w:hAnsi="Times New Roman" w:cs="Times New Roman"/>
                      <w:bCs/>
                      <w:color w:val="auto"/>
                      <w:sz w:val="24"/>
                    </w:rPr>
                  </w:pPr>
                  <w:r>
                    <w:rPr>
                      <w:rFonts w:hint="default" w:ascii="Times New Roman" w:hAnsi="Times New Roman" w:cs="Times New Roman"/>
                      <w:color w:val="auto"/>
                      <w:szCs w:val="21"/>
                    </w:rPr>
                    <w:t>是否参与计算</w:t>
                  </w:r>
                </w:p>
              </w:tc>
              <w:tc>
                <w:tcPr>
                  <w:tcW w:w="595" w:type="pct"/>
                  <w:vAlign w:val="center"/>
                </w:tcPr>
                <w:p w14:paraId="1B6C045E">
                  <w:pPr>
                    <w:widowControl/>
                    <w:jc w:val="center"/>
                    <w:textAlignment w:val="center"/>
                    <w:rPr>
                      <w:rFonts w:hint="default" w:ascii="Times New Roman" w:hAnsi="Times New Roman" w:cs="Times New Roman"/>
                      <w:bCs/>
                      <w:color w:val="auto"/>
                      <w:sz w:val="24"/>
                    </w:rPr>
                  </w:pPr>
                  <w:r>
                    <w:rPr>
                      <w:rFonts w:hint="default" w:ascii="Times New Roman" w:hAnsi="Times New Roman" w:cs="Times New Roman"/>
                      <w:b w:val="0"/>
                      <w:bCs w:val="0"/>
                      <w:color w:val="auto"/>
                      <w:kern w:val="0"/>
                      <w:szCs w:val="21"/>
                      <w:lang w:bidi="ar"/>
                    </w:rPr>
                    <w:t>备注</w:t>
                  </w:r>
                </w:p>
              </w:tc>
            </w:tr>
            <w:tr w14:paraId="5DA68A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94" w:type="pct"/>
                  <w:vAlign w:val="center"/>
                </w:tcPr>
                <w:p w14:paraId="34796DBB">
                  <w:pPr>
                    <w:widowControl/>
                    <w:jc w:val="center"/>
                    <w:textAlignment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彩印车间</w:t>
                  </w:r>
                </w:p>
              </w:tc>
              <w:tc>
                <w:tcPr>
                  <w:tcW w:w="609" w:type="pct"/>
                  <w:vAlign w:val="center"/>
                </w:tcPr>
                <w:p w14:paraId="3256DFDE">
                  <w:pPr>
                    <w:widowControl/>
                    <w:jc w:val="center"/>
                    <w:textAlignment w:val="center"/>
                    <w:rPr>
                      <w:rFonts w:hint="default" w:ascii="Times New Roman" w:hAnsi="Times New Roman" w:cs="Times New Roman"/>
                      <w:bCs/>
                      <w:color w:val="auto"/>
                      <w:sz w:val="21"/>
                      <w:szCs w:val="21"/>
                      <w:highlight w:val="none"/>
                      <w:lang w:val="en-US"/>
                    </w:rPr>
                  </w:pPr>
                  <w:r>
                    <w:rPr>
                      <w:rFonts w:hint="default" w:ascii="Times New Roman" w:hAnsi="Times New Roman" w:cs="Times New Roman"/>
                      <w:bCs/>
                      <w:color w:val="auto"/>
                      <w:sz w:val="21"/>
                      <w:szCs w:val="21"/>
                      <w:vertAlign w:val="baseline"/>
                      <w:lang w:val="en-US" w:eastAsia="zh-CN"/>
                    </w:rPr>
                    <w:t>NMHC</w:t>
                  </w:r>
                </w:p>
              </w:tc>
              <w:tc>
                <w:tcPr>
                  <w:tcW w:w="677" w:type="pct"/>
                  <w:vAlign w:val="center"/>
                </w:tcPr>
                <w:p w14:paraId="24FC8F04">
                  <w:pPr>
                    <w:pStyle w:val="3"/>
                    <w:pageBreakBefore w:val="0"/>
                    <w:kinsoku/>
                    <w:wordWrap/>
                    <w:overflowPunct/>
                    <w:topLinePunct w:val="0"/>
                    <w:autoSpaceDE/>
                    <w:autoSpaceDN/>
                    <w:bidi w:val="0"/>
                    <w:spacing w:before="0" w:after="0" w:line="240" w:lineRule="auto"/>
                    <w:ind w:left="0" w:leftChars="0" w:right="0" w:rightChars="0"/>
                    <w:jc w:val="center"/>
                    <w:rPr>
                      <w:rFonts w:hint="default" w:ascii="Times New Roman" w:hAnsi="Times New Roman" w:eastAsia="宋体" w:cs="Times New Roman"/>
                      <w:color w:val="auto"/>
                      <w:szCs w:val="21"/>
                      <w:highlight w:val="none"/>
                      <w:lang w:val="en-US" w:eastAsia="zh-CN"/>
                    </w:rPr>
                  </w:pPr>
                  <w:r>
                    <w:rPr>
                      <w:rFonts w:hint="eastAsia" w:cs="Times New Roman"/>
                      <w:b w:val="0"/>
                      <w:bCs w:val="0"/>
                      <w:color w:val="auto"/>
                      <w:sz w:val="21"/>
                      <w:szCs w:val="21"/>
                      <w:lang w:val="en-US" w:eastAsia="zh-CN"/>
                    </w:rPr>
                    <w:t>0.035</w:t>
                  </w:r>
                </w:p>
              </w:tc>
              <w:tc>
                <w:tcPr>
                  <w:tcW w:w="716" w:type="pct"/>
                  <w:vAlign w:val="center"/>
                </w:tcPr>
                <w:p w14:paraId="04863C71">
                  <w:pPr>
                    <w:widowControl/>
                    <w:jc w:val="center"/>
                    <w:textAlignment w:val="center"/>
                    <w:rPr>
                      <w:rFonts w:hint="eastAsia" w:ascii="Times New Roman" w:hAnsi="Times New Roman" w:eastAsia="宋体" w:cs="Times New Roman"/>
                      <w:color w:val="auto"/>
                      <w:szCs w:val="21"/>
                      <w:highlight w:val="none"/>
                      <w:lang w:val="en-US" w:eastAsia="zh-CN"/>
                    </w:rPr>
                  </w:pPr>
                  <w:r>
                    <w:rPr>
                      <w:color w:val="auto"/>
                      <w:kern w:val="0"/>
                      <w:szCs w:val="21"/>
                      <w:lang w:bidi="ar"/>
                    </w:rPr>
                    <w:t>0.6</w:t>
                  </w:r>
                </w:p>
              </w:tc>
              <w:tc>
                <w:tcPr>
                  <w:tcW w:w="615" w:type="pct"/>
                  <w:vAlign w:val="center"/>
                </w:tcPr>
                <w:p w14:paraId="717C8479">
                  <w:pPr>
                    <w:widowControl/>
                    <w:jc w:val="center"/>
                    <w:textAlignment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58333</w:t>
                  </w:r>
                </w:p>
              </w:tc>
              <w:tc>
                <w:tcPr>
                  <w:tcW w:w="594" w:type="pct"/>
                  <w:vAlign w:val="center"/>
                </w:tcPr>
                <w:p w14:paraId="7AD60B36">
                  <w:pPr>
                    <w:widowControl/>
                    <w:jc w:val="center"/>
                    <w:textAlignment w:val="center"/>
                    <w:rPr>
                      <w:rFonts w:hint="default" w:ascii="Times New Roman" w:hAnsi="Times New Roman" w:eastAsia="宋体" w:cs="Times New Roman"/>
                      <w:color w:val="auto"/>
                      <w:sz w:val="24"/>
                      <w:highlight w:val="none"/>
                      <w:lang w:val="en-US" w:eastAsia="zh-CN"/>
                    </w:rPr>
                  </w:pPr>
                  <w:r>
                    <w:rPr>
                      <w:rFonts w:hint="eastAsia" w:cs="Times New Roman"/>
                      <w:color w:val="auto"/>
                      <w:sz w:val="21"/>
                      <w:szCs w:val="21"/>
                      <w:highlight w:val="none"/>
                      <w:lang w:val="en-US" w:eastAsia="zh-CN"/>
                    </w:rPr>
                    <w:t>1</w:t>
                  </w:r>
                </w:p>
              </w:tc>
              <w:tc>
                <w:tcPr>
                  <w:tcW w:w="594" w:type="pct"/>
                  <w:vAlign w:val="center"/>
                </w:tcPr>
                <w:p w14:paraId="48929ADB">
                  <w:pPr>
                    <w:widowControl/>
                    <w:jc w:val="center"/>
                    <w:textAlignment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是</w:t>
                  </w:r>
                </w:p>
              </w:tc>
              <w:tc>
                <w:tcPr>
                  <w:tcW w:w="595" w:type="pct"/>
                  <w:vAlign w:val="center"/>
                </w:tcPr>
                <w:p w14:paraId="64938E1B">
                  <w:pPr>
                    <w:widowControl/>
                    <w:jc w:val="center"/>
                    <w:textAlignment w:val="center"/>
                    <w:rPr>
                      <w:rFonts w:hint="default" w:ascii="Times New Roman" w:hAnsi="Times New Roman" w:cs="Times New Roman"/>
                      <w:color w:val="auto"/>
                      <w:sz w:val="24"/>
                      <w:highlight w:val="none"/>
                    </w:rPr>
                  </w:pPr>
                  <w:r>
                    <w:rPr>
                      <w:rFonts w:hint="default" w:ascii="Times New Roman" w:hAnsi="Times New Roman" w:cs="Times New Roman"/>
                      <w:color w:val="auto"/>
                      <w:szCs w:val="21"/>
                      <w:highlight w:val="none"/>
                    </w:rPr>
                    <w:t>/</w:t>
                  </w:r>
                </w:p>
              </w:tc>
            </w:tr>
          </w:tbl>
          <w:p w14:paraId="460903D7">
            <w:pPr>
              <w:spacing w:line="360" w:lineRule="auto"/>
              <w:ind w:firstLine="482"/>
              <w:rPr>
                <w:color w:val="auto"/>
                <w:sz w:val="24"/>
                <w:lang w:val="zh-CN"/>
              </w:rPr>
            </w:pPr>
            <w:r>
              <w:rPr>
                <w:color w:val="auto"/>
                <w:sz w:val="24"/>
              </w:rPr>
              <w:t>本项目基于单个污染物的等标排放量计算结果，优先选择等标排放量大的无组织排放的主要特征大气有害物质计算卫生防护距离初值来确定卫生防护距离终值，因此本次评价针对主处理车间无组织排放的</w:t>
            </w:r>
            <w:r>
              <w:rPr>
                <w:rFonts w:hint="eastAsia"/>
                <w:color w:val="auto"/>
                <w:sz w:val="24"/>
              </w:rPr>
              <w:t>颗粒物</w:t>
            </w:r>
            <w:r>
              <w:rPr>
                <w:color w:val="auto"/>
                <w:sz w:val="24"/>
              </w:rPr>
              <w:t>的卫生防护距离进行计算，可由下式计算：</w:t>
            </w:r>
          </w:p>
          <w:p w14:paraId="1246123E">
            <w:pPr>
              <w:spacing w:line="360" w:lineRule="auto"/>
              <w:ind w:firstLine="480"/>
              <w:jc w:val="center"/>
              <w:rPr>
                <w:color w:val="auto"/>
                <w:sz w:val="24"/>
                <w:lang w:val="zh-CN" w:bidi="zh-CN"/>
              </w:rPr>
            </w:pPr>
            <w:r>
              <w:rPr>
                <w:color w:val="auto"/>
                <w:position w:val="-30"/>
                <w:sz w:val="24"/>
                <w:lang w:val="zh-CN" w:bidi="zh-CN"/>
              </w:rPr>
              <w:object>
                <v:shape id="_x0000_i1025" o:spt="75" type="#_x0000_t75" style="height:36pt;width:137.8pt;" o:ole="t" filled="f" o:preferrelative="t" stroked="f" coordsize="21600,21600">
                  <v:path/>
                  <v:fill on="f" focussize="0,0"/>
                  <v:stroke on="f" joinstyle="miter"/>
                  <v:imagedata r:id="rId18" o:title=""/>
                  <o:lock v:ext="edit" aspectratio="t"/>
                  <w10:wrap type="none"/>
                  <w10:anchorlock/>
                </v:shape>
                <o:OLEObject Type="Embed" ProgID="Equation.3" ShapeID="_x0000_i1025" DrawAspect="Content" ObjectID="_1468075725" r:id="rId17">
                  <o:LockedField>false</o:LockedField>
                </o:OLEObject>
              </w:object>
            </w:r>
          </w:p>
          <w:p w14:paraId="75FE9E57">
            <w:pPr>
              <w:spacing w:line="360" w:lineRule="auto"/>
              <w:ind w:firstLine="480"/>
              <w:rPr>
                <w:color w:val="auto"/>
                <w:sz w:val="24"/>
                <w:lang w:val="zh-CN" w:bidi="zh-CN"/>
              </w:rPr>
            </w:pPr>
            <w:r>
              <w:rPr>
                <w:color w:val="auto"/>
                <w:sz w:val="24"/>
                <w:lang w:val="zh-CN" w:bidi="zh-CN"/>
              </w:rPr>
              <w:t>式中：Q</w:t>
            </w:r>
            <w:r>
              <w:rPr>
                <w:color w:val="auto"/>
                <w:sz w:val="24"/>
                <w:vertAlign w:val="subscript"/>
                <w:lang w:val="zh-CN" w:bidi="zh-CN"/>
              </w:rPr>
              <w:t>C</w:t>
            </w:r>
            <w:r>
              <w:rPr>
                <w:color w:val="auto"/>
                <w:sz w:val="24"/>
                <w:lang w:val="zh-CN" w:bidi="zh-CN"/>
              </w:rPr>
              <w:t>――无组织排放的污染物量，kg/h；</w:t>
            </w:r>
          </w:p>
          <w:p w14:paraId="306698BA">
            <w:pPr>
              <w:spacing w:line="360" w:lineRule="auto"/>
              <w:ind w:firstLine="1200" w:firstLineChars="500"/>
              <w:rPr>
                <w:color w:val="auto"/>
                <w:sz w:val="24"/>
                <w:lang w:val="zh-CN" w:bidi="zh-CN"/>
              </w:rPr>
            </w:pPr>
            <w:r>
              <w:rPr>
                <w:color w:val="auto"/>
                <w:sz w:val="24"/>
                <w:lang w:val="zh-CN" w:bidi="zh-CN"/>
              </w:rPr>
              <w:t>C</w:t>
            </w:r>
            <w:r>
              <w:rPr>
                <w:color w:val="auto"/>
                <w:sz w:val="24"/>
                <w:vertAlign w:val="subscript"/>
                <w:lang w:val="zh-CN" w:bidi="zh-CN"/>
              </w:rPr>
              <w:t>m</w:t>
            </w:r>
            <w:r>
              <w:rPr>
                <w:color w:val="auto"/>
                <w:sz w:val="24"/>
                <w:lang w:val="zh-CN" w:bidi="zh-CN"/>
              </w:rPr>
              <w:t>――标准浓度限值，mg/m</w:t>
            </w:r>
            <w:r>
              <w:rPr>
                <w:color w:val="auto"/>
                <w:sz w:val="24"/>
                <w:vertAlign w:val="superscript"/>
                <w:lang w:val="zh-CN" w:bidi="zh-CN"/>
              </w:rPr>
              <w:t>3</w:t>
            </w:r>
            <w:r>
              <w:rPr>
                <w:color w:val="auto"/>
                <w:sz w:val="24"/>
                <w:lang w:val="zh-CN" w:bidi="zh-CN"/>
              </w:rPr>
              <w:t>；</w:t>
            </w:r>
          </w:p>
          <w:p w14:paraId="63DF8A9B">
            <w:pPr>
              <w:spacing w:line="360" w:lineRule="auto"/>
              <w:ind w:firstLine="1200" w:firstLineChars="500"/>
              <w:rPr>
                <w:color w:val="auto"/>
                <w:sz w:val="24"/>
                <w:lang w:val="zh-CN" w:bidi="zh-CN"/>
              </w:rPr>
            </w:pPr>
            <w:r>
              <w:rPr>
                <w:color w:val="auto"/>
                <w:sz w:val="24"/>
                <w:lang w:val="zh-CN" w:bidi="zh-CN"/>
              </w:rPr>
              <w:t>L――所需的卫生防护距离，m；</w:t>
            </w:r>
          </w:p>
          <w:p w14:paraId="27E8AFED">
            <w:pPr>
              <w:adjustRightInd w:val="0"/>
              <w:snapToGrid w:val="0"/>
              <w:spacing w:line="360" w:lineRule="auto"/>
              <w:ind w:firstLine="1200" w:firstLineChars="500"/>
              <w:rPr>
                <w:color w:val="auto"/>
                <w:sz w:val="24"/>
                <w:lang w:val="zh-CN" w:bidi="zh-CN"/>
              </w:rPr>
            </w:pPr>
            <w:r>
              <w:rPr>
                <w:color w:val="auto"/>
                <w:sz w:val="24"/>
                <w:lang w:val="zh-CN" w:bidi="zh-CN"/>
              </w:rPr>
              <w:t>R――无组织排放源的等效半径，m。</w:t>
            </w:r>
          </w:p>
          <w:p w14:paraId="6FAE78BB">
            <w:pPr>
              <w:adjustRightInd w:val="0"/>
              <w:snapToGrid w:val="0"/>
              <w:spacing w:line="360" w:lineRule="auto"/>
              <w:ind w:firstLine="1200" w:firstLineChars="500"/>
              <w:rPr>
                <w:color w:val="auto"/>
                <w:sz w:val="24"/>
              </w:rPr>
            </w:pPr>
            <w:r>
              <w:rPr>
                <w:color w:val="auto"/>
                <w:sz w:val="24"/>
              </w:rPr>
              <w:t>A、B、C、D——计算系数，从GB/T39499-2020中查取。</w:t>
            </w:r>
          </w:p>
          <w:p w14:paraId="467D6085">
            <w:pPr>
              <w:pStyle w:val="95"/>
              <w:spacing w:before="0" w:after="0"/>
              <w:ind w:firstLine="498"/>
              <w:rPr>
                <w:color w:val="auto"/>
                <w:spacing w:val="4"/>
                <w:kern w:val="18"/>
                <w:sz w:val="24"/>
              </w:rPr>
            </w:pPr>
            <w:r>
              <w:rPr>
                <w:color w:val="auto"/>
                <w:spacing w:val="4"/>
                <w:kern w:val="18"/>
                <w:sz w:val="24"/>
              </w:rPr>
              <w:t>表4-</w:t>
            </w:r>
            <w:r>
              <w:rPr>
                <w:rFonts w:hint="eastAsia"/>
                <w:color w:val="auto"/>
                <w:spacing w:val="4"/>
                <w:kern w:val="18"/>
                <w:sz w:val="24"/>
                <w:lang w:val="en-US" w:eastAsia="zh-CN"/>
              </w:rPr>
              <w:t>7</w:t>
            </w:r>
            <w:r>
              <w:rPr>
                <w:color w:val="auto"/>
                <w:spacing w:val="4"/>
                <w:kern w:val="18"/>
                <w:sz w:val="24"/>
              </w:rPr>
              <w:t xml:space="preserve">  卫生防护距离计算系数</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2204"/>
              <w:gridCol w:w="617"/>
              <w:gridCol w:w="617"/>
              <w:gridCol w:w="617"/>
              <w:gridCol w:w="756"/>
              <w:gridCol w:w="654"/>
              <w:gridCol w:w="642"/>
              <w:gridCol w:w="617"/>
              <w:gridCol w:w="617"/>
              <w:gridCol w:w="756"/>
            </w:tblGrid>
            <w:tr w14:paraId="126C66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55" w:type="pct"/>
                  <w:vMerge w:val="restart"/>
                  <w:tcBorders>
                    <w:tl2br w:val="nil"/>
                    <w:tr2bl w:val="nil"/>
                  </w:tcBorders>
                  <w:vAlign w:val="center"/>
                </w:tcPr>
                <w:p w14:paraId="27069C9E">
                  <w:pPr>
                    <w:pStyle w:val="7"/>
                    <w:adjustRightInd/>
                    <w:spacing w:line="240" w:lineRule="auto"/>
                    <w:ind w:left="0" w:firstLine="0"/>
                    <w:jc w:val="center"/>
                    <w:rPr>
                      <w:b/>
                      <w:bCs/>
                      <w:color w:val="auto"/>
                      <w:sz w:val="21"/>
                      <w:szCs w:val="21"/>
                    </w:rPr>
                  </w:pPr>
                  <w:r>
                    <w:rPr>
                      <w:b/>
                      <w:bCs/>
                      <w:color w:val="auto"/>
                      <w:sz w:val="21"/>
                      <w:szCs w:val="21"/>
                    </w:rPr>
                    <w:t>计</w:t>
                  </w:r>
                </w:p>
                <w:p w14:paraId="5933A585">
                  <w:pPr>
                    <w:pStyle w:val="7"/>
                    <w:adjustRightInd/>
                    <w:spacing w:line="240" w:lineRule="auto"/>
                    <w:ind w:left="0" w:firstLine="0"/>
                    <w:jc w:val="center"/>
                    <w:rPr>
                      <w:b/>
                      <w:bCs/>
                      <w:color w:val="auto"/>
                      <w:sz w:val="21"/>
                      <w:szCs w:val="21"/>
                    </w:rPr>
                  </w:pPr>
                  <w:r>
                    <w:rPr>
                      <w:b/>
                      <w:bCs/>
                      <w:color w:val="auto"/>
                      <w:sz w:val="21"/>
                      <w:szCs w:val="21"/>
                    </w:rPr>
                    <w:t>算</w:t>
                  </w:r>
                </w:p>
                <w:p w14:paraId="26AF4350">
                  <w:pPr>
                    <w:pStyle w:val="7"/>
                    <w:adjustRightInd/>
                    <w:spacing w:line="240" w:lineRule="auto"/>
                    <w:ind w:left="0" w:firstLine="0"/>
                    <w:jc w:val="center"/>
                    <w:rPr>
                      <w:b/>
                      <w:bCs/>
                      <w:color w:val="auto"/>
                      <w:sz w:val="21"/>
                      <w:szCs w:val="21"/>
                    </w:rPr>
                  </w:pPr>
                  <w:r>
                    <w:rPr>
                      <w:b/>
                      <w:bCs/>
                      <w:color w:val="auto"/>
                      <w:sz w:val="21"/>
                      <w:szCs w:val="21"/>
                    </w:rPr>
                    <w:t>系</w:t>
                  </w:r>
                </w:p>
                <w:p w14:paraId="5E3C1025">
                  <w:pPr>
                    <w:pStyle w:val="7"/>
                    <w:adjustRightInd/>
                    <w:spacing w:line="240" w:lineRule="auto"/>
                    <w:ind w:left="0" w:firstLine="0"/>
                    <w:jc w:val="center"/>
                    <w:rPr>
                      <w:b/>
                      <w:bCs/>
                      <w:color w:val="auto"/>
                      <w:sz w:val="21"/>
                      <w:szCs w:val="21"/>
                    </w:rPr>
                  </w:pPr>
                  <w:r>
                    <w:rPr>
                      <w:b/>
                      <w:bCs/>
                      <w:color w:val="auto"/>
                      <w:sz w:val="21"/>
                      <w:szCs w:val="21"/>
                    </w:rPr>
                    <w:t>数</w:t>
                  </w:r>
                </w:p>
              </w:tc>
              <w:tc>
                <w:tcPr>
                  <w:tcW w:w="1359" w:type="pct"/>
                  <w:vMerge w:val="restart"/>
                  <w:tcBorders>
                    <w:tl2br w:val="nil"/>
                    <w:tr2bl w:val="nil"/>
                  </w:tcBorders>
                  <w:vAlign w:val="center"/>
                </w:tcPr>
                <w:p w14:paraId="6E655C6B">
                  <w:pPr>
                    <w:pStyle w:val="7"/>
                    <w:adjustRightInd/>
                    <w:spacing w:line="240" w:lineRule="auto"/>
                    <w:ind w:left="0" w:firstLine="0"/>
                    <w:jc w:val="center"/>
                    <w:rPr>
                      <w:b/>
                      <w:bCs/>
                      <w:color w:val="auto"/>
                      <w:sz w:val="21"/>
                      <w:szCs w:val="21"/>
                    </w:rPr>
                  </w:pPr>
                  <w:r>
                    <w:rPr>
                      <w:rFonts w:hint="eastAsia"/>
                      <w:b/>
                      <w:bCs/>
                      <w:color w:val="auto"/>
                      <w:sz w:val="21"/>
                      <w:szCs w:val="21"/>
                    </w:rPr>
                    <w:t>项目所在地区近</w:t>
                  </w:r>
                  <w:r>
                    <w:rPr>
                      <w:b/>
                      <w:bCs/>
                      <w:color w:val="auto"/>
                      <w:sz w:val="21"/>
                      <w:szCs w:val="21"/>
                    </w:rPr>
                    <w:t>5年平均风速m/s</w:t>
                  </w:r>
                </w:p>
              </w:tc>
              <w:tc>
                <w:tcPr>
                  <w:tcW w:w="3384" w:type="pct"/>
                  <w:gridSpan w:val="9"/>
                  <w:tcBorders>
                    <w:tl2br w:val="nil"/>
                    <w:tr2bl w:val="nil"/>
                  </w:tcBorders>
                  <w:vAlign w:val="center"/>
                </w:tcPr>
                <w:p w14:paraId="3C1B79D3">
                  <w:pPr>
                    <w:pStyle w:val="7"/>
                    <w:adjustRightInd/>
                    <w:spacing w:line="240" w:lineRule="auto"/>
                    <w:ind w:left="0" w:firstLine="0"/>
                    <w:jc w:val="center"/>
                    <w:rPr>
                      <w:b/>
                      <w:bCs/>
                      <w:color w:val="auto"/>
                      <w:sz w:val="21"/>
                      <w:szCs w:val="21"/>
                    </w:rPr>
                  </w:pPr>
                  <w:r>
                    <w:rPr>
                      <w:b/>
                      <w:bCs/>
                      <w:color w:val="auto"/>
                      <w:sz w:val="21"/>
                      <w:szCs w:val="21"/>
                    </w:rPr>
                    <w:t>卫生防护距离L，m</w:t>
                  </w:r>
                </w:p>
              </w:tc>
            </w:tr>
            <w:tr w14:paraId="5CCDD6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55" w:type="pct"/>
                  <w:vMerge w:val="continue"/>
                  <w:tcBorders>
                    <w:tl2br w:val="nil"/>
                    <w:tr2bl w:val="nil"/>
                  </w:tcBorders>
                  <w:vAlign w:val="center"/>
                </w:tcPr>
                <w:p w14:paraId="010FDA07">
                  <w:pPr>
                    <w:pStyle w:val="7"/>
                    <w:adjustRightInd/>
                    <w:spacing w:line="240" w:lineRule="auto"/>
                    <w:ind w:left="0" w:firstLine="0"/>
                    <w:jc w:val="center"/>
                    <w:rPr>
                      <w:b/>
                      <w:bCs/>
                      <w:color w:val="auto"/>
                      <w:sz w:val="21"/>
                      <w:szCs w:val="21"/>
                    </w:rPr>
                  </w:pPr>
                </w:p>
              </w:tc>
              <w:tc>
                <w:tcPr>
                  <w:tcW w:w="1359" w:type="pct"/>
                  <w:vMerge w:val="continue"/>
                  <w:tcBorders>
                    <w:tl2br w:val="nil"/>
                    <w:tr2bl w:val="nil"/>
                  </w:tcBorders>
                  <w:vAlign w:val="center"/>
                </w:tcPr>
                <w:p w14:paraId="6066E619">
                  <w:pPr>
                    <w:pStyle w:val="7"/>
                    <w:adjustRightInd/>
                    <w:spacing w:line="240" w:lineRule="auto"/>
                    <w:ind w:left="0" w:firstLine="0"/>
                    <w:jc w:val="center"/>
                    <w:rPr>
                      <w:b/>
                      <w:bCs/>
                      <w:color w:val="auto"/>
                      <w:sz w:val="21"/>
                      <w:szCs w:val="21"/>
                    </w:rPr>
                  </w:pPr>
                </w:p>
              </w:tc>
              <w:tc>
                <w:tcPr>
                  <w:tcW w:w="959" w:type="pct"/>
                  <w:gridSpan w:val="3"/>
                  <w:tcBorders>
                    <w:tl2br w:val="nil"/>
                    <w:tr2bl w:val="nil"/>
                  </w:tcBorders>
                  <w:vAlign w:val="center"/>
                </w:tcPr>
                <w:p w14:paraId="18570265">
                  <w:pPr>
                    <w:pStyle w:val="7"/>
                    <w:adjustRightInd/>
                    <w:spacing w:line="240" w:lineRule="auto"/>
                    <w:ind w:left="0" w:firstLine="0"/>
                    <w:jc w:val="center"/>
                    <w:rPr>
                      <w:b/>
                      <w:bCs/>
                      <w:color w:val="auto"/>
                      <w:sz w:val="21"/>
                      <w:szCs w:val="21"/>
                    </w:rPr>
                  </w:pPr>
                  <w:r>
                    <w:rPr>
                      <w:b/>
                      <w:bCs/>
                      <w:color w:val="auto"/>
                      <w:sz w:val="21"/>
                      <w:szCs w:val="21"/>
                    </w:rPr>
                    <w:t>L≤1000</w:t>
                  </w:r>
                </w:p>
              </w:tc>
              <w:tc>
                <w:tcPr>
                  <w:tcW w:w="1310" w:type="pct"/>
                  <w:gridSpan w:val="3"/>
                  <w:tcBorders>
                    <w:tl2br w:val="nil"/>
                    <w:tr2bl w:val="nil"/>
                  </w:tcBorders>
                  <w:vAlign w:val="center"/>
                </w:tcPr>
                <w:p w14:paraId="031160D9">
                  <w:pPr>
                    <w:pStyle w:val="7"/>
                    <w:adjustRightInd/>
                    <w:spacing w:line="240" w:lineRule="auto"/>
                    <w:ind w:left="0" w:firstLine="0"/>
                    <w:jc w:val="center"/>
                    <w:rPr>
                      <w:b/>
                      <w:bCs/>
                      <w:color w:val="auto"/>
                      <w:sz w:val="21"/>
                      <w:szCs w:val="21"/>
                    </w:rPr>
                  </w:pPr>
                  <w:r>
                    <w:rPr>
                      <w:b/>
                      <w:bCs/>
                      <w:color w:val="auto"/>
                      <w:sz w:val="21"/>
                      <w:szCs w:val="21"/>
                    </w:rPr>
                    <w:t>1000＜L≤2000</w:t>
                  </w:r>
                </w:p>
              </w:tc>
              <w:tc>
                <w:tcPr>
                  <w:tcW w:w="1114" w:type="pct"/>
                  <w:gridSpan w:val="3"/>
                  <w:tcBorders>
                    <w:tl2br w:val="nil"/>
                    <w:tr2bl w:val="nil"/>
                  </w:tcBorders>
                  <w:vAlign w:val="center"/>
                </w:tcPr>
                <w:p w14:paraId="61439A68">
                  <w:pPr>
                    <w:pStyle w:val="7"/>
                    <w:adjustRightInd/>
                    <w:spacing w:line="240" w:lineRule="auto"/>
                    <w:ind w:left="0" w:firstLine="0"/>
                    <w:jc w:val="center"/>
                    <w:rPr>
                      <w:b/>
                      <w:bCs/>
                      <w:color w:val="auto"/>
                      <w:sz w:val="21"/>
                      <w:szCs w:val="21"/>
                    </w:rPr>
                  </w:pPr>
                  <w:r>
                    <w:rPr>
                      <w:b/>
                      <w:bCs/>
                      <w:color w:val="auto"/>
                      <w:sz w:val="21"/>
                      <w:szCs w:val="21"/>
                    </w:rPr>
                    <w:t>L＞2000</w:t>
                  </w:r>
                </w:p>
              </w:tc>
            </w:tr>
            <w:tr w14:paraId="0550F5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55" w:type="pct"/>
                  <w:vMerge w:val="continue"/>
                  <w:tcBorders>
                    <w:tl2br w:val="nil"/>
                    <w:tr2bl w:val="nil"/>
                  </w:tcBorders>
                  <w:vAlign w:val="center"/>
                </w:tcPr>
                <w:p w14:paraId="4899F1DC">
                  <w:pPr>
                    <w:pStyle w:val="7"/>
                    <w:adjustRightInd/>
                    <w:spacing w:line="240" w:lineRule="auto"/>
                    <w:ind w:left="0" w:firstLine="0"/>
                    <w:jc w:val="center"/>
                    <w:rPr>
                      <w:b/>
                      <w:bCs/>
                      <w:color w:val="auto"/>
                      <w:sz w:val="21"/>
                      <w:szCs w:val="21"/>
                    </w:rPr>
                  </w:pPr>
                </w:p>
              </w:tc>
              <w:tc>
                <w:tcPr>
                  <w:tcW w:w="1359" w:type="pct"/>
                  <w:vMerge w:val="continue"/>
                  <w:tcBorders>
                    <w:tl2br w:val="nil"/>
                    <w:tr2bl w:val="nil"/>
                  </w:tcBorders>
                  <w:vAlign w:val="center"/>
                </w:tcPr>
                <w:p w14:paraId="7EDAD8DB">
                  <w:pPr>
                    <w:pStyle w:val="7"/>
                    <w:adjustRightInd/>
                    <w:spacing w:line="240" w:lineRule="auto"/>
                    <w:ind w:left="0" w:firstLine="0"/>
                    <w:jc w:val="center"/>
                    <w:rPr>
                      <w:b/>
                      <w:bCs/>
                      <w:color w:val="auto"/>
                      <w:sz w:val="21"/>
                      <w:szCs w:val="21"/>
                    </w:rPr>
                  </w:pPr>
                </w:p>
              </w:tc>
              <w:tc>
                <w:tcPr>
                  <w:tcW w:w="3384" w:type="pct"/>
                  <w:gridSpan w:val="9"/>
                  <w:tcBorders>
                    <w:tl2br w:val="nil"/>
                    <w:tr2bl w:val="nil"/>
                  </w:tcBorders>
                  <w:vAlign w:val="center"/>
                </w:tcPr>
                <w:p w14:paraId="2CE10169">
                  <w:pPr>
                    <w:pStyle w:val="7"/>
                    <w:adjustRightInd/>
                    <w:spacing w:line="240" w:lineRule="auto"/>
                    <w:ind w:left="0" w:firstLine="0"/>
                    <w:jc w:val="center"/>
                    <w:rPr>
                      <w:b/>
                      <w:bCs/>
                      <w:color w:val="auto"/>
                      <w:sz w:val="21"/>
                      <w:szCs w:val="21"/>
                    </w:rPr>
                  </w:pPr>
                  <w:r>
                    <w:rPr>
                      <w:b/>
                      <w:bCs/>
                      <w:color w:val="auto"/>
                      <w:sz w:val="21"/>
                      <w:szCs w:val="21"/>
                    </w:rPr>
                    <w:t>工业大气污染源构成类别</w:t>
                  </w:r>
                </w:p>
              </w:tc>
            </w:tr>
            <w:tr w14:paraId="0B0ED2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55" w:type="pct"/>
                  <w:vMerge w:val="continue"/>
                  <w:tcBorders>
                    <w:tl2br w:val="nil"/>
                    <w:tr2bl w:val="nil"/>
                  </w:tcBorders>
                  <w:vAlign w:val="center"/>
                </w:tcPr>
                <w:p w14:paraId="36C1E7A5">
                  <w:pPr>
                    <w:pStyle w:val="7"/>
                    <w:adjustRightInd/>
                    <w:spacing w:line="240" w:lineRule="auto"/>
                    <w:ind w:left="0" w:firstLine="0"/>
                    <w:jc w:val="center"/>
                    <w:rPr>
                      <w:b/>
                      <w:bCs/>
                      <w:color w:val="auto"/>
                      <w:sz w:val="21"/>
                      <w:szCs w:val="21"/>
                    </w:rPr>
                  </w:pPr>
                </w:p>
              </w:tc>
              <w:tc>
                <w:tcPr>
                  <w:tcW w:w="1359" w:type="pct"/>
                  <w:vMerge w:val="continue"/>
                  <w:tcBorders>
                    <w:tl2br w:val="nil"/>
                    <w:tr2bl w:val="nil"/>
                  </w:tcBorders>
                  <w:vAlign w:val="center"/>
                </w:tcPr>
                <w:p w14:paraId="31C254B6">
                  <w:pPr>
                    <w:pStyle w:val="7"/>
                    <w:adjustRightInd/>
                    <w:spacing w:line="240" w:lineRule="auto"/>
                    <w:ind w:left="0" w:firstLine="0"/>
                    <w:jc w:val="center"/>
                    <w:rPr>
                      <w:b/>
                      <w:bCs/>
                      <w:color w:val="auto"/>
                      <w:sz w:val="21"/>
                      <w:szCs w:val="21"/>
                    </w:rPr>
                  </w:pPr>
                </w:p>
              </w:tc>
              <w:tc>
                <w:tcPr>
                  <w:tcW w:w="323" w:type="pct"/>
                  <w:tcBorders>
                    <w:tl2br w:val="nil"/>
                    <w:tr2bl w:val="nil"/>
                  </w:tcBorders>
                  <w:vAlign w:val="center"/>
                </w:tcPr>
                <w:p w14:paraId="282C1956">
                  <w:pPr>
                    <w:pStyle w:val="7"/>
                    <w:adjustRightInd/>
                    <w:spacing w:line="240" w:lineRule="auto"/>
                    <w:ind w:left="0" w:firstLine="0"/>
                    <w:jc w:val="center"/>
                    <w:rPr>
                      <w:b/>
                      <w:bCs/>
                      <w:color w:val="auto"/>
                      <w:sz w:val="21"/>
                      <w:szCs w:val="21"/>
                    </w:rPr>
                  </w:pPr>
                  <w:r>
                    <w:rPr>
                      <w:b/>
                      <w:bCs/>
                      <w:color w:val="auto"/>
                      <w:sz w:val="21"/>
                      <w:szCs w:val="21"/>
                    </w:rPr>
                    <w:t>Ⅰ</w:t>
                  </w:r>
                </w:p>
              </w:tc>
              <w:tc>
                <w:tcPr>
                  <w:tcW w:w="318" w:type="pct"/>
                  <w:tcBorders>
                    <w:tl2br w:val="nil"/>
                    <w:tr2bl w:val="nil"/>
                  </w:tcBorders>
                  <w:vAlign w:val="center"/>
                </w:tcPr>
                <w:p w14:paraId="6CDFB756">
                  <w:pPr>
                    <w:pStyle w:val="7"/>
                    <w:adjustRightInd/>
                    <w:spacing w:line="240" w:lineRule="auto"/>
                    <w:ind w:left="0" w:firstLine="0"/>
                    <w:jc w:val="center"/>
                    <w:rPr>
                      <w:b/>
                      <w:bCs/>
                      <w:color w:val="auto"/>
                      <w:sz w:val="21"/>
                      <w:szCs w:val="21"/>
                    </w:rPr>
                  </w:pPr>
                  <w:r>
                    <w:rPr>
                      <w:b/>
                      <w:bCs/>
                      <w:color w:val="auto"/>
                      <w:sz w:val="21"/>
                      <w:szCs w:val="21"/>
                    </w:rPr>
                    <w:t>Ⅱ</w:t>
                  </w:r>
                </w:p>
              </w:tc>
              <w:tc>
                <w:tcPr>
                  <w:tcW w:w="318" w:type="pct"/>
                  <w:tcBorders>
                    <w:tl2br w:val="nil"/>
                    <w:tr2bl w:val="nil"/>
                  </w:tcBorders>
                  <w:vAlign w:val="center"/>
                </w:tcPr>
                <w:p w14:paraId="5887A1A5">
                  <w:pPr>
                    <w:pStyle w:val="7"/>
                    <w:adjustRightInd/>
                    <w:spacing w:line="240" w:lineRule="auto"/>
                    <w:ind w:left="0" w:firstLine="0"/>
                    <w:jc w:val="center"/>
                    <w:rPr>
                      <w:b/>
                      <w:bCs/>
                      <w:color w:val="auto"/>
                      <w:sz w:val="21"/>
                      <w:szCs w:val="21"/>
                    </w:rPr>
                  </w:pPr>
                  <w:r>
                    <w:rPr>
                      <w:b/>
                      <w:bCs/>
                      <w:color w:val="auto"/>
                      <w:sz w:val="21"/>
                      <w:szCs w:val="21"/>
                    </w:rPr>
                    <w:t>Ⅲ</w:t>
                  </w:r>
                </w:p>
              </w:tc>
              <w:tc>
                <w:tcPr>
                  <w:tcW w:w="479" w:type="pct"/>
                  <w:tcBorders>
                    <w:tl2br w:val="nil"/>
                    <w:tr2bl w:val="nil"/>
                  </w:tcBorders>
                  <w:vAlign w:val="center"/>
                </w:tcPr>
                <w:p w14:paraId="1497B419">
                  <w:pPr>
                    <w:pStyle w:val="7"/>
                    <w:adjustRightInd/>
                    <w:spacing w:line="240" w:lineRule="auto"/>
                    <w:ind w:left="0" w:firstLine="0"/>
                    <w:jc w:val="center"/>
                    <w:rPr>
                      <w:b/>
                      <w:bCs/>
                      <w:color w:val="auto"/>
                      <w:sz w:val="21"/>
                      <w:szCs w:val="21"/>
                    </w:rPr>
                  </w:pPr>
                  <w:r>
                    <w:rPr>
                      <w:b/>
                      <w:bCs/>
                      <w:color w:val="auto"/>
                      <w:sz w:val="21"/>
                      <w:szCs w:val="21"/>
                    </w:rPr>
                    <w:t>Ⅰ</w:t>
                  </w:r>
                </w:p>
              </w:tc>
              <w:tc>
                <w:tcPr>
                  <w:tcW w:w="419" w:type="pct"/>
                  <w:tcBorders>
                    <w:tl2br w:val="nil"/>
                    <w:tr2bl w:val="nil"/>
                  </w:tcBorders>
                  <w:vAlign w:val="center"/>
                </w:tcPr>
                <w:p w14:paraId="7F4EF2AC">
                  <w:pPr>
                    <w:pStyle w:val="7"/>
                    <w:adjustRightInd/>
                    <w:spacing w:line="240" w:lineRule="auto"/>
                    <w:ind w:left="0" w:firstLine="0"/>
                    <w:jc w:val="center"/>
                    <w:rPr>
                      <w:b/>
                      <w:bCs/>
                      <w:color w:val="auto"/>
                      <w:sz w:val="21"/>
                      <w:szCs w:val="21"/>
                    </w:rPr>
                  </w:pPr>
                  <w:r>
                    <w:rPr>
                      <w:b/>
                      <w:bCs/>
                      <w:color w:val="auto"/>
                      <w:sz w:val="21"/>
                      <w:szCs w:val="21"/>
                    </w:rPr>
                    <w:t>Ⅱ</w:t>
                  </w:r>
                </w:p>
              </w:tc>
              <w:tc>
                <w:tcPr>
                  <w:tcW w:w="412" w:type="pct"/>
                  <w:tcBorders>
                    <w:tl2br w:val="nil"/>
                    <w:tr2bl w:val="nil"/>
                  </w:tcBorders>
                  <w:vAlign w:val="center"/>
                </w:tcPr>
                <w:p w14:paraId="498CAF7D">
                  <w:pPr>
                    <w:pStyle w:val="7"/>
                    <w:adjustRightInd/>
                    <w:spacing w:line="240" w:lineRule="auto"/>
                    <w:ind w:left="0" w:firstLine="0"/>
                    <w:jc w:val="center"/>
                    <w:rPr>
                      <w:b/>
                      <w:bCs/>
                      <w:color w:val="auto"/>
                      <w:sz w:val="21"/>
                      <w:szCs w:val="21"/>
                    </w:rPr>
                  </w:pPr>
                  <w:r>
                    <w:rPr>
                      <w:b/>
                      <w:bCs/>
                      <w:color w:val="auto"/>
                      <w:sz w:val="21"/>
                      <w:szCs w:val="21"/>
                    </w:rPr>
                    <w:t>Ⅲ</w:t>
                  </w:r>
                </w:p>
              </w:tc>
              <w:tc>
                <w:tcPr>
                  <w:tcW w:w="318" w:type="pct"/>
                  <w:tcBorders>
                    <w:tl2br w:val="nil"/>
                    <w:tr2bl w:val="nil"/>
                  </w:tcBorders>
                  <w:vAlign w:val="center"/>
                </w:tcPr>
                <w:p w14:paraId="6BBC354E">
                  <w:pPr>
                    <w:pStyle w:val="7"/>
                    <w:adjustRightInd/>
                    <w:spacing w:line="240" w:lineRule="auto"/>
                    <w:ind w:left="0" w:firstLine="0"/>
                    <w:jc w:val="center"/>
                    <w:rPr>
                      <w:b/>
                      <w:bCs/>
                      <w:color w:val="auto"/>
                      <w:sz w:val="21"/>
                      <w:szCs w:val="21"/>
                    </w:rPr>
                  </w:pPr>
                  <w:r>
                    <w:rPr>
                      <w:b/>
                      <w:bCs/>
                      <w:color w:val="auto"/>
                      <w:sz w:val="21"/>
                      <w:szCs w:val="21"/>
                    </w:rPr>
                    <w:t>Ⅰ</w:t>
                  </w:r>
                </w:p>
              </w:tc>
              <w:tc>
                <w:tcPr>
                  <w:tcW w:w="318" w:type="pct"/>
                  <w:tcBorders>
                    <w:tl2br w:val="nil"/>
                    <w:tr2bl w:val="nil"/>
                  </w:tcBorders>
                  <w:vAlign w:val="center"/>
                </w:tcPr>
                <w:p w14:paraId="02620DF8">
                  <w:pPr>
                    <w:pStyle w:val="7"/>
                    <w:adjustRightInd/>
                    <w:spacing w:line="240" w:lineRule="auto"/>
                    <w:ind w:left="0" w:firstLine="0"/>
                    <w:jc w:val="center"/>
                    <w:rPr>
                      <w:b/>
                      <w:bCs/>
                      <w:color w:val="auto"/>
                      <w:sz w:val="21"/>
                      <w:szCs w:val="21"/>
                    </w:rPr>
                  </w:pPr>
                  <w:r>
                    <w:rPr>
                      <w:b/>
                      <w:bCs/>
                      <w:color w:val="auto"/>
                      <w:sz w:val="21"/>
                      <w:szCs w:val="21"/>
                    </w:rPr>
                    <w:t>Ⅱ</w:t>
                  </w:r>
                </w:p>
              </w:tc>
              <w:tc>
                <w:tcPr>
                  <w:tcW w:w="478" w:type="pct"/>
                  <w:tcBorders>
                    <w:tl2br w:val="nil"/>
                    <w:tr2bl w:val="nil"/>
                  </w:tcBorders>
                  <w:vAlign w:val="center"/>
                </w:tcPr>
                <w:p w14:paraId="73752DF3">
                  <w:pPr>
                    <w:pStyle w:val="7"/>
                    <w:adjustRightInd/>
                    <w:spacing w:line="240" w:lineRule="auto"/>
                    <w:ind w:left="0" w:firstLine="0"/>
                    <w:jc w:val="center"/>
                    <w:rPr>
                      <w:b/>
                      <w:bCs/>
                      <w:color w:val="auto"/>
                      <w:sz w:val="21"/>
                      <w:szCs w:val="21"/>
                    </w:rPr>
                  </w:pPr>
                  <w:r>
                    <w:rPr>
                      <w:b/>
                      <w:bCs/>
                      <w:color w:val="auto"/>
                      <w:sz w:val="21"/>
                      <w:szCs w:val="21"/>
                    </w:rPr>
                    <w:t>Ⅲ</w:t>
                  </w:r>
                </w:p>
              </w:tc>
            </w:tr>
            <w:tr w14:paraId="332F1F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55" w:type="pct"/>
                  <w:vMerge w:val="restart"/>
                  <w:tcBorders>
                    <w:tl2br w:val="nil"/>
                    <w:tr2bl w:val="nil"/>
                  </w:tcBorders>
                  <w:vAlign w:val="center"/>
                </w:tcPr>
                <w:p w14:paraId="53DF0F77">
                  <w:pPr>
                    <w:pStyle w:val="7"/>
                    <w:adjustRightInd/>
                    <w:spacing w:line="240" w:lineRule="auto"/>
                    <w:ind w:left="0" w:firstLine="0"/>
                    <w:jc w:val="center"/>
                    <w:rPr>
                      <w:color w:val="auto"/>
                      <w:sz w:val="21"/>
                      <w:szCs w:val="21"/>
                    </w:rPr>
                  </w:pPr>
                  <w:r>
                    <w:rPr>
                      <w:color w:val="auto"/>
                      <w:sz w:val="21"/>
                      <w:szCs w:val="21"/>
                    </w:rPr>
                    <w:t>A</w:t>
                  </w:r>
                </w:p>
              </w:tc>
              <w:tc>
                <w:tcPr>
                  <w:tcW w:w="1359" w:type="pct"/>
                  <w:tcBorders>
                    <w:tl2br w:val="nil"/>
                    <w:tr2bl w:val="nil"/>
                  </w:tcBorders>
                  <w:vAlign w:val="center"/>
                </w:tcPr>
                <w:p w14:paraId="6909B15B">
                  <w:pPr>
                    <w:pStyle w:val="7"/>
                    <w:adjustRightInd/>
                    <w:spacing w:line="240" w:lineRule="auto"/>
                    <w:ind w:left="0" w:firstLine="0"/>
                    <w:jc w:val="center"/>
                    <w:rPr>
                      <w:color w:val="auto"/>
                      <w:sz w:val="21"/>
                      <w:szCs w:val="21"/>
                    </w:rPr>
                  </w:pPr>
                  <w:r>
                    <w:rPr>
                      <w:color w:val="auto"/>
                      <w:sz w:val="21"/>
                      <w:szCs w:val="21"/>
                    </w:rPr>
                    <w:t>＜2</w:t>
                  </w:r>
                </w:p>
              </w:tc>
              <w:tc>
                <w:tcPr>
                  <w:tcW w:w="323" w:type="pct"/>
                  <w:tcBorders>
                    <w:tl2br w:val="nil"/>
                    <w:tr2bl w:val="nil"/>
                  </w:tcBorders>
                  <w:vAlign w:val="center"/>
                </w:tcPr>
                <w:p w14:paraId="4D102A40">
                  <w:pPr>
                    <w:pStyle w:val="7"/>
                    <w:adjustRightInd/>
                    <w:spacing w:line="240" w:lineRule="auto"/>
                    <w:ind w:left="0" w:firstLine="0"/>
                    <w:jc w:val="center"/>
                    <w:rPr>
                      <w:color w:val="auto"/>
                      <w:sz w:val="21"/>
                      <w:szCs w:val="21"/>
                    </w:rPr>
                  </w:pPr>
                  <w:r>
                    <w:rPr>
                      <w:color w:val="auto"/>
                      <w:sz w:val="21"/>
                      <w:szCs w:val="21"/>
                    </w:rPr>
                    <w:t>400</w:t>
                  </w:r>
                </w:p>
              </w:tc>
              <w:tc>
                <w:tcPr>
                  <w:tcW w:w="318" w:type="pct"/>
                  <w:tcBorders>
                    <w:tl2br w:val="nil"/>
                    <w:tr2bl w:val="nil"/>
                  </w:tcBorders>
                  <w:vAlign w:val="center"/>
                </w:tcPr>
                <w:p w14:paraId="334A6159">
                  <w:pPr>
                    <w:pStyle w:val="7"/>
                    <w:adjustRightInd/>
                    <w:spacing w:line="240" w:lineRule="auto"/>
                    <w:ind w:left="0" w:firstLine="0"/>
                    <w:jc w:val="center"/>
                    <w:rPr>
                      <w:color w:val="auto"/>
                      <w:sz w:val="21"/>
                      <w:szCs w:val="21"/>
                    </w:rPr>
                  </w:pPr>
                  <w:r>
                    <w:rPr>
                      <w:color w:val="auto"/>
                      <w:sz w:val="21"/>
                      <w:szCs w:val="21"/>
                    </w:rPr>
                    <w:t>400</w:t>
                  </w:r>
                </w:p>
              </w:tc>
              <w:tc>
                <w:tcPr>
                  <w:tcW w:w="318" w:type="pct"/>
                  <w:tcBorders>
                    <w:tl2br w:val="nil"/>
                    <w:tr2bl w:val="nil"/>
                  </w:tcBorders>
                  <w:vAlign w:val="center"/>
                </w:tcPr>
                <w:p w14:paraId="1910E004">
                  <w:pPr>
                    <w:pStyle w:val="7"/>
                    <w:adjustRightInd/>
                    <w:spacing w:line="240" w:lineRule="auto"/>
                    <w:ind w:left="0" w:firstLine="0"/>
                    <w:jc w:val="center"/>
                    <w:rPr>
                      <w:color w:val="auto"/>
                      <w:sz w:val="21"/>
                      <w:szCs w:val="21"/>
                    </w:rPr>
                  </w:pPr>
                  <w:r>
                    <w:rPr>
                      <w:color w:val="auto"/>
                      <w:sz w:val="21"/>
                      <w:szCs w:val="21"/>
                    </w:rPr>
                    <w:t>400</w:t>
                  </w:r>
                </w:p>
              </w:tc>
              <w:tc>
                <w:tcPr>
                  <w:tcW w:w="479" w:type="pct"/>
                  <w:tcBorders>
                    <w:tl2br w:val="nil"/>
                    <w:tr2bl w:val="nil"/>
                  </w:tcBorders>
                  <w:vAlign w:val="center"/>
                </w:tcPr>
                <w:p w14:paraId="13C71A99">
                  <w:pPr>
                    <w:pStyle w:val="7"/>
                    <w:adjustRightInd/>
                    <w:spacing w:line="240" w:lineRule="auto"/>
                    <w:ind w:left="0" w:firstLine="0"/>
                    <w:jc w:val="center"/>
                    <w:rPr>
                      <w:color w:val="auto"/>
                      <w:sz w:val="21"/>
                      <w:szCs w:val="21"/>
                    </w:rPr>
                  </w:pPr>
                  <w:r>
                    <w:rPr>
                      <w:color w:val="auto"/>
                      <w:sz w:val="21"/>
                      <w:szCs w:val="21"/>
                    </w:rPr>
                    <w:t>400</w:t>
                  </w:r>
                </w:p>
              </w:tc>
              <w:tc>
                <w:tcPr>
                  <w:tcW w:w="419" w:type="pct"/>
                  <w:tcBorders>
                    <w:tl2br w:val="nil"/>
                    <w:tr2bl w:val="nil"/>
                  </w:tcBorders>
                  <w:vAlign w:val="center"/>
                </w:tcPr>
                <w:p w14:paraId="2F059C7C">
                  <w:pPr>
                    <w:pStyle w:val="7"/>
                    <w:adjustRightInd/>
                    <w:spacing w:line="240" w:lineRule="auto"/>
                    <w:ind w:left="0" w:firstLine="0"/>
                    <w:jc w:val="center"/>
                    <w:rPr>
                      <w:color w:val="auto"/>
                      <w:sz w:val="21"/>
                      <w:szCs w:val="21"/>
                    </w:rPr>
                  </w:pPr>
                  <w:r>
                    <w:rPr>
                      <w:color w:val="auto"/>
                      <w:sz w:val="21"/>
                      <w:szCs w:val="21"/>
                    </w:rPr>
                    <w:t>400</w:t>
                  </w:r>
                </w:p>
              </w:tc>
              <w:tc>
                <w:tcPr>
                  <w:tcW w:w="412" w:type="pct"/>
                  <w:tcBorders>
                    <w:tl2br w:val="nil"/>
                    <w:tr2bl w:val="nil"/>
                  </w:tcBorders>
                  <w:vAlign w:val="center"/>
                </w:tcPr>
                <w:p w14:paraId="1207AF68">
                  <w:pPr>
                    <w:pStyle w:val="7"/>
                    <w:adjustRightInd/>
                    <w:spacing w:line="240" w:lineRule="auto"/>
                    <w:ind w:left="0" w:firstLine="0"/>
                    <w:jc w:val="center"/>
                    <w:rPr>
                      <w:color w:val="auto"/>
                      <w:sz w:val="21"/>
                      <w:szCs w:val="21"/>
                    </w:rPr>
                  </w:pPr>
                  <w:r>
                    <w:rPr>
                      <w:color w:val="auto"/>
                      <w:sz w:val="21"/>
                      <w:szCs w:val="21"/>
                    </w:rPr>
                    <w:t>400</w:t>
                  </w:r>
                </w:p>
              </w:tc>
              <w:tc>
                <w:tcPr>
                  <w:tcW w:w="318" w:type="pct"/>
                  <w:tcBorders>
                    <w:tl2br w:val="nil"/>
                    <w:tr2bl w:val="nil"/>
                  </w:tcBorders>
                  <w:vAlign w:val="center"/>
                </w:tcPr>
                <w:p w14:paraId="13462E70">
                  <w:pPr>
                    <w:pStyle w:val="7"/>
                    <w:adjustRightInd/>
                    <w:spacing w:line="240" w:lineRule="auto"/>
                    <w:ind w:left="0" w:firstLine="0"/>
                    <w:jc w:val="center"/>
                    <w:rPr>
                      <w:color w:val="auto"/>
                      <w:sz w:val="21"/>
                      <w:szCs w:val="21"/>
                    </w:rPr>
                  </w:pPr>
                  <w:r>
                    <w:rPr>
                      <w:color w:val="auto"/>
                      <w:sz w:val="21"/>
                      <w:szCs w:val="21"/>
                    </w:rPr>
                    <w:t>80</w:t>
                  </w:r>
                </w:p>
              </w:tc>
              <w:tc>
                <w:tcPr>
                  <w:tcW w:w="318" w:type="pct"/>
                  <w:tcBorders>
                    <w:tl2br w:val="nil"/>
                    <w:tr2bl w:val="nil"/>
                  </w:tcBorders>
                  <w:vAlign w:val="center"/>
                </w:tcPr>
                <w:p w14:paraId="033F0D61">
                  <w:pPr>
                    <w:pStyle w:val="7"/>
                    <w:adjustRightInd/>
                    <w:spacing w:line="240" w:lineRule="auto"/>
                    <w:ind w:left="0" w:firstLine="0"/>
                    <w:jc w:val="center"/>
                    <w:rPr>
                      <w:color w:val="auto"/>
                      <w:sz w:val="21"/>
                      <w:szCs w:val="21"/>
                    </w:rPr>
                  </w:pPr>
                  <w:r>
                    <w:rPr>
                      <w:color w:val="auto"/>
                      <w:sz w:val="21"/>
                      <w:szCs w:val="21"/>
                    </w:rPr>
                    <w:t>80</w:t>
                  </w:r>
                </w:p>
              </w:tc>
              <w:tc>
                <w:tcPr>
                  <w:tcW w:w="478" w:type="pct"/>
                  <w:tcBorders>
                    <w:tl2br w:val="nil"/>
                    <w:tr2bl w:val="nil"/>
                  </w:tcBorders>
                  <w:vAlign w:val="center"/>
                </w:tcPr>
                <w:p w14:paraId="70F1D882">
                  <w:pPr>
                    <w:pStyle w:val="7"/>
                    <w:adjustRightInd/>
                    <w:spacing w:line="240" w:lineRule="auto"/>
                    <w:ind w:left="0" w:firstLine="0"/>
                    <w:jc w:val="center"/>
                    <w:rPr>
                      <w:color w:val="auto"/>
                      <w:sz w:val="21"/>
                      <w:szCs w:val="21"/>
                    </w:rPr>
                  </w:pPr>
                  <w:r>
                    <w:rPr>
                      <w:color w:val="auto"/>
                      <w:sz w:val="21"/>
                      <w:szCs w:val="21"/>
                    </w:rPr>
                    <w:t>80</w:t>
                  </w:r>
                </w:p>
              </w:tc>
            </w:tr>
            <w:tr w14:paraId="26FFE1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55" w:type="pct"/>
                  <w:vMerge w:val="continue"/>
                  <w:tcBorders>
                    <w:tl2br w:val="nil"/>
                    <w:tr2bl w:val="nil"/>
                  </w:tcBorders>
                  <w:vAlign w:val="center"/>
                </w:tcPr>
                <w:p w14:paraId="0D67036C">
                  <w:pPr>
                    <w:pStyle w:val="7"/>
                    <w:adjustRightInd/>
                    <w:spacing w:line="240" w:lineRule="auto"/>
                    <w:ind w:left="0" w:firstLine="0"/>
                    <w:jc w:val="center"/>
                    <w:rPr>
                      <w:color w:val="auto"/>
                      <w:sz w:val="21"/>
                      <w:szCs w:val="21"/>
                    </w:rPr>
                  </w:pPr>
                </w:p>
              </w:tc>
              <w:tc>
                <w:tcPr>
                  <w:tcW w:w="1359" w:type="pct"/>
                  <w:tcBorders>
                    <w:tl2br w:val="nil"/>
                    <w:tr2bl w:val="nil"/>
                  </w:tcBorders>
                  <w:vAlign w:val="center"/>
                </w:tcPr>
                <w:p w14:paraId="34D4F912">
                  <w:pPr>
                    <w:pStyle w:val="7"/>
                    <w:adjustRightInd/>
                    <w:spacing w:line="240" w:lineRule="auto"/>
                    <w:ind w:left="0" w:firstLine="0"/>
                    <w:jc w:val="center"/>
                    <w:rPr>
                      <w:color w:val="auto"/>
                      <w:sz w:val="21"/>
                      <w:szCs w:val="21"/>
                    </w:rPr>
                  </w:pPr>
                  <w:r>
                    <w:rPr>
                      <w:color w:val="auto"/>
                      <w:sz w:val="21"/>
                      <w:szCs w:val="21"/>
                    </w:rPr>
                    <w:t>2～4</w:t>
                  </w:r>
                </w:p>
              </w:tc>
              <w:tc>
                <w:tcPr>
                  <w:tcW w:w="323" w:type="pct"/>
                  <w:tcBorders>
                    <w:tl2br w:val="nil"/>
                    <w:tr2bl w:val="nil"/>
                  </w:tcBorders>
                  <w:vAlign w:val="center"/>
                </w:tcPr>
                <w:p w14:paraId="381F841D">
                  <w:pPr>
                    <w:pStyle w:val="7"/>
                    <w:adjustRightInd/>
                    <w:spacing w:line="240" w:lineRule="auto"/>
                    <w:ind w:left="0" w:firstLine="0"/>
                    <w:jc w:val="center"/>
                    <w:rPr>
                      <w:color w:val="auto"/>
                      <w:sz w:val="21"/>
                      <w:szCs w:val="21"/>
                    </w:rPr>
                  </w:pPr>
                  <w:r>
                    <w:rPr>
                      <w:color w:val="auto"/>
                      <w:sz w:val="21"/>
                      <w:szCs w:val="21"/>
                    </w:rPr>
                    <w:t>700</w:t>
                  </w:r>
                </w:p>
              </w:tc>
              <w:tc>
                <w:tcPr>
                  <w:tcW w:w="318" w:type="pct"/>
                  <w:tcBorders>
                    <w:tl2br w:val="nil"/>
                    <w:tr2bl w:val="nil"/>
                  </w:tcBorders>
                  <w:vAlign w:val="center"/>
                </w:tcPr>
                <w:p w14:paraId="01EFF9B9">
                  <w:pPr>
                    <w:pStyle w:val="7"/>
                    <w:adjustRightInd/>
                    <w:spacing w:line="240" w:lineRule="auto"/>
                    <w:ind w:left="0" w:firstLine="0"/>
                    <w:jc w:val="center"/>
                    <w:rPr>
                      <w:color w:val="auto"/>
                      <w:sz w:val="21"/>
                      <w:szCs w:val="21"/>
                    </w:rPr>
                  </w:pPr>
                  <w:r>
                    <w:rPr>
                      <w:color w:val="auto"/>
                      <w:sz w:val="21"/>
                      <w:szCs w:val="21"/>
                      <w:highlight w:val="lightGray"/>
                    </w:rPr>
                    <w:t>470</w:t>
                  </w:r>
                </w:p>
              </w:tc>
              <w:tc>
                <w:tcPr>
                  <w:tcW w:w="318" w:type="pct"/>
                  <w:tcBorders>
                    <w:tl2br w:val="nil"/>
                    <w:tr2bl w:val="nil"/>
                  </w:tcBorders>
                  <w:vAlign w:val="center"/>
                </w:tcPr>
                <w:p w14:paraId="405E3326">
                  <w:pPr>
                    <w:pStyle w:val="7"/>
                    <w:adjustRightInd/>
                    <w:spacing w:line="240" w:lineRule="auto"/>
                    <w:ind w:left="0" w:firstLine="0"/>
                    <w:jc w:val="center"/>
                    <w:rPr>
                      <w:color w:val="auto"/>
                      <w:sz w:val="21"/>
                      <w:szCs w:val="21"/>
                    </w:rPr>
                  </w:pPr>
                  <w:r>
                    <w:rPr>
                      <w:color w:val="auto"/>
                      <w:sz w:val="21"/>
                      <w:szCs w:val="21"/>
                    </w:rPr>
                    <w:t>350</w:t>
                  </w:r>
                </w:p>
              </w:tc>
              <w:tc>
                <w:tcPr>
                  <w:tcW w:w="479" w:type="pct"/>
                  <w:tcBorders>
                    <w:tl2br w:val="nil"/>
                    <w:tr2bl w:val="nil"/>
                  </w:tcBorders>
                  <w:vAlign w:val="center"/>
                </w:tcPr>
                <w:p w14:paraId="76D829F7">
                  <w:pPr>
                    <w:pStyle w:val="7"/>
                    <w:adjustRightInd/>
                    <w:spacing w:line="240" w:lineRule="auto"/>
                    <w:ind w:left="0" w:firstLine="0"/>
                    <w:jc w:val="center"/>
                    <w:rPr>
                      <w:color w:val="auto"/>
                      <w:sz w:val="21"/>
                      <w:szCs w:val="21"/>
                    </w:rPr>
                  </w:pPr>
                  <w:r>
                    <w:rPr>
                      <w:color w:val="auto"/>
                      <w:sz w:val="21"/>
                      <w:szCs w:val="21"/>
                    </w:rPr>
                    <w:t>700</w:t>
                  </w:r>
                </w:p>
              </w:tc>
              <w:tc>
                <w:tcPr>
                  <w:tcW w:w="419" w:type="pct"/>
                  <w:tcBorders>
                    <w:tl2br w:val="nil"/>
                    <w:tr2bl w:val="nil"/>
                  </w:tcBorders>
                  <w:vAlign w:val="center"/>
                </w:tcPr>
                <w:p w14:paraId="4DD9413F">
                  <w:pPr>
                    <w:pStyle w:val="7"/>
                    <w:adjustRightInd/>
                    <w:spacing w:line="240" w:lineRule="auto"/>
                    <w:ind w:left="0" w:firstLine="0"/>
                    <w:jc w:val="center"/>
                    <w:rPr>
                      <w:color w:val="auto"/>
                      <w:sz w:val="21"/>
                      <w:szCs w:val="21"/>
                    </w:rPr>
                  </w:pPr>
                  <w:r>
                    <w:rPr>
                      <w:color w:val="auto"/>
                      <w:sz w:val="21"/>
                      <w:szCs w:val="21"/>
                    </w:rPr>
                    <w:t>470</w:t>
                  </w:r>
                </w:p>
              </w:tc>
              <w:tc>
                <w:tcPr>
                  <w:tcW w:w="412" w:type="pct"/>
                  <w:tcBorders>
                    <w:tl2br w:val="nil"/>
                    <w:tr2bl w:val="nil"/>
                  </w:tcBorders>
                  <w:vAlign w:val="center"/>
                </w:tcPr>
                <w:p w14:paraId="22F26913">
                  <w:pPr>
                    <w:pStyle w:val="7"/>
                    <w:adjustRightInd/>
                    <w:spacing w:line="240" w:lineRule="auto"/>
                    <w:ind w:left="0" w:firstLine="0"/>
                    <w:jc w:val="center"/>
                    <w:rPr>
                      <w:color w:val="auto"/>
                      <w:sz w:val="21"/>
                      <w:szCs w:val="21"/>
                    </w:rPr>
                  </w:pPr>
                  <w:r>
                    <w:rPr>
                      <w:color w:val="auto"/>
                      <w:sz w:val="21"/>
                      <w:szCs w:val="21"/>
                    </w:rPr>
                    <w:t>350</w:t>
                  </w:r>
                </w:p>
              </w:tc>
              <w:tc>
                <w:tcPr>
                  <w:tcW w:w="318" w:type="pct"/>
                  <w:tcBorders>
                    <w:tl2br w:val="nil"/>
                    <w:tr2bl w:val="nil"/>
                  </w:tcBorders>
                  <w:vAlign w:val="center"/>
                </w:tcPr>
                <w:p w14:paraId="179416AF">
                  <w:pPr>
                    <w:pStyle w:val="7"/>
                    <w:adjustRightInd/>
                    <w:spacing w:line="240" w:lineRule="auto"/>
                    <w:ind w:left="0" w:firstLine="0"/>
                    <w:jc w:val="center"/>
                    <w:rPr>
                      <w:color w:val="auto"/>
                      <w:sz w:val="21"/>
                      <w:szCs w:val="21"/>
                    </w:rPr>
                  </w:pPr>
                  <w:r>
                    <w:rPr>
                      <w:color w:val="auto"/>
                      <w:sz w:val="21"/>
                      <w:szCs w:val="21"/>
                    </w:rPr>
                    <w:t>380</w:t>
                  </w:r>
                </w:p>
              </w:tc>
              <w:tc>
                <w:tcPr>
                  <w:tcW w:w="318" w:type="pct"/>
                  <w:tcBorders>
                    <w:tl2br w:val="nil"/>
                    <w:tr2bl w:val="nil"/>
                  </w:tcBorders>
                  <w:vAlign w:val="center"/>
                </w:tcPr>
                <w:p w14:paraId="155B04E7">
                  <w:pPr>
                    <w:pStyle w:val="7"/>
                    <w:adjustRightInd/>
                    <w:spacing w:line="240" w:lineRule="auto"/>
                    <w:ind w:left="0" w:firstLine="0"/>
                    <w:jc w:val="center"/>
                    <w:rPr>
                      <w:color w:val="auto"/>
                      <w:sz w:val="21"/>
                      <w:szCs w:val="21"/>
                    </w:rPr>
                  </w:pPr>
                  <w:r>
                    <w:rPr>
                      <w:color w:val="auto"/>
                      <w:sz w:val="21"/>
                      <w:szCs w:val="21"/>
                    </w:rPr>
                    <w:t>250</w:t>
                  </w:r>
                </w:p>
              </w:tc>
              <w:tc>
                <w:tcPr>
                  <w:tcW w:w="478" w:type="pct"/>
                  <w:tcBorders>
                    <w:tl2br w:val="nil"/>
                    <w:tr2bl w:val="nil"/>
                  </w:tcBorders>
                  <w:vAlign w:val="center"/>
                </w:tcPr>
                <w:p w14:paraId="04B17615">
                  <w:pPr>
                    <w:pStyle w:val="7"/>
                    <w:adjustRightInd/>
                    <w:spacing w:line="240" w:lineRule="auto"/>
                    <w:ind w:left="0" w:firstLine="0"/>
                    <w:jc w:val="center"/>
                    <w:rPr>
                      <w:color w:val="auto"/>
                      <w:sz w:val="21"/>
                      <w:szCs w:val="21"/>
                    </w:rPr>
                  </w:pPr>
                  <w:r>
                    <w:rPr>
                      <w:color w:val="auto"/>
                      <w:sz w:val="21"/>
                      <w:szCs w:val="21"/>
                    </w:rPr>
                    <w:t>190</w:t>
                  </w:r>
                </w:p>
              </w:tc>
            </w:tr>
            <w:tr w14:paraId="6087F3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55" w:type="pct"/>
                  <w:vMerge w:val="continue"/>
                  <w:tcBorders>
                    <w:tl2br w:val="nil"/>
                    <w:tr2bl w:val="nil"/>
                  </w:tcBorders>
                  <w:vAlign w:val="center"/>
                </w:tcPr>
                <w:p w14:paraId="1089793B">
                  <w:pPr>
                    <w:pStyle w:val="7"/>
                    <w:adjustRightInd/>
                    <w:spacing w:line="240" w:lineRule="auto"/>
                    <w:ind w:left="0" w:firstLine="0"/>
                    <w:jc w:val="center"/>
                    <w:rPr>
                      <w:color w:val="auto"/>
                      <w:sz w:val="21"/>
                      <w:szCs w:val="21"/>
                    </w:rPr>
                  </w:pPr>
                </w:p>
              </w:tc>
              <w:tc>
                <w:tcPr>
                  <w:tcW w:w="1359" w:type="pct"/>
                  <w:tcBorders>
                    <w:tl2br w:val="nil"/>
                    <w:tr2bl w:val="nil"/>
                  </w:tcBorders>
                  <w:vAlign w:val="center"/>
                </w:tcPr>
                <w:p w14:paraId="0E9A79AD">
                  <w:pPr>
                    <w:pStyle w:val="7"/>
                    <w:adjustRightInd/>
                    <w:spacing w:line="240" w:lineRule="auto"/>
                    <w:ind w:left="0" w:firstLine="0"/>
                    <w:jc w:val="center"/>
                    <w:rPr>
                      <w:color w:val="auto"/>
                      <w:sz w:val="21"/>
                      <w:szCs w:val="21"/>
                    </w:rPr>
                  </w:pPr>
                  <w:r>
                    <w:rPr>
                      <w:color w:val="auto"/>
                      <w:sz w:val="21"/>
                      <w:szCs w:val="21"/>
                    </w:rPr>
                    <w:t>＞4</w:t>
                  </w:r>
                </w:p>
              </w:tc>
              <w:tc>
                <w:tcPr>
                  <w:tcW w:w="323" w:type="pct"/>
                  <w:tcBorders>
                    <w:tl2br w:val="nil"/>
                    <w:tr2bl w:val="nil"/>
                  </w:tcBorders>
                  <w:vAlign w:val="center"/>
                </w:tcPr>
                <w:p w14:paraId="39146D4D">
                  <w:pPr>
                    <w:pStyle w:val="7"/>
                    <w:adjustRightInd/>
                    <w:spacing w:line="240" w:lineRule="auto"/>
                    <w:ind w:left="0" w:firstLine="0"/>
                    <w:jc w:val="center"/>
                    <w:rPr>
                      <w:color w:val="auto"/>
                      <w:sz w:val="21"/>
                      <w:szCs w:val="21"/>
                    </w:rPr>
                  </w:pPr>
                  <w:r>
                    <w:rPr>
                      <w:color w:val="auto"/>
                      <w:sz w:val="21"/>
                      <w:szCs w:val="21"/>
                    </w:rPr>
                    <w:t>530</w:t>
                  </w:r>
                </w:p>
              </w:tc>
              <w:tc>
                <w:tcPr>
                  <w:tcW w:w="318" w:type="pct"/>
                  <w:tcBorders>
                    <w:tl2br w:val="nil"/>
                    <w:tr2bl w:val="nil"/>
                  </w:tcBorders>
                  <w:vAlign w:val="center"/>
                </w:tcPr>
                <w:p w14:paraId="6F191157">
                  <w:pPr>
                    <w:pStyle w:val="7"/>
                    <w:adjustRightInd/>
                    <w:spacing w:line="240" w:lineRule="auto"/>
                    <w:ind w:left="0" w:firstLine="0"/>
                    <w:jc w:val="center"/>
                    <w:rPr>
                      <w:color w:val="auto"/>
                      <w:sz w:val="21"/>
                      <w:szCs w:val="21"/>
                    </w:rPr>
                  </w:pPr>
                  <w:r>
                    <w:rPr>
                      <w:color w:val="auto"/>
                      <w:sz w:val="21"/>
                      <w:szCs w:val="21"/>
                    </w:rPr>
                    <w:t>350</w:t>
                  </w:r>
                </w:p>
              </w:tc>
              <w:tc>
                <w:tcPr>
                  <w:tcW w:w="318" w:type="pct"/>
                  <w:tcBorders>
                    <w:tl2br w:val="nil"/>
                    <w:tr2bl w:val="nil"/>
                  </w:tcBorders>
                  <w:vAlign w:val="center"/>
                </w:tcPr>
                <w:p w14:paraId="1CCF5003">
                  <w:pPr>
                    <w:pStyle w:val="7"/>
                    <w:adjustRightInd/>
                    <w:spacing w:line="240" w:lineRule="auto"/>
                    <w:ind w:left="0" w:firstLine="0"/>
                    <w:jc w:val="center"/>
                    <w:rPr>
                      <w:color w:val="auto"/>
                      <w:sz w:val="21"/>
                      <w:szCs w:val="21"/>
                    </w:rPr>
                  </w:pPr>
                  <w:r>
                    <w:rPr>
                      <w:color w:val="auto"/>
                      <w:sz w:val="21"/>
                      <w:szCs w:val="21"/>
                    </w:rPr>
                    <w:t>260</w:t>
                  </w:r>
                </w:p>
              </w:tc>
              <w:tc>
                <w:tcPr>
                  <w:tcW w:w="479" w:type="pct"/>
                  <w:tcBorders>
                    <w:tl2br w:val="nil"/>
                    <w:tr2bl w:val="nil"/>
                  </w:tcBorders>
                  <w:vAlign w:val="center"/>
                </w:tcPr>
                <w:p w14:paraId="39F638E1">
                  <w:pPr>
                    <w:pStyle w:val="7"/>
                    <w:adjustRightInd/>
                    <w:spacing w:line="240" w:lineRule="auto"/>
                    <w:ind w:left="0" w:firstLine="0"/>
                    <w:jc w:val="center"/>
                    <w:rPr>
                      <w:color w:val="auto"/>
                      <w:sz w:val="21"/>
                      <w:szCs w:val="21"/>
                    </w:rPr>
                  </w:pPr>
                  <w:r>
                    <w:rPr>
                      <w:color w:val="auto"/>
                      <w:sz w:val="21"/>
                      <w:szCs w:val="21"/>
                    </w:rPr>
                    <w:t>530</w:t>
                  </w:r>
                </w:p>
              </w:tc>
              <w:tc>
                <w:tcPr>
                  <w:tcW w:w="419" w:type="pct"/>
                  <w:tcBorders>
                    <w:tl2br w:val="nil"/>
                    <w:tr2bl w:val="nil"/>
                  </w:tcBorders>
                  <w:vAlign w:val="center"/>
                </w:tcPr>
                <w:p w14:paraId="5A956203">
                  <w:pPr>
                    <w:pStyle w:val="7"/>
                    <w:adjustRightInd/>
                    <w:spacing w:line="240" w:lineRule="auto"/>
                    <w:ind w:left="0" w:firstLine="0"/>
                    <w:jc w:val="center"/>
                    <w:rPr>
                      <w:color w:val="auto"/>
                      <w:sz w:val="21"/>
                      <w:szCs w:val="21"/>
                    </w:rPr>
                  </w:pPr>
                  <w:r>
                    <w:rPr>
                      <w:color w:val="auto"/>
                      <w:sz w:val="21"/>
                      <w:szCs w:val="21"/>
                    </w:rPr>
                    <w:t>350</w:t>
                  </w:r>
                </w:p>
              </w:tc>
              <w:tc>
                <w:tcPr>
                  <w:tcW w:w="412" w:type="pct"/>
                  <w:tcBorders>
                    <w:tl2br w:val="nil"/>
                    <w:tr2bl w:val="nil"/>
                  </w:tcBorders>
                  <w:vAlign w:val="center"/>
                </w:tcPr>
                <w:p w14:paraId="63F6DFE1">
                  <w:pPr>
                    <w:pStyle w:val="7"/>
                    <w:adjustRightInd/>
                    <w:spacing w:line="240" w:lineRule="auto"/>
                    <w:ind w:left="0" w:firstLine="0"/>
                    <w:jc w:val="center"/>
                    <w:rPr>
                      <w:color w:val="auto"/>
                      <w:sz w:val="21"/>
                      <w:szCs w:val="21"/>
                    </w:rPr>
                  </w:pPr>
                  <w:r>
                    <w:rPr>
                      <w:color w:val="auto"/>
                      <w:sz w:val="21"/>
                      <w:szCs w:val="21"/>
                    </w:rPr>
                    <w:t>260</w:t>
                  </w:r>
                </w:p>
              </w:tc>
              <w:tc>
                <w:tcPr>
                  <w:tcW w:w="318" w:type="pct"/>
                  <w:tcBorders>
                    <w:tl2br w:val="nil"/>
                    <w:tr2bl w:val="nil"/>
                  </w:tcBorders>
                  <w:vAlign w:val="center"/>
                </w:tcPr>
                <w:p w14:paraId="0A799AA0">
                  <w:pPr>
                    <w:pStyle w:val="7"/>
                    <w:adjustRightInd/>
                    <w:spacing w:line="240" w:lineRule="auto"/>
                    <w:ind w:left="0" w:firstLine="0"/>
                    <w:jc w:val="center"/>
                    <w:rPr>
                      <w:color w:val="auto"/>
                      <w:sz w:val="21"/>
                      <w:szCs w:val="21"/>
                    </w:rPr>
                  </w:pPr>
                  <w:r>
                    <w:rPr>
                      <w:color w:val="auto"/>
                      <w:sz w:val="21"/>
                      <w:szCs w:val="21"/>
                    </w:rPr>
                    <w:t>290</w:t>
                  </w:r>
                </w:p>
              </w:tc>
              <w:tc>
                <w:tcPr>
                  <w:tcW w:w="318" w:type="pct"/>
                  <w:tcBorders>
                    <w:tl2br w:val="nil"/>
                    <w:tr2bl w:val="nil"/>
                  </w:tcBorders>
                  <w:vAlign w:val="center"/>
                </w:tcPr>
                <w:p w14:paraId="408F7021">
                  <w:pPr>
                    <w:pStyle w:val="7"/>
                    <w:adjustRightInd/>
                    <w:spacing w:line="240" w:lineRule="auto"/>
                    <w:ind w:left="0" w:firstLine="0"/>
                    <w:jc w:val="center"/>
                    <w:rPr>
                      <w:color w:val="auto"/>
                      <w:sz w:val="21"/>
                      <w:szCs w:val="21"/>
                    </w:rPr>
                  </w:pPr>
                  <w:r>
                    <w:rPr>
                      <w:color w:val="auto"/>
                      <w:sz w:val="21"/>
                      <w:szCs w:val="21"/>
                    </w:rPr>
                    <w:t>190</w:t>
                  </w:r>
                </w:p>
              </w:tc>
              <w:tc>
                <w:tcPr>
                  <w:tcW w:w="478" w:type="pct"/>
                  <w:tcBorders>
                    <w:tl2br w:val="nil"/>
                    <w:tr2bl w:val="nil"/>
                  </w:tcBorders>
                  <w:vAlign w:val="center"/>
                </w:tcPr>
                <w:p w14:paraId="4263981B">
                  <w:pPr>
                    <w:pStyle w:val="7"/>
                    <w:adjustRightInd/>
                    <w:spacing w:line="240" w:lineRule="auto"/>
                    <w:ind w:left="0" w:firstLine="0"/>
                    <w:jc w:val="center"/>
                    <w:rPr>
                      <w:color w:val="auto"/>
                      <w:sz w:val="21"/>
                      <w:szCs w:val="21"/>
                    </w:rPr>
                  </w:pPr>
                  <w:r>
                    <w:rPr>
                      <w:color w:val="auto"/>
                      <w:sz w:val="21"/>
                      <w:szCs w:val="21"/>
                    </w:rPr>
                    <w:t>140</w:t>
                  </w:r>
                </w:p>
              </w:tc>
            </w:tr>
            <w:tr w14:paraId="4B2CA0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55" w:type="pct"/>
                  <w:vMerge w:val="restart"/>
                  <w:tcBorders>
                    <w:tl2br w:val="nil"/>
                    <w:tr2bl w:val="nil"/>
                  </w:tcBorders>
                  <w:vAlign w:val="center"/>
                </w:tcPr>
                <w:p w14:paraId="501ED5D2">
                  <w:pPr>
                    <w:pStyle w:val="7"/>
                    <w:adjustRightInd/>
                    <w:spacing w:line="240" w:lineRule="auto"/>
                    <w:ind w:left="0" w:firstLine="0"/>
                    <w:jc w:val="center"/>
                    <w:rPr>
                      <w:color w:val="auto"/>
                      <w:sz w:val="21"/>
                      <w:szCs w:val="21"/>
                    </w:rPr>
                  </w:pPr>
                  <w:r>
                    <w:rPr>
                      <w:color w:val="auto"/>
                      <w:sz w:val="21"/>
                      <w:szCs w:val="21"/>
                    </w:rPr>
                    <w:t>B</w:t>
                  </w:r>
                </w:p>
              </w:tc>
              <w:tc>
                <w:tcPr>
                  <w:tcW w:w="1359" w:type="pct"/>
                  <w:tcBorders>
                    <w:tl2br w:val="nil"/>
                    <w:tr2bl w:val="nil"/>
                  </w:tcBorders>
                  <w:vAlign w:val="center"/>
                </w:tcPr>
                <w:p w14:paraId="10C4F23A">
                  <w:pPr>
                    <w:pStyle w:val="7"/>
                    <w:adjustRightInd/>
                    <w:spacing w:line="240" w:lineRule="auto"/>
                    <w:ind w:left="0" w:firstLine="0"/>
                    <w:jc w:val="center"/>
                    <w:rPr>
                      <w:color w:val="auto"/>
                      <w:sz w:val="21"/>
                      <w:szCs w:val="21"/>
                    </w:rPr>
                  </w:pPr>
                  <w:r>
                    <w:rPr>
                      <w:color w:val="auto"/>
                      <w:sz w:val="21"/>
                      <w:szCs w:val="21"/>
                    </w:rPr>
                    <w:t>＜2</w:t>
                  </w:r>
                </w:p>
              </w:tc>
              <w:tc>
                <w:tcPr>
                  <w:tcW w:w="959" w:type="pct"/>
                  <w:gridSpan w:val="3"/>
                  <w:tcBorders>
                    <w:tl2br w:val="nil"/>
                    <w:tr2bl w:val="nil"/>
                  </w:tcBorders>
                  <w:vAlign w:val="center"/>
                </w:tcPr>
                <w:p w14:paraId="20360AAB">
                  <w:pPr>
                    <w:pStyle w:val="7"/>
                    <w:adjustRightInd/>
                    <w:spacing w:line="240" w:lineRule="auto"/>
                    <w:ind w:left="0" w:firstLine="0"/>
                    <w:jc w:val="center"/>
                    <w:rPr>
                      <w:color w:val="auto"/>
                      <w:sz w:val="21"/>
                      <w:szCs w:val="21"/>
                    </w:rPr>
                  </w:pPr>
                  <w:r>
                    <w:rPr>
                      <w:color w:val="auto"/>
                      <w:sz w:val="21"/>
                      <w:szCs w:val="21"/>
                    </w:rPr>
                    <w:t>0.01</w:t>
                  </w:r>
                </w:p>
              </w:tc>
              <w:tc>
                <w:tcPr>
                  <w:tcW w:w="1310" w:type="pct"/>
                  <w:gridSpan w:val="3"/>
                  <w:tcBorders>
                    <w:tl2br w:val="nil"/>
                    <w:tr2bl w:val="nil"/>
                  </w:tcBorders>
                  <w:vAlign w:val="center"/>
                </w:tcPr>
                <w:p w14:paraId="67A51380">
                  <w:pPr>
                    <w:pStyle w:val="7"/>
                    <w:adjustRightInd/>
                    <w:spacing w:line="240" w:lineRule="auto"/>
                    <w:ind w:left="0" w:firstLine="0"/>
                    <w:jc w:val="center"/>
                    <w:rPr>
                      <w:color w:val="auto"/>
                      <w:sz w:val="21"/>
                      <w:szCs w:val="21"/>
                    </w:rPr>
                  </w:pPr>
                  <w:r>
                    <w:rPr>
                      <w:color w:val="auto"/>
                      <w:sz w:val="21"/>
                      <w:szCs w:val="21"/>
                    </w:rPr>
                    <w:t>0.015</w:t>
                  </w:r>
                </w:p>
              </w:tc>
              <w:tc>
                <w:tcPr>
                  <w:tcW w:w="1114" w:type="pct"/>
                  <w:gridSpan w:val="3"/>
                  <w:tcBorders>
                    <w:tl2br w:val="nil"/>
                    <w:tr2bl w:val="nil"/>
                  </w:tcBorders>
                  <w:vAlign w:val="center"/>
                </w:tcPr>
                <w:p w14:paraId="7F62B808">
                  <w:pPr>
                    <w:pStyle w:val="7"/>
                    <w:adjustRightInd/>
                    <w:spacing w:line="240" w:lineRule="auto"/>
                    <w:ind w:left="0" w:firstLine="0"/>
                    <w:jc w:val="center"/>
                    <w:rPr>
                      <w:color w:val="auto"/>
                      <w:sz w:val="21"/>
                      <w:szCs w:val="21"/>
                    </w:rPr>
                  </w:pPr>
                  <w:r>
                    <w:rPr>
                      <w:color w:val="auto"/>
                      <w:sz w:val="21"/>
                      <w:szCs w:val="21"/>
                    </w:rPr>
                    <w:t>0.015</w:t>
                  </w:r>
                </w:p>
              </w:tc>
            </w:tr>
            <w:tr w14:paraId="1DD991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55" w:type="pct"/>
                  <w:vMerge w:val="continue"/>
                  <w:tcBorders>
                    <w:tl2br w:val="nil"/>
                    <w:tr2bl w:val="nil"/>
                  </w:tcBorders>
                  <w:vAlign w:val="center"/>
                </w:tcPr>
                <w:p w14:paraId="71861A21">
                  <w:pPr>
                    <w:pStyle w:val="7"/>
                    <w:adjustRightInd/>
                    <w:spacing w:line="240" w:lineRule="auto"/>
                    <w:ind w:left="0" w:firstLine="0"/>
                    <w:jc w:val="center"/>
                    <w:rPr>
                      <w:color w:val="auto"/>
                      <w:sz w:val="21"/>
                      <w:szCs w:val="21"/>
                    </w:rPr>
                  </w:pPr>
                </w:p>
              </w:tc>
              <w:tc>
                <w:tcPr>
                  <w:tcW w:w="1359" w:type="pct"/>
                  <w:tcBorders>
                    <w:tl2br w:val="nil"/>
                    <w:tr2bl w:val="nil"/>
                  </w:tcBorders>
                  <w:vAlign w:val="center"/>
                </w:tcPr>
                <w:p w14:paraId="7F072370">
                  <w:pPr>
                    <w:pStyle w:val="7"/>
                    <w:adjustRightInd/>
                    <w:spacing w:line="240" w:lineRule="auto"/>
                    <w:ind w:left="0" w:firstLine="0"/>
                    <w:jc w:val="center"/>
                    <w:rPr>
                      <w:color w:val="auto"/>
                      <w:sz w:val="21"/>
                      <w:szCs w:val="21"/>
                    </w:rPr>
                  </w:pPr>
                  <w:r>
                    <w:rPr>
                      <w:color w:val="auto"/>
                      <w:sz w:val="21"/>
                      <w:szCs w:val="21"/>
                    </w:rPr>
                    <w:t>＞2</w:t>
                  </w:r>
                </w:p>
              </w:tc>
              <w:tc>
                <w:tcPr>
                  <w:tcW w:w="959" w:type="pct"/>
                  <w:gridSpan w:val="3"/>
                  <w:tcBorders>
                    <w:tl2br w:val="nil"/>
                    <w:tr2bl w:val="nil"/>
                  </w:tcBorders>
                  <w:vAlign w:val="center"/>
                </w:tcPr>
                <w:p w14:paraId="55D6CB3B">
                  <w:pPr>
                    <w:pStyle w:val="7"/>
                    <w:adjustRightInd/>
                    <w:spacing w:line="240" w:lineRule="auto"/>
                    <w:ind w:left="0" w:firstLine="0"/>
                    <w:jc w:val="center"/>
                    <w:rPr>
                      <w:color w:val="auto"/>
                      <w:sz w:val="21"/>
                      <w:szCs w:val="21"/>
                    </w:rPr>
                  </w:pPr>
                  <w:r>
                    <w:rPr>
                      <w:color w:val="auto"/>
                      <w:sz w:val="21"/>
                      <w:szCs w:val="21"/>
                      <w:highlight w:val="lightGray"/>
                    </w:rPr>
                    <w:t>0.021</w:t>
                  </w:r>
                </w:p>
              </w:tc>
              <w:tc>
                <w:tcPr>
                  <w:tcW w:w="1310" w:type="pct"/>
                  <w:gridSpan w:val="3"/>
                  <w:tcBorders>
                    <w:tl2br w:val="nil"/>
                    <w:tr2bl w:val="nil"/>
                  </w:tcBorders>
                  <w:vAlign w:val="center"/>
                </w:tcPr>
                <w:p w14:paraId="122337D9">
                  <w:pPr>
                    <w:pStyle w:val="7"/>
                    <w:adjustRightInd/>
                    <w:spacing w:line="240" w:lineRule="auto"/>
                    <w:ind w:left="0" w:firstLine="0"/>
                    <w:jc w:val="center"/>
                    <w:rPr>
                      <w:color w:val="auto"/>
                      <w:sz w:val="21"/>
                      <w:szCs w:val="21"/>
                    </w:rPr>
                  </w:pPr>
                  <w:r>
                    <w:rPr>
                      <w:color w:val="auto"/>
                      <w:sz w:val="21"/>
                      <w:szCs w:val="21"/>
                    </w:rPr>
                    <w:t>0.036</w:t>
                  </w:r>
                </w:p>
              </w:tc>
              <w:tc>
                <w:tcPr>
                  <w:tcW w:w="1114" w:type="pct"/>
                  <w:gridSpan w:val="3"/>
                  <w:tcBorders>
                    <w:tl2br w:val="nil"/>
                    <w:tr2bl w:val="nil"/>
                  </w:tcBorders>
                  <w:vAlign w:val="center"/>
                </w:tcPr>
                <w:p w14:paraId="4A87D906">
                  <w:pPr>
                    <w:pStyle w:val="7"/>
                    <w:adjustRightInd/>
                    <w:spacing w:line="240" w:lineRule="auto"/>
                    <w:ind w:left="0" w:firstLine="0"/>
                    <w:jc w:val="center"/>
                    <w:rPr>
                      <w:color w:val="auto"/>
                      <w:sz w:val="21"/>
                      <w:szCs w:val="21"/>
                    </w:rPr>
                  </w:pPr>
                  <w:r>
                    <w:rPr>
                      <w:color w:val="auto"/>
                      <w:sz w:val="21"/>
                      <w:szCs w:val="21"/>
                    </w:rPr>
                    <w:t>0.036</w:t>
                  </w:r>
                </w:p>
              </w:tc>
            </w:tr>
            <w:tr w14:paraId="2E4A42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55" w:type="pct"/>
                  <w:vMerge w:val="restart"/>
                  <w:tcBorders>
                    <w:tl2br w:val="nil"/>
                    <w:tr2bl w:val="nil"/>
                  </w:tcBorders>
                  <w:vAlign w:val="center"/>
                </w:tcPr>
                <w:p w14:paraId="588EE20D">
                  <w:pPr>
                    <w:pStyle w:val="7"/>
                    <w:adjustRightInd/>
                    <w:spacing w:line="240" w:lineRule="auto"/>
                    <w:ind w:left="0" w:firstLine="0"/>
                    <w:jc w:val="center"/>
                    <w:rPr>
                      <w:color w:val="auto"/>
                      <w:sz w:val="21"/>
                      <w:szCs w:val="21"/>
                    </w:rPr>
                  </w:pPr>
                  <w:r>
                    <w:rPr>
                      <w:color w:val="auto"/>
                      <w:sz w:val="21"/>
                      <w:szCs w:val="21"/>
                    </w:rPr>
                    <w:t>C</w:t>
                  </w:r>
                </w:p>
              </w:tc>
              <w:tc>
                <w:tcPr>
                  <w:tcW w:w="1359" w:type="pct"/>
                  <w:tcBorders>
                    <w:tl2br w:val="nil"/>
                    <w:tr2bl w:val="nil"/>
                  </w:tcBorders>
                  <w:vAlign w:val="center"/>
                </w:tcPr>
                <w:p w14:paraId="0EFA8FDC">
                  <w:pPr>
                    <w:pStyle w:val="7"/>
                    <w:adjustRightInd/>
                    <w:spacing w:line="240" w:lineRule="auto"/>
                    <w:ind w:left="0" w:firstLine="0"/>
                    <w:jc w:val="center"/>
                    <w:rPr>
                      <w:color w:val="auto"/>
                      <w:sz w:val="21"/>
                      <w:szCs w:val="21"/>
                    </w:rPr>
                  </w:pPr>
                  <w:r>
                    <w:rPr>
                      <w:color w:val="auto"/>
                      <w:sz w:val="21"/>
                      <w:szCs w:val="21"/>
                    </w:rPr>
                    <w:t>＜2</w:t>
                  </w:r>
                </w:p>
              </w:tc>
              <w:tc>
                <w:tcPr>
                  <w:tcW w:w="959" w:type="pct"/>
                  <w:gridSpan w:val="3"/>
                  <w:tcBorders>
                    <w:tl2br w:val="nil"/>
                    <w:tr2bl w:val="nil"/>
                  </w:tcBorders>
                  <w:vAlign w:val="center"/>
                </w:tcPr>
                <w:p w14:paraId="480C7391">
                  <w:pPr>
                    <w:pStyle w:val="7"/>
                    <w:adjustRightInd/>
                    <w:spacing w:line="240" w:lineRule="auto"/>
                    <w:ind w:left="0" w:firstLine="0"/>
                    <w:jc w:val="center"/>
                    <w:rPr>
                      <w:color w:val="auto"/>
                      <w:sz w:val="21"/>
                      <w:szCs w:val="21"/>
                    </w:rPr>
                  </w:pPr>
                  <w:r>
                    <w:rPr>
                      <w:color w:val="auto"/>
                      <w:sz w:val="21"/>
                      <w:szCs w:val="21"/>
                    </w:rPr>
                    <w:t>1.85</w:t>
                  </w:r>
                </w:p>
              </w:tc>
              <w:tc>
                <w:tcPr>
                  <w:tcW w:w="1310" w:type="pct"/>
                  <w:gridSpan w:val="3"/>
                  <w:tcBorders>
                    <w:tl2br w:val="nil"/>
                    <w:tr2bl w:val="nil"/>
                  </w:tcBorders>
                  <w:vAlign w:val="center"/>
                </w:tcPr>
                <w:p w14:paraId="772CB07D">
                  <w:pPr>
                    <w:pStyle w:val="7"/>
                    <w:adjustRightInd/>
                    <w:spacing w:line="240" w:lineRule="auto"/>
                    <w:ind w:left="0" w:firstLine="0"/>
                    <w:jc w:val="center"/>
                    <w:rPr>
                      <w:color w:val="auto"/>
                      <w:sz w:val="21"/>
                      <w:szCs w:val="21"/>
                    </w:rPr>
                  </w:pPr>
                  <w:r>
                    <w:rPr>
                      <w:color w:val="auto"/>
                      <w:sz w:val="21"/>
                      <w:szCs w:val="21"/>
                    </w:rPr>
                    <w:t>1.79</w:t>
                  </w:r>
                </w:p>
              </w:tc>
              <w:tc>
                <w:tcPr>
                  <w:tcW w:w="1114" w:type="pct"/>
                  <w:gridSpan w:val="3"/>
                  <w:tcBorders>
                    <w:tl2br w:val="nil"/>
                    <w:tr2bl w:val="nil"/>
                  </w:tcBorders>
                  <w:vAlign w:val="center"/>
                </w:tcPr>
                <w:p w14:paraId="4D5B2408">
                  <w:pPr>
                    <w:pStyle w:val="7"/>
                    <w:adjustRightInd/>
                    <w:spacing w:line="240" w:lineRule="auto"/>
                    <w:ind w:left="0" w:firstLine="0"/>
                    <w:jc w:val="center"/>
                    <w:rPr>
                      <w:color w:val="auto"/>
                      <w:sz w:val="21"/>
                      <w:szCs w:val="21"/>
                    </w:rPr>
                  </w:pPr>
                  <w:r>
                    <w:rPr>
                      <w:color w:val="auto"/>
                      <w:sz w:val="21"/>
                      <w:szCs w:val="21"/>
                    </w:rPr>
                    <w:t>1.79</w:t>
                  </w:r>
                </w:p>
              </w:tc>
            </w:tr>
            <w:tr w14:paraId="1527AF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55" w:type="pct"/>
                  <w:vMerge w:val="continue"/>
                  <w:tcBorders>
                    <w:tl2br w:val="nil"/>
                    <w:tr2bl w:val="nil"/>
                  </w:tcBorders>
                  <w:vAlign w:val="center"/>
                </w:tcPr>
                <w:p w14:paraId="1827E0E7">
                  <w:pPr>
                    <w:pStyle w:val="7"/>
                    <w:adjustRightInd/>
                    <w:spacing w:line="240" w:lineRule="auto"/>
                    <w:ind w:left="0" w:firstLine="0"/>
                    <w:jc w:val="center"/>
                    <w:rPr>
                      <w:color w:val="auto"/>
                      <w:sz w:val="21"/>
                      <w:szCs w:val="21"/>
                    </w:rPr>
                  </w:pPr>
                </w:p>
              </w:tc>
              <w:tc>
                <w:tcPr>
                  <w:tcW w:w="1359" w:type="pct"/>
                  <w:tcBorders>
                    <w:tl2br w:val="nil"/>
                    <w:tr2bl w:val="nil"/>
                  </w:tcBorders>
                  <w:vAlign w:val="center"/>
                </w:tcPr>
                <w:p w14:paraId="62B1D10B">
                  <w:pPr>
                    <w:pStyle w:val="7"/>
                    <w:adjustRightInd/>
                    <w:spacing w:line="240" w:lineRule="auto"/>
                    <w:ind w:left="0" w:firstLine="0"/>
                    <w:jc w:val="center"/>
                    <w:rPr>
                      <w:color w:val="auto"/>
                      <w:sz w:val="21"/>
                      <w:szCs w:val="21"/>
                    </w:rPr>
                  </w:pPr>
                  <w:r>
                    <w:rPr>
                      <w:color w:val="auto"/>
                      <w:sz w:val="21"/>
                      <w:szCs w:val="21"/>
                    </w:rPr>
                    <w:t>＞2</w:t>
                  </w:r>
                </w:p>
              </w:tc>
              <w:tc>
                <w:tcPr>
                  <w:tcW w:w="959" w:type="pct"/>
                  <w:gridSpan w:val="3"/>
                  <w:tcBorders>
                    <w:tl2br w:val="nil"/>
                    <w:tr2bl w:val="nil"/>
                  </w:tcBorders>
                  <w:vAlign w:val="center"/>
                </w:tcPr>
                <w:p w14:paraId="142548F8">
                  <w:pPr>
                    <w:pStyle w:val="7"/>
                    <w:adjustRightInd/>
                    <w:spacing w:line="240" w:lineRule="auto"/>
                    <w:ind w:left="0" w:firstLine="0"/>
                    <w:jc w:val="center"/>
                    <w:rPr>
                      <w:color w:val="auto"/>
                      <w:sz w:val="21"/>
                      <w:szCs w:val="21"/>
                    </w:rPr>
                  </w:pPr>
                  <w:r>
                    <w:rPr>
                      <w:color w:val="auto"/>
                      <w:sz w:val="21"/>
                      <w:szCs w:val="21"/>
                      <w:highlight w:val="lightGray"/>
                    </w:rPr>
                    <w:t>1.85</w:t>
                  </w:r>
                </w:p>
              </w:tc>
              <w:tc>
                <w:tcPr>
                  <w:tcW w:w="1310" w:type="pct"/>
                  <w:gridSpan w:val="3"/>
                  <w:tcBorders>
                    <w:tl2br w:val="nil"/>
                    <w:tr2bl w:val="nil"/>
                  </w:tcBorders>
                  <w:vAlign w:val="center"/>
                </w:tcPr>
                <w:p w14:paraId="1721F77A">
                  <w:pPr>
                    <w:pStyle w:val="7"/>
                    <w:adjustRightInd/>
                    <w:spacing w:line="240" w:lineRule="auto"/>
                    <w:ind w:left="0" w:firstLine="0"/>
                    <w:jc w:val="center"/>
                    <w:rPr>
                      <w:color w:val="auto"/>
                      <w:sz w:val="21"/>
                      <w:szCs w:val="21"/>
                    </w:rPr>
                  </w:pPr>
                  <w:r>
                    <w:rPr>
                      <w:color w:val="auto"/>
                      <w:sz w:val="21"/>
                      <w:szCs w:val="21"/>
                    </w:rPr>
                    <w:t>1.77</w:t>
                  </w:r>
                </w:p>
              </w:tc>
              <w:tc>
                <w:tcPr>
                  <w:tcW w:w="1114" w:type="pct"/>
                  <w:gridSpan w:val="3"/>
                  <w:tcBorders>
                    <w:tl2br w:val="nil"/>
                    <w:tr2bl w:val="nil"/>
                  </w:tcBorders>
                  <w:vAlign w:val="center"/>
                </w:tcPr>
                <w:p w14:paraId="53D7ED5C">
                  <w:pPr>
                    <w:pStyle w:val="7"/>
                    <w:adjustRightInd/>
                    <w:spacing w:line="240" w:lineRule="auto"/>
                    <w:ind w:left="0" w:firstLine="0"/>
                    <w:jc w:val="center"/>
                    <w:rPr>
                      <w:color w:val="auto"/>
                      <w:sz w:val="21"/>
                      <w:szCs w:val="21"/>
                    </w:rPr>
                  </w:pPr>
                  <w:r>
                    <w:rPr>
                      <w:color w:val="auto"/>
                      <w:sz w:val="21"/>
                      <w:szCs w:val="21"/>
                    </w:rPr>
                    <w:t>1.77</w:t>
                  </w:r>
                </w:p>
              </w:tc>
            </w:tr>
            <w:tr w14:paraId="2552CD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55" w:type="pct"/>
                  <w:vMerge w:val="restart"/>
                  <w:tcBorders>
                    <w:tl2br w:val="nil"/>
                    <w:tr2bl w:val="nil"/>
                  </w:tcBorders>
                  <w:vAlign w:val="center"/>
                </w:tcPr>
                <w:p w14:paraId="556CC64E">
                  <w:pPr>
                    <w:pStyle w:val="7"/>
                    <w:adjustRightInd/>
                    <w:spacing w:line="240" w:lineRule="auto"/>
                    <w:ind w:left="0" w:firstLine="0"/>
                    <w:jc w:val="center"/>
                    <w:rPr>
                      <w:color w:val="auto"/>
                      <w:sz w:val="21"/>
                      <w:szCs w:val="21"/>
                    </w:rPr>
                  </w:pPr>
                  <w:r>
                    <w:rPr>
                      <w:color w:val="auto"/>
                      <w:sz w:val="21"/>
                      <w:szCs w:val="21"/>
                    </w:rPr>
                    <w:t>D</w:t>
                  </w:r>
                </w:p>
              </w:tc>
              <w:tc>
                <w:tcPr>
                  <w:tcW w:w="1359" w:type="pct"/>
                  <w:tcBorders>
                    <w:tl2br w:val="nil"/>
                    <w:tr2bl w:val="nil"/>
                  </w:tcBorders>
                  <w:vAlign w:val="center"/>
                </w:tcPr>
                <w:p w14:paraId="1A7C529C">
                  <w:pPr>
                    <w:pStyle w:val="7"/>
                    <w:adjustRightInd/>
                    <w:spacing w:line="240" w:lineRule="auto"/>
                    <w:ind w:left="0" w:firstLine="0"/>
                    <w:jc w:val="center"/>
                    <w:rPr>
                      <w:color w:val="auto"/>
                      <w:sz w:val="21"/>
                      <w:szCs w:val="21"/>
                    </w:rPr>
                  </w:pPr>
                  <w:r>
                    <w:rPr>
                      <w:color w:val="auto"/>
                      <w:sz w:val="21"/>
                      <w:szCs w:val="21"/>
                    </w:rPr>
                    <w:t>＜2</w:t>
                  </w:r>
                </w:p>
              </w:tc>
              <w:tc>
                <w:tcPr>
                  <w:tcW w:w="959" w:type="pct"/>
                  <w:gridSpan w:val="3"/>
                  <w:tcBorders>
                    <w:tl2br w:val="nil"/>
                    <w:tr2bl w:val="nil"/>
                  </w:tcBorders>
                  <w:vAlign w:val="center"/>
                </w:tcPr>
                <w:p w14:paraId="67F51BB0">
                  <w:pPr>
                    <w:pStyle w:val="7"/>
                    <w:adjustRightInd/>
                    <w:spacing w:line="240" w:lineRule="auto"/>
                    <w:ind w:left="0" w:firstLine="0"/>
                    <w:jc w:val="center"/>
                    <w:rPr>
                      <w:color w:val="auto"/>
                      <w:sz w:val="21"/>
                      <w:szCs w:val="21"/>
                    </w:rPr>
                  </w:pPr>
                  <w:r>
                    <w:rPr>
                      <w:color w:val="auto"/>
                      <w:sz w:val="21"/>
                      <w:szCs w:val="21"/>
                    </w:rPr>
                    <w:t>0.78</w:t>
                  </w:r>
                </w:p>
              </w:tc>
              <w:tc>
                <w:tcPr>
                  <w:tcW w:w="1310" w:type="pct"/>
                  <w:gridSpan w:val="3"/>
                  <w:tcBorders>
                    <w:tl2br w:val="nil"/>
                    <w:tr2bl w:val="nil"/>
                  </w:tcBorders>
                  <w:vAlign w:val="center"/>
                </w:tcPr>
                <w:p w14:paraId="7F6CE2BC">
                  <w:pPr>
                    <w:pStyle w:val="7"/>
                    <w:adjustRightInd/>
                    <w:spacing w:line="240" w:lineRule="auto"/>
                    <w:ind w:left="0" w:firstLine="0"/>
                    <w:jc w:val="center"/>
                    <w:rPr>
                      <w:color w:val="auto"/>
                      <w:sz w:val="21"/>
                      <w:szCs w:val="21"/>
                    </w:rPr>
                  </w:pPr>
                  <w:r>
                    <w:rPr>
                      <w:color w:val="auto"/>
                      <w:sz w:val="21"/>
                      <w:szCs w:val="21"/>
                    </w:rPr>
                    <w:t>0.78</w:t>
                  </w:r>
                </w:p>
              </w:tc>
              <w:tc>
                <w:tcPr>
                  <w:tcW w:w="1114" w:type="pct"/>
                  <w:gridSpan w:val="3"/>
                  <w:tcBorders>
                    <w:tl2br w:val="nil"/>
                    <w:tr2bl w:val="nil"/>
                  </w:tcBorders>
                  <w:vAlign w:val="center"/>
                </w:tcPr>
                <w:p w14:paraId="14B82905">
                  <w:pPr>
                    <w:pStyle w:val="7"/>
                    <w:adjustRightInd/>
                    <w:spacing w:line="240" w:lineRule="auto"/>
                    <w:ind w:left="0" w:firstLine="0"/>
                    <w:jc w:val="center"/>
                    <w:rPr>
                      <w:color w:val="auto"/>
                      <w:sz w:val="21"/>
                      <w:szCs w:val="21"/>
                    </w:rPr>
                  </w:pPr>
                  <w:r>
                    <w:rPr>
                      <w:color w:val="auto"/>
                      <w:sz w:val="21"/>
                      <w:szCs w:val="21"/>
                    </w:rPr>
                    <w:t>0.57</w:t>
                  </w:r>
                </w:p>
              </w:tc>
            </w:tr>
            <w:tr w14:paraId="39F9D4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55" w:type="pct"/>
                  <w:vMerge w:val="continue"/>
                  <w:tcBorders>
                    <w:tl2br w:val="nil"/>
                    <w:tr2bl w:val="nil"/>
                  </w:tcBorders>
                  <w:vAlign w:val="center"/>
                </w:tcPr>
                <w:p w14:paraId="485D8511">
                  <w:pPr>
                    <w:pStyle w:val="7"/>
                    <w:adjustRightInd/>
                    <w:spacing w:line="240" w:lineRule="auto"/>
                    <w:ind w:left="0" w:firstLine="0"/>
                    <w:jc w:val="center"/>
                    <w:rPr>
                      <w:color w:val="auto"/>
                      <w:sz w:val="21"/>
                      <w:szCs w:val="21"/>
                    </w:rPr>
                  </w:pPr>
                </w:p>
              </w:tc>
              <w:tc>
                <w:tcPr>
                  <w:tcW w:w="1359" w:type="pct"/>
                  <w:tcBorders>
                    <w:tl2br w:val="nil"/>
                    <w:tr2bl w:val="nil"/>
                  </w:tcBorders>
                  <w:vAlign w:val="center"/>
                </w:tcPr>
                <w:p w14:paraId="643EBCED">
                  <w:pPr>
                    <w:pStyle w:val="7"/>
                    <w:adjustRightInd/>
                    <w:spacing w:line="240" w:lineRule="auto"/>
                    <w:ind w:left="0" w:firstLine="0"/>
                    <w:jc w:val="center"/>
                    <w:rPr>
                      <w:color w:val="auto"/>
                      <w:sz w:val="21"/>
                      <w:szCs w:val="21"/>
                    </w:rPr>
                  </w:pPr>
                  <w:r>
                    <w:rPr>
                      <w:color w:val="auto"/>
                      <w:sz w:val="21"/>
                      <w:szCs w:val="21"/>
                    </w:rPr>
                    <w:t>＞2</w:t>
                  </w:r>
                </w:p>
              </w:tc>
              <w:tc>
                <w:tcPr>
                  <w:tcW w:w="959" w:type="pct"/>
                  <w:gridSpan w:val="3"/>
                  <w:tcBorders>
                    <w:tl2br w:val="nil"/>
                    <w:tr2bl w:val="nil"/>
                  </w:tcBorders>
                  <w:vAlign w:val="center"/>
                </w:tcPr>
                <w:p w14:paraId="7F1BB706">
                  <w:pPr>
                    <w:pStyle w:val="7"/>
                    <w:adjustRightInd/>
                    <w:spacing w:line="240" w:lineRule="auto"/>
                    <w:ind w:left="0" w:firstLine="0"/>
                    <w:jc w:val="center"/>
                    <w:rPr>
                      <w:color w:val="auto"/>
                      <w:sz w:val="21"/>
                      <w:szCs w:val="21"/>
                    </w:rPr>
                  </w:pPr>
                  <w:r>
                    <w:rPr>
                      <w:color w:val="auto"/>
                      <w:sz w:val="21"/>
                      <w:szCs w:val="21"/>
                      <w:highlight w:val="lightGray"/>
                    </w:rPr>
                    <w:t>0.84</w:t>
                  </w:r>
                </w:p>
              </w:tc>
              <w:tc>
                <w:tcPr>
                  <w:tcW w:w="1310" w:type="pct"/>
                  <w:gridSpan w:val="3"/>
                  <w:tcBorders>
                    <w:tl2br w:val="nil"/>
                    <w:tr2bl w:val="nil"/>
                  </w:tcBorders>
                  <w:vAlign w:val="center"/>
                </w:tcPr>
                <w:p w14:paraId="4CBB125F">
                  <w:pPr>
                    <w:pStyle w:val="7"/>
                    <w:adjustRightInd/>
                    <w:spacing w:line="240" w:lineRule="auto"/>
                    <w:ind w:left="0" w:firstLine="0"/>
                    <w:jc w:val="center"/>
                    <w:rPr>
                      <w:color w:val="auto"/>
                      <w:sz w:val="21"/>
                      <w:szCs w:val="21"/>
                    </w:rPr>
                  </w:pPr>
                  <w:r>
                    <w:rPr>
                      <w:color w:val="auto"/>
                      <w:sz w:val="21"/>
                      <w:szCs w:val="21"/>
                    </w:rPr>
                    <w:t>0.84</w:t>
                  </w:r>
                </w:p>
              </w:tc>
              <w:tc>
                <w:tcPr>
                  <w:tcW w:w="1114" w:type="pct"/>
                  <w:gridSpan w:val="3"/>
                  <w:tcBorders>
                    <w:tl2br w:val="nil"/>
                    <w:tr2bl w:val="nil"/>
                  </w:tcBorders>
                  <w:vAlign w:val="center"/>
                </w:tcPr>
                <w:p w14:paraId="21037397">
                  <w:pPr>
                    <w:pStyle w:val="7"/>
                    <w:adjustRightInd/>
                    <w:spacing w:line="240" w:lineRule="auto"/>
                    <w:ind w:left="0" w:firstLine="0"/>
                    <w:jc w:val="center"/>
                    <w:rPr>
                      <w:color w:val="auto"/>
                      <w:sz w:val="21"/>
                      <w:szCs w:val="21"/>
                    </w:rPr>
                  </w:pPr>
                  <w:r>
                    <w:rPr>
                      <w:color w:val="auto"/>
                      <w:sz w:val="21"/>
                      <w:szCs w:val="21"/>
                    </w:rPr>
                    <w:t>0.76</w:t>
                  </w:r>
                </w:p>
              </w:tc>
            </w:tr>
          </w:tbl>
          <w:p w14:paraId="5486B35B">
            <w:pPr>
              <w:spacing w:line="360" w:lineRule="auto"/>
              <w:ind w:firstLine="480"/>
              <w:rPr>
                <w:color w:val="auto"/>
                <w:sz w:val="24"/>
              </w:rPr>
            </w:pPr>
            <w:r>
              <w:rPr>
                <w:color w:val="auto"/>
                <w:sz w:val="24"/>
              </w:rPr>
              <w:t>备注：项目L≤1000，A取表中Ⅱ值470、B取表中值0.021、C取表中值1.85、D取表中值0.84。</w:t>
            </w:r>
          </w:p>
          <w:p w14:paraId="2E59A07B">
            <w:pPr>
              <w:pStyle w:val="60"/>
              <w:adjustRightInd w:val="0"/>
              <w:ind w:firstLine="496"/>
              <w:jc w:val="left"/>
              <w:rPr>
                <w:rFonts w:ascii="Times New Roman" w:hAnsi="Times New Roman"/>
                <w:color w:val="auto"/>
                <w:szCs w:val="24"/>
              </w:rPr>
            </w:pPr>
            <w:r>
              <w:rPr>
                <w:rFonts w:ascii="Times New Roman" w:hAnsi="Times New Roman"/>
                <w:color w:val="auto"/>
                <w:szCs w:val="24"/>
              </w:rPr>
              <w:t>根据高安市气象站2020年-2024年地面风资料，统计出该地各年、月平均风速情况，详见表4-</w:t>
            </w:r>
            <w:r>
              <w:rPr>
                <w:rFonts w:hint="eastAsia" w:ascii="Times New Roman" w:hAnsi="Times New Roman"/>
                <w:color w:val="auto"/>
                <w:szCs w:val="24"/>
                <w:lang w:val="en-US" w:eastAsia="zh-CN"/>
              </w:rPr>
              <w:t>8</w:t>
            </w:r>
            <w:r>
              <w:rPr>
                <w:rFonts w:ascii="Times New Roman" w:hAnsi="Times New Roman"/>
                <w:color w:val="auto"/>
                <w:szCs w:val="24"/>
              </w:rPr>
              <w:t>。</w:t>
            </w:r>
          </w:p>
          <w:p w14:paraId="1BA6AFF3">
            <w:pPr>
              <w:ind w:firstLine="482"/>
              <w:jc w:val="center"/>
              <w:rPr>
                <w:b/>
                <w:color w:val="auto"/>
                <w:sz w:val="24"/>
              </w:rPr>
            </w:pPr>
            <w:r>
              <w:rPr>
                <w:b/>
                <w:color w:val="auto"/>
                <w:sz w:val="24"/>
              </w:rPr>
              <w:t>表4-</w:t>
            </w:r>
            <w:r>
              <w:rPr>
                <w:rFonts w:hint="eastAsia"/>
                <w:b/>
                <w:color w:val="auto"/>
                <w:sz w:val="24"/>
                <w:lang w:val="en-US" w:eastAsia="zh-CN"/>
              </w:rPr>
              <w:t>8</w:t>
            </w:r>
            <w:r>
              <w:rPr>
                <w:b/>
                <w:color w:val="auto"/>
                <w:sz w:val="24"/>
              </w:rPr>
              <w:t xml:space="preserve">  </w:t>
            </w:r>
            <w:r>
              <w:rPr>
                <w:rFonts w:hint="eastAsia"/>
                <w:b/>
                <w:color w:val="auto"/>
                <w:sz w:val="24"/>
              </w:rPr>
              <w:t>当地近五年风速表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604"/>
              <w:gridCol w:w="604"/>
              <w:gridCol w:w="604"/>
              <w:gridCol w:w="604"/>
              <w:gridCol w:w="604"/>
              <w:gridCol w:w="604"/>
              <w:gridCol w:w="604"/>
              <w:gridCol w:w="604"/>
              <w:gridCol w:w="604"/>
              <w:gridCol w:w="604"/>
              <w:gridCol w:w="604"/>
              <w:gridCol w:w="605"/>
              <w:gridCol w:w="605"/>
            </w:tblGrid>
            <w:tr w14:paraId="1E25C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591D2326">
                  <w:pPr>
                    <w:pStyle w:val="7"/>
                    <w:spacing w:line="240" w:lineRule="auto"/>
                    <w:ind w:left="0" w:firstLine="0"/>
                    <w:jc w:val="center"/>
                    <w:rPr>
                      <w:color w:val="auto"/>
                      <w:sz w:val="21"/>
                      <w:szCs w:val="21"/>
                    </w:rPr>
                  </w:pPr>
                  <w:r>
                    <w:rPr>
                      <w:rFonts w:hint="eastAsia"/>
                      <w:color w:val="auto"/>
                      <w:sz w:val="21"/>
                      <w:szCs w:val="21"/>
                    </w:rPr>
                    <w:t>年份/月份</w:t>
                  </w:r>
                </w:p>
              </w:tc>
              <w:tc>
                <w:tcPr>
                  <w:tcW w:w="0" w:type="auto"/>
                  <w:vAlign w:val="center"/>
                </w:tcPr>
                <w:p w14:paraId="22813DB5">
                  <w:pPr>
                    <w:pStyle w:val="7"/>
                    <w:spacing w:line="240" w:lineRule="auto"/>
                    <w:ind w:left="0" w:firstLine="0"/>
                    <w:jc w:val="center"/>
                    <w:rPr>
                      <w:color w:val="auto"/>
                      <w:sz w:val="21"/>
                      <w:szCs w:val="21"/>
                    </w:rPr>
                  </w:pPr>
                  <w:r>
                    <w:rPr>
                      <w:rFonts w:hint="eastAsia"/>
                      <w:color w:val="auto"/>
                      <w:sz w:val="21"/>
                      <w:szCs w:val="21"/>
                    </w:rPr>
                    <w:t>1</w:t>
                  </w:r>
                </w:p>
              </w:tc>
              <w:tc>
                <w:tcPr>
                  <w:tcW w:w="0" w:type="auto"/>
                  <w:vAlign w:val="center"/>
                </w:tcPr>
                <w:p w14:paraId="2AA7B6EF">
                  <w:pPr>
                    <w:pStyle w:val="7"/>
                    <w:spacing w:line="240" w:lineRule="auto"/>
                    <w:ind w:left="0" w:firstLine="0"/>
                    <w:jc w:val="center"/>
                    <w:rPr>
                      <w:color w:val="auto"/>
                      <w:sz w:val="21"/>
                      <w:szCs w:val="21"/>
                    </w:rPr>
                  </w:pPr>
                  <w:r>
                    <w:rPr>
                      <w:rFonts w:hint="eastAsia"/>
                      <w:color w:val="auto"/>
                      <w:sz w:val="21"/>
                      <w:szCs w:val="21"/>
                    </w:rPr>
                    <w:t>2</w:t>
                  </w:r>
                </w:p>
              </w:tc>
              <w:tc>
                <w:tcPr>
                  <w:tcW w:w="0" w:type="auto"/>
                  <w:vAlign w:val="center"/>
                </w:tcPr>
                <w:p w14:paraId="3AC17CAC">
                  <w:pPr>
                    <w:pStyle w:val="7"/>
                    <w:spacing w:line="240" w:lineRule="auto"/>
                    <w:ind w:left="0" w:firstLine="0"/>
                    <w:jc w:val="center"/>
                    <w:rPr>
                      <w:color w:val="auto"/>
                      <w:sz w:val="21"/>
                      <w:szCs w:val="21"/>
                    </w:rPr>
                  </w:pPr>
                  <w:r>
                    <w:rPr>
                      <w:rFonts w:hint="eastAsia"/>
                      <w:color w:val="auto"/>
                      <w:sz w:val="21"/>
                      <w:szCs w:val="21"/>
                    </w:rPr>
                    <w:t>3</w:t>
                  </w:r>
                </w:p>
              </w:tc>
              <w:tc>
                <w:tcPr>
                  <w:tcW w:w="0" w:type="auto"/>
                  <w:vAlign w:val="center"/>
                </w:tcPr>
                <w:p w14:paraId="695CB0A9">
                  <w:pPr>
                    <w:pStyle w:val="7"/>
                    <w:spacing w:line="240" w:lineRule="auto"/>
                    <w:ind w:left="0" w:firstLine="0"/>
                    <w:jc w:val="center"/>
                    <w:rPr>
                      <w:color w:val="auto"/>
                      <w:sz w:val="21"/>
                      <w:szCs w:val="21"/>
                    </w:rPr>
                  </w:pPr>
                  <w:r>
                    <w:rPr>
                      <w:rFonts w:hint="eastAsia"/>
                      <w:color w:val="auto"/>
                      <w:sz w:val="21"/>
                      <w:szCs w:val="21"/>
                    </w:rPr>
                    <w:t>4</w:t>
                  </w:r>
                </w:p>
              </w:tc>
              <w:tc>
                <w:tcPr>
                  <w:tcW w:w="0" w:type="auto"/>
                  <w:vAlign w:val="center"/>
                </w:tcPr>
                <w:p w14:paraId="21B67030">
                  <w:pPr>
                    <w:pStyle w:val="7"/>
                    <w:spacing w:line="240" w:lineRule="auto"/>
                    <w:ind w:left="0" w:firstLine="0"/>
                    <w:jc w:val="center"/>
                    <w:rPr>
                      <w:color w:val="auto"/>
                      <w:sz w:val="21"/>
                      <w:szCs w:val="21"/>
                    </w:rPr>
                  </w:pPr>
                  <w:r>
                    <w:rPr>
                      <w:rFonts w:hint="eastAsia"/>
                      <w:color w:val="auto"/>
                      <w:sz w:val="21"/>
                      <w:szCs w:val="21"/>
                    </w:rPr>
                    <w:t>5</w:t>
                  </w:r>
                </w:p>
              </w:tc>
              <w:tc>
                <w:tcPr>
                  <w:tcW w:w="0" w:type="auto"/>
                  <w:vAlign w:val="center"/>
                </w:tcPr>
                <w:p w14:paraId="59430CF6">
                  <w:pPr>
                    <w:pStyle w:val="7"/>
                    <w:spacing w:line="240" w:lineRule="auto"/>
                    <w:ind w:left="0" w:firstLine="0"/>
                    <w:jc w:val="center"/>
                    <w:rPr>
                      <w:color w:val="auto"/>
                      <w:sz w:val="21"/>
                      <w:szCs w:val="21"/>
                    </w:rPr>
                  </w:pPr>
                  <w:r>
                    <w:rPr>
                      <w:rFonts w:hint="eastAsia"/>
                      <w:color w:val="auto"/>
                      <w:sz w:val="21"/>
                      <w:szCs w:val="21"/>
                    </w:rPr>
                    <w:t>6</w:t>
                  </w:r>
                </w:p>
              </w:tc>
              <w:tc>
                <w:tcPr>
                  <w:tcW w:w="0" w:type="auto"/>
                  <w:vAlign w:val="center"/>
                </w:tcPr>
                <w:p w14:paraId="2DF4F75F">
                  <w:pPr>
                    <w:pStyle w:val="7"/>
                    <w:spacing w:line="240" w:lineRule="auto"/>
                    <w:ind w:left="0" w:firstLine="0"/>
                    <w:jc w:val="center"/>
                    <w:rPr>
                      <w:color w:val="auto"/>
                      <w:sz w:val="21"/>
                      <w:szCs w:val="21"/>
                    </w:rPr>
                  </w:pPr>
                  <w:r>
                    <w:rPr>
                      <w:rFonts w:hint="eastAsia"/>
                      <w:color w:val="auto"/>
                      <w:sz w:val="21"/>
                      <w:szCs w:val="21"/>
                    </w:rPr>
                    <w:t>7</w:t>
                  </w:r>
                </w:p>
              </w:tc>
              <w:tc>
                <w:tcPr>
                  <w:tcW w:w="0" w:type="auto"/>
                  <w:vAlign w:val="center"/>
                </w:tcPr>
                <w:p w14:paraId="430D2299">
                  <w:pPr>
                    <w:pStyle w:val="7"/>
                    <w:spacing w:line="240" w:lineRule="auto"/>
                    <w:ind w:left="0" w:firstLine="0"/>
                    <w:jc w:val="center"/>
                    <w:rPr>
                      <w:color w:val="auto"/>
                      <w:sz w:val="21"/>
                      <w:szCs w:val="21"/>
                    </w:rPr>
                  </w:pPr>
                  <w:r>
                    <w:rPr>
                      <w:rFonts w:hint="eastAsia"/>
                      <w:color w:val="auto"/>
                      <w:sz w:val="21"/>
                      <w:szCs w:val="21"/>
                    </w:rPr>
                    <w:t>8</w:t>
                  </w:r>
                </w:p>
              </w:tc>
              <w:tc>
                <w:tcPr>
                  <w:tcW w:w="0" w:type="auto"/>
                  <w:vAlign w:val="center"/>
                </w:tcPr>
                <w:p w14:paraId="15CCEBC5">
                  <w:pPr>
                    <w:pStyle w:val="7"/>
                    <w:spacing w:line="240" w:lineRule="auto"/>
                    <w:ind w:left="0" w:firstLine="0"/>
                    <w:jc w:val="center"/>
                    <w:rPr>
                      <w:color w:val="auto"/>
                      <w:sz w:val="21"/>
                      <w:szCs w:val="21"/>
                    </w:rPr>
                  </w:pPr>
                  <w:r>
                    <w:rPr>
                      <w:rFonts w:hint="eastAsia"/>
                      <w:color w:val="auto"/>
                      <w:sz w:val="21"/>
                      <w:szCs w:val="21"/>
                    </w:rPr>
                    <w:t>9</w:t>
                  </w:r>
                </w:p>
              </w:tc>
              <w:tc>
                <w:tcPr>
                  <w:tcW w:w="0" w:type="auto"/>
                  <w:vAlign w:val="center"/>
                </w:tcPr>
                <w:p w14:paraId="2DA3E208">
                  <w:pPr>
                    <w:pStyle w:val="7"/>
                    <w:spacing w:line="240" w:lineRule="auto"/>
                    <w:ind w:left="0" w:firstLine="0"/>
                    <w:jc w:val="center"/>
                    <w:rPr>
                      <w:color w:val="auto"/>
                      <w:sz w:val="21"/>
                      <w:szCs w:val="21"/>
                    </w:rPr>
                  </w:pPr>
                  <w:r>
                    <w:rPr>
                      <w:rFonts w:hint="eastAsia"/>
                      <w:color w:val="auto"/>
                      <w:sz w:val="21"/>
                      <w:szCs w:val="21"/>
                    </w:rPr>
                    <w:t>10</w:t>
                  </w:r>
                </w:p>
              </w:tc>
              <w:tc>
                <w:tcPr>
                  <w:tcW w:w="0" w:type="auto"/>
                  <w:vAlign w:val="center"/>
                </w:tcPr>
                <w:p w14:paraId="512B8EC2">
                  <w:pPr>
                    <w:pStyle w:val="7"/>
                    <w:spacing w:line="240" w:lineRule="auto"/>
                    <w:ind w:left="0" w:firstLine="0"/>
                    <w:jc w:val="center"/>
                    <w:rPr>
                      <w:color w:val="auto"/>
                      <w:sz w:val="21"/>
                      <w:szCs w:val="21"/>
                    </w:rPr>
                  </w:pPr>
                  <w:r>
                    <w:rPr>
                      <w:rFonts w:hint="eastAsia"/>
                      <w:color w:val="auto"/>
                      <w:sz w:val="21"/>
                      <w:szCs w:val="21"/>
                    </w:rPr>
                    <w:t>11</w:t>
                  </w:r>
                </w:p>
              </w:tc>
              <w:tc>
                <w:tcPr>
                  <w:tcW w:w="0" w:type="auto"/>
                  <w:vAlign w:val="center"/>
                </w:tcPr>
                <w:p w14:paraId="43DEE633">
                  <w:pPr>
                    <w:pStyle w:val="7"/>
                    <w:spacing w:line="240" w:lineRule="auto"/>
                    <w:ind w:left="0" w:firstLine="0"/>
                    <w:jc w:val="center"/>
                    <w:rPr>
                      <w:color w:val="auto"/>
                      <w:sz w:val="21"/>
                      <w:szCs w:val="21"/>
                    </w:rPr>
                  </w:pPr>
                  <w:r>
                    <w:rPr>
                      <w:rFonts w:hint="eastAsia"/>
                      <w:color w:val="auto"/>
                      <w:sz w:val="21"/>
                      <w:szCs w:val="21"/>
                    </w:rPr>
                    <w:t>12</w:t>
                  </w:r>
                </w:p>
              </w:tc>
              <w:tc>
                <w:tcPr>
                  <w:tcW w:w="0" w:type="auto"/>
                  <w:vAlign w:val="center"/>
                </w:tcPr>
                <w:p w14:paraId="0C642E28">
                  <w:pPr>
                    <w:pStyle w:val="7"/>
                    <w:spacing w:line="240" w:lineRule="auto"/>
                    <w:ind w:left="0" w:firstLine="0"/>
                    <w:jc w:val="center"/>
                    <w:rPr>
                      <w:color w:val="auto"/>
                      <w:sz w:val="21"/>
                      <w:szCs w:val="21"/>
                    </w:rPr>
                  </w:pPr>
                  <w:r>
                    <w:rPr>
                      <w:rFonts w:hint="eastAsia"/>
                      <w:color w:val="auto"/>
                      <w:sz w:val="21"/>
                      <w:szCs w:val="21"/>
                    </w:rPr>
                    <w:t>平均</w:t>
                  </w:r>
                </w:p>
              </w:tc>
            </w:tr>
            <w:tr w14:paraId="0D405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5A424E51">
                  <w:pPr>
                    <w:pStyle w:val="7"/>
                    <w:spacing w:line="240" w:lineRule="auto"/>
                    <w:ind w:left="0" w:firstLine="0"/>
                    <w:jc w:val="center"/>
                    <w:rPr>
                      <w:color w:val="auto"/>
                      <w:sz w:val="21"/>
                      <w:szCs w:val="21"/>
                    </w:rPr>
                  </w:pPr>
                  <w:r>
                    <w:rPr>
                      <w:rFonts w:hint="eastAsia"/>
                      <w:color w:val="auto"/>
                      <w:sz w:val="21"/>
                      <w:szCs w:val="21"/>
                    </w:rPr>
                    <w:t>2020</w:t>
                  </w:r>
                </w:p>
              </w:tc>
              <w:tc>
                <w:tcPr>
                  <w:tcW w:w="0" w:type="auto"/>
                  <w:vAlign w:val="center"/>
                </w:tcPr>
                <w:p w14:paraId="5F4F09C1">
                  <w:pPr>
                    <w:pStyle w:val="7"/>
                    <w:spacing w:line="240" w:lineRule="auto"/>
                    <w:ind w:left="0" w:firstLine="0"/>
                    <w:jc w:val="center"/>
                    <w:rPr>
                      <w:color w:val="auto"/>
                      <w:sz w:val="21"/>
                      <w:szCs w:val="21"/>
                    </w:rPr>
                  </w:pPr>
                  <w:r>
                    <w:rPr>
                      <w:rFonts w:hint="eastAsia"/>
                      <w:color w:val="auto"/>
                      <w:sz w:val="21"/>
                      <w:szCs w:val="21"/>
                    </w:rPr>
                    <w:t>2.43</w:t>
                  </w:r>
                </w:p>
              </w:tc>
              <w:tc>
                <w:tcPr>
                  <w:tcW w:w="0" w:type="auto"/>
                  <w:vAlign w:val="center"/>
                </w:tcPr>
                <w:p w14:paraId="5DCE5A5C">
                  <w:pPr>
                    <w:pStyle w:val="7"/>
                    <w:spacing w:line="240" w:lineRule="auto"/>
                    <w:ind w:left="0" w:firstLine="0"/>
                    <w:jc w:val="center"/>
                    <w:rPr>
                      <w:color w:val="auto"/>
                      <w:sz w:val="21"/>
                      <w:szCs w:val="21"/>
                    </w:rPr>
                  </w:pPr>
                  <w:r>
                    <w:rPr>
                      <w:rFonts w:hint="eastAsia"/>
                      <w:color w:val="auto"/>
                      <w:sz w:val="21"/>
                      <w:szCs w:val="21"/>
                    </w:rPr>
                    <w:t>2.12</w:t>
                  </w:r>
                </w:p>
              </w:tc>
              <w:tc>
                <w:tcPr>
                  <w:tcW w:w="0" w:type="auto"/>
                  <w:vAlign w:val="center"/>
                </w:tcPr>
                <w:p w14:paraId="71904530">
                  <w:pPr>
                    <w:pStyle w:val="7"/>
                    <w:spacing w:line="240" w:lineRule="auto"/>
                    <w:ind w:left="0" w:firstLine="0"/>
                    <w:jc w:val="center"/>
                    <w:rPr>
                      <w:color w:val="auto"/>
                      <w:sz w:val="21"/>
                      <w:szCs w:val="21"/>
                    </w:rPr>
                  </w:pPr>
                  <w:r>
                    <w:rPr>
                      <w:rFonts w:hint="eastAsia"/>
                      <w:color w:val="auto"/>
                      <w:sz w:val="21"/>
                      <w:szCs w:val="21"/>
                    </w:rPr>
                    <w:t>2.89</w:t>
                  </w:r>
                </w:p>
              </w:tc>
              <w:tc>
                <w:tcPr>
                  <w:tcW w:w="0" w:type="auto"/>
                  <w:vAlign w:val="center"/>
                </w:tcPr>
                <w:p w14:paraId="4FC1512D">
                  <w:pPr>
                    <w:pStyle w:val="7"/>
                    <w:spacing w:line="240" w:lineRule="auto"/>
                    <w:ind w:left="0" w:firstLine="0"/>
                    <w:jc w:val="center"/>
                    <w:rPr>
                      <w:color w:val="auto"/>
                      <w:sz w:val="21"/>
                      <w:szCs w:val="21"/>
                    </w:rPr>
                  </w:pPr>
                  <w:r>
                    <w:rPr>
                      <w:rFonts w:hint="eastAsia"/>
                      <w:color w:val="auto"/>
                      <w:sz w:val="21"/>
                      <w:szCs w:val="21"/>
                    </w:rPr>
                    <w:t>3.02</w:t>
                  </w:r>
                </w:p>
              </w:tc>
              <w:tc>
                <w:tcPr>
                  <w:tcW w:w="0" w:type="auto"/>
                  <w:vAlign w:val="center"/>
                </w:tcPr>
                <w:p w14:paraId="24191A60">
                  <w:pPr>
                    <w:pStyle w:val="7"/>
                    <w:spacing w:line="240" w:lineRule="auto"/>
                    <w:ind w:left="0" w:firstLine="0"/>
                    <w:jc w:val="center"/>
                    <w:rPr>
                      <w:color w:val="auto"/>
                      <w:sz w:val="21"/>
                      <w:szCs w:val="21"/>
                    </w:rPr>
                  </w:pPr>
                  <w:r>
                    <w:rPr>
                      <w:rFonts w:hint="eastAsia"/>
                      <w:color w:val="auto"/>
                      <w:sz w:val="21"/>
                      <w:szCs w:val="21"/>
                    </w:rPr>
                    <w:t>2.48</w:t>
                  </w:r>
                </w:p>
              </w:tc>
              <w:tc>
                <w:tcPr>
                  <w:tcW w:w="0" w:type="auto"/>
                  <w:vAlign w:val="center"/>
                </w:tcPr>
                <w:p w14:paraId="27FFCED7">
                  <w:pPr>
                    <w:pStyle w:val="7"/>
                    <w:spacing w:line="240" w:lineRule="auto"/>
                    <w:ind w:left="0" w:firstLine="0"/>
                    <w:jc w:val="center"/>
                    <w:rPr>
                      <w:color w:val="auto"/>
                      <w:sz w:val="21"/>
                      <w:szCs w:val="21"/>
                    </w:rPr>
                  </w:pPr>
                  <w:r>
                    <w:rPr>
                      <w:color w:val="auto"/>
                      <w:sz w:val="21"/>
                      <w:szCs w:val="21"/>
                    </w:rPr>
                    <w:t>2</w:t>
                  </w:r>
                  <w:r>
                    <w:rPr>
                      <w:rFonts w:hint="eastAsia"/>
                      <w:color w:val="auto"/>
                      <w:sz w:val="21"/>
                      <w:szCs w:val="21"/>
                    </w:rPr>
                    <w:t>.33</w:t>
                  </w:r>
                </w:p>
              </w:tc>
              <w:tc>
                <w:tcPr>
                  <w:tcW w:w="0" w:type="auto"/>
                  <w:vAlign w:val="center"/>
                </w:tcPr>
                <w:p w14:paraId="0A9498D2">
                  <w:pPr>
                    <w:pStyle w:val="7"/>
                    <w:spacing w:line="240" w:lineRule="auto"/>
                    <w:ind w:left="0" w:firstLine="0"/>
                    <w:jc w:val="center"/>
                    <w:rPr>
                      <w:color w:val="auto"/>
                      <w:sz w:val="21"/>
                      <w:szCs w:val="21"/>
                    </w:rPr>
                  </w:pPr>
                  <w:r>
                    <w:rPr>
                      <w:rFonts w:hint="eastAsia"/>
                      <w:color w:val="auto"/>
                      <w:sz w:val="21"/>
                      <w:szCs w:val="21"/>
                    </w:rPr>
                    <w:t>2.19</w:t>
                  </w:r>
                </w:p>
              </w:tc>
              <w:tc>
                <w:tcPr>
                  <w:tcW w:w="0" w:type="auto"/>
                  <w:vAlign w:val="center"/>
                </w:tcPr>
                <w:p w14:paraId="1C069B35">
                  <w:pPr>
                    <w:pStyle w:val="7"/>
                    <w:spacing w:line="240" w:lineRule="auto"/>
                    <w:ind w:left="0" w:firstLine="0"/>
                    <w:jc w:val="center"/>
                    <w:rPr>
                      <w:color w:val="auto"/>
                      <w:sz w:val="21"/>
                      <w:szCs w:val="21"/>
                    </w:rPr>
                  </w:pPr>
                  <w:r>
                    <w:rPr>
                      <w:rFonts w:hint="eastAsia"/>
                      <w:color w:val="auto"/>
                      <w:sz w:val="21"/>
                      <w:szCs w:val="21"/>
                    </w:rPr>
                    <w:t>2.12</w:t>
                  </w:r>
                </w:p>
              </w:tc>
              <w:tc>
                <w:tcPr>
                  <w:tcW w:w="0" w:type="auto"/>
                  <w:vAlign w:val="center"/>
                </w:tcPr>
                <w:p w14:paraId="711D285E">
                  <w:pPr>
                    <w:pStyle w:val="7"/>
                    <w:spacing w:line="240" w:lineRule="auto"/>
                    <w:ind w:left="0" w:firstLine="0"/>
                    <w:jc w:val="center"/>
                    <w:rPr>
                      <w:color w:val="auto"/>
                      <w:sz w:val="21"/>
                      <w:szCs w:val="21"/>
                    </w:rPr>
                  </w:pPr>
                  <w:r>
                    <w:rPr>
                      <w:rFonts w:hint="eastAsia"/>
                      <w:color w:val="auto"/>
                      <w:sz w:val="21"/>
                      <w:szCs w:val="21"/>
                    </w:rPr>
                    <w:t>1.89</w:t>
                  </w:r>
                </w:p>
              </w:tc>
              <w:tc>
                <w:tcPr>
                  <w:tcW w:w="0" w:type="auto"/>
                  <w:vAlign w:val="center"/>
                </w:tcPr>
                <w:p w14:paraId="4C019660">
                  <w:pPr>
                    <w:pStyle w:val="7"/>
                    <w:spacing w:line="240" w:lineRule="auto"/>
                    <w:ind w:left="0" w:firstLine="0"/>
                    <w:jc w:val="center"/>
                    <w:rPr>
                      <w:color w:val="auto"/>
                      <w:sz w:val="21"/>
                      <w:szCs w:val="21"/>
                    </w:rPr>
                  </w:pPr>
                  <w:r>
                    <w:rPr>
                      <w:rFonts w:hint="eastAsia"/>
                      <w:color w:val="auto"/>
                      <w:sz w:val="21"/>
                      <w:szCs w:val="21"/>
                    </w:rPr>
                    <w:t>2.33</w:t>
                  </w:r>
                </w:p>
              </w:tc>
              <w:tc>
                <w:tcPr>
                  <w:tcW w:w="0" w:type="auto"/>
                  <w:vAlign w:val="center"/>
                </w:tcPr>
                <w:p w14:paraId="0BC66CCD">
                  <w:pPr>
                    <w:pStyle w:val="7"/>
                    <w:spacing w:line="240" w:lineRule="auto"/>
                    <w:ind w:left="0" w:firstLine="0"/>
                    <w:jc w:val="center"/>
                    <w:rPr>
                      <w:color w:val="auto"/>
                      <w:sz w:val="21"/>
                      <w:szCs w:val="21"/>
                    </w:rPr>
                  </w:pPr>
                  <w:r>
                    <w:rPr>
                      <w:rFonts w:hint="eastAsia"/>
                      <w:color w:val="auto"/>
                      <w:sz w:val="21"/>
                      <w:szCs w:val="21"/>
                    </w:rPr>
                    <w:t>2.87</w:t>
                  </w:r>
                </w:p>
              </w:tc>
              <w:tc>
                <w:tcPr>
                  <w:tcW w:w="0" w:type="auto"/>
                  <w:vAlign w:val="center"/>
                </w:tcPr>
                <w:p w14:paraId="02F67A1F">
                  <w:pPr>
                    <w:pStyle w:val="7"/>
                    <w:spacing w:line="240" w:lineRule="auto"/>
                    <w:ind w:left="0" w:firstLine="0"/>
                    <w:jc w:val="center"/>
                    <w:rPr>
                      <w:color w:val="auto"/>
                      <w:sz w:val="21"/>
                      <w:szCs w:val="21"/>
                    </w:rPr>
                  </w:pPr>
                  <w:r>
                    <w:rPr>
                      <w:rFonts w:hint="eastAsia"/>
                      <w:color w:val="auto"/>
                      <w:sz w:val="21"/>
                      <w:szCs w:val="21"/>
                    </w:rPr>
                    <w:t>2.37</w:t>
                  </w:r>
                </w:p>
              </w:tc>
              <w:tc>
                <w:tcPr>
                  <w:tcW w:w="0" w:type="auto"/>
                  <w:vAlign w:val="center"/>
                </w:tcPr>
                <w:p w14:paraId="75F02B43">
                  <w:pPr>
                    <w:pStyle w:val="7"/>
                    <w:spacing w:line="240" w:lineRule="auto"/>
                    <w:ind w:left="0" w:firstLine="0"/>
                    <w:jc w:val="center"/>
                    <w:rPr>
                      <w:color w:val="auto"/>
                      <w:sz w:val="21"/>
                      <w:szCs w:val="21"/>
                    </w:rPr>
                  </w:pPr>
                  <w:r>
                    <w:rPr>
                      <w:color w:val="auto"/>
                      <w:sz w:val="21"/>
                      <w:szCs w:val="21"/>
                    </w:rPr>
                    <w:t>2</w:t>
                  </w:r>
                  <w:r>
                    <w:rPr>
                      <w:rFonts w:hint="eastAsia"/>
                      <w:color w:val="auto"/>
                      <w:sz w:val="21"/>
                      <w:szCs w:val="21"/>
                    </w:rPr>
                    <w:t>.42</w:t>
                  </w:r>
                </w:p>
              </w:tc>
            </w:tr>
            <w:tr w14:paraId="0613E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72522D14">
                  <w:pPr>
                    <w:pStyle w:val="7"/>
                    <w:spacing w:line="240" w:lineRule="auto"/>
                    <w:ind w:left="0" w:firstLine="0"/>
                    <w:jc w:val="center"/>
                    <w:rPr>
                      <w:color w:val="auto"/>
                      <w:sz w:val="21"/>
                      <w:szCs w:val="21"/>
                    </w:rPr>
                  </w:pPr>
                  <w:r>
                    <w:rPr>
                      <w:rFonts w:hint="eastAsia"/>
                      <w:color w:val="auto"/>
                      <w:sz w:val="21"/>
                      <w:szCs w:val="21"/>
                    </w:rPr>
                    <w:t>2021</w:t>
                  </w:r>
                </w:p>
              </w:tc>
              <w:tc>
                <w:tcPr>
                  <w:tcW w:w="0" w:type="auto"/>
                  <w:vAlign w:val="center"/>
                </w:tcPr>
                <w:p w14:paraId="750E728E">
                  <w:pPr>
                    <w:pStyle w:val="7"/>
                    <w:spacing w:line="240" w:lineRule="auto"/>
                    <w:ind w:left="0" w:firstLine="0"/>
                    <w:jc w:val="center"/>
                    <w:rPr>
                      <w:color w:val="auto"/>
                      <w:sz w:val="21"/>
                      <w:szCs w:val="21"/>
                    </w:rPr>
                  </w:pPr>
                  <w:r>
                    <w:rPr>
                      <w:rFonts w:hint="eastAsia"/>
                      <w:color w:val="auto"/>
                      <w:sz w:val="21"/>
                      <w:szCs w:val="21"/>
                    </w:rPr>
                    <w:t>2.77</w:t>
                  </w:r>
                </w:p>
              </w:tc>
              <w:tc>
                <w:tcPr>
                  <w:tcW w:w="0" w:type="auto"/>
                  <w:vAlign w:val="center"/>
                </w:tcPr>
                <w:p w14:paraId="0431F228">
                  <w:pPr>
                    <w:pStyle w:val="7"/>
                    <w:spacing w:line="240" w:lineRule="auto"/>
                    <w:ind w:left="0" w:firstLine="0"/>
                    <w:jc w:val="center"/>
                    <w:rPr>
                      <w:color w:val="auto"/>
                      <w:sz w:val="21"/>
                      <w:szCs w:val="21"/>
                    </w:rPr>
                  </w:pPr>
                  <w:r>
                    <w:rPr>
                      <w:rFonts w:hint="eastAsia"/>
                      <w:color w:val="auto"/>
                      <w:sz w:val="21"/>
                      <w:szCs w:val="21"/>
                    </w:rPr>
                    <w:t>2.21</w:t>
                  </w:r>
                </w:p>
              </w:tc>
              <w:tc>
                <w:tcPr>
                  <w:tcW w:w="0" w:type="auto"/>
                  <w:vAlign w:val="center"/>
                </w:tcPr>
                <w:p w14:paraId="4C0039C6">
                  <w:pPr>
                    <w:pStyle w:val="7"/>
                    <w:spacing w:line="240" w:lineRule="auto"/>
                    <w:ind w:left="0" w:firstLine="0"/>
                    <w:jc w:val="center"/>
                    <w:rPr>
                      <w:color w:val="auto"/>
                      <w:sz w:val="21"/>
                      <w:szCs w:val="21"/>
                    </w:rPr>
                  </w:pPr>
                  <w:r>
                    <w:rPr>
                      <w:rFonts w:hint="eastAsia"/>
                      <w:color w:val="auto"/>
                      <w:sz w:val="21"/>
                      <w:szCs w:val="21"/>
                    </w:rPr>
                    <w:t>2.65</w:t>
                  </w:r>
                </w:p>
              </w:tc>
              <w:tc>
                <w:tcPr>
                  <w:tcW w:w="0" w:type="auto"/>
                  <w:vAlign w:val="center"/>
                </w:tcPr>
                <w:p w14:paraId="05E8C1FF">
                  <w:pPr>
                    <w:pStyle w:val="7"/>
                    <w:spacing w:line="240" w:lineRule="auto"/>
                    <w:ind w:left="0" w:firstLine="0"/>
                    <w:jc w:val="center"/>
                    <w:rPr>
                      <w:color w:val="auto"/>
                      <w:sz w:val="21"/>
                      <w:szCs w:val="21"/>
                    </w:rPr>
                  </w:pPr>
                  <w:r>
                    <w:rPr>
                      <w:rFonts w:hint="eastAsia"/>
                      <w:color w:val="auto"/>
                      <w:sz w:val="21"/>
                      <w:szCs w:val="21"/>
                    </w:rPr>
                    <w:t>2.76</w:t>
                  </w:r>
                </w:p>
              </w:tc>
              <w:tc>
                <w:tcPr>
                  <w:tcW w:w="0" w:type="auto"/>
                  <w:vAlign w:val="center"/>
                </w:tcPr>
                <w:p w14:paraId="5FE0F164">
                  <w:pPr>
                    <w:pStyle w:val="7"/>
                    <w:spacing w:line="240" w:lineRule="auto"/>
                    <w:ind w:left="0" w:firstLine="0"/>
                    <w:jc w:val="center"/>
                    <w:rPr>
                      <w:color w:val="auto"/>
                      <w:sz w:val="21"/>
                      <w:szCs w:val="21"/>
                    </w:rPr>
                  </w:pPr>
                  <w:r>
                    <w:rPr>
                      <w:rFonts w:hint="eastAsia"/>
                      <w:color w:val="auto"/>
                      <w:sz w:val="21"/>
                      <w:szCs w:val="21"/>
                    </w:rPr>
                    <w:t>2.29</w:t>
                  </w:r>
                </w:p>
              </w:tc>
              <w:tc>
                <w:tcPr>
                  <w:tcW w:w="0" w:type="auto"/>
                  <w:vAlign w:val="center"/>
                </w:tcPr>
                <w:p w14:paraId="0A059499">
                  <w:pPr>
                    <w:pStyle w:val="7"/>
                    <w:spacing w:line="240" w:lineRule="auto"/>
                    <w:ind w:left="0" w:firstLine="0"/>
                    <w:jc w:val="center"/>
                    <w:rPr>
                      <w:color w:val="auto"/>
                      <w:sz w:val="21"/>
                      <w:szCs w:val="21"/>
                    </w:rPr>
                  </w:pPr>
                  <w:r>
                    <w:rPr>
                      <w:rFonts w:hint="eastAsia"/>
                      <w:color w:val="auto"/>
                      <w:sz w:val="21"/>
                      <w:szCs w:val="21"/>
                    </w:rPr>
                    <w:t>2.17</w:t>
                  </w:r>
                </w:p>
              </w:tc>
              <w:tc>
                <w:tcPr>
                  <w:tcW w:w="0" w:type="auto"/>
                  <w:vAlign w:val="center"/>
                </w:tcPr>
                <w:p w14:paraId="69D3AA58">
                  <w:pPr>
                    <w:pStyle w:val="7"/>
                    <w:spacing w:line="240" w:lineRule="auto"/>
                    <w:ind w:left="0" w:firstLine="0"/>
                    <w:jc w:val="center"/>
                    <w:rPr>
                      <w:color w:val="auto"/>
                      <w:sz w:val="21"/>
                      <w:szCs w:val="21"/>
                    </w:rPr>
                  </w:pPr>
                  <w:r>
                    <w:rPr>
                      <w:rFonts w:hint="eastAsia"/>
                      <w:color w:val="auto"/>
                      <w:sz w:val="21"/>
                      <w:szCs w:val="21"/>
                    </w:rPr>
                    <w:t>2.38</w:t>
                  </w:r>
                </w:p>
              </w:tc>
              <w:tc>
                <w:tcPr>
                  <w:tcW w:w="0" w:type="auto"/>
                  <w:vAlign w:val="center"/>
                </w:tcPr>
                <w:p w14:paraId="796C035B">
                  <w:pPr>
                    <w:pStyle w:val="7"/>
                    <w:spacing w:line="240" w:lineRule="auto"/>
                    <w:ind w:left="0" w:firstLine="0"/>
                    <w:jc w:val="center"/>
                    <w:rPr>
                      <w:color w:val="auto"/>
                      <w:sz w:val="21"/>
                      <w:szCs w:val="21"/>
                    </w:rPr>
                  </w:pPr>
                  <w:r>
                    <w:rPr>
                      <w:rFonts w:hint="eastAsia"/>
                      <w:color w:val="auto"/>
                      <w:sz w:val="21"/>
                      <w:szCs w:val="21"/>
                    </w:rPr>
                    <w:t>1.95</w:t>
                  </w:r>
                </w:p>
              </w:tc>
              <w:tc>
                <w:tcPr>
                  <w:tcW w:w="0" w:type="auto"/>
                  <w:vAlign w:val="center"/>
                </w:tcPr>
                <w:p w14:paraId="0C4644CA">
                  <w:pPr>
                    <w:pStyle w:val="7"/>
                    <w:spacing w:line="240" w:lineRule="auto"/>
                    <w:ind w:left="0" w:firstLine="0"/>
                    <w:jc w:val="center"/>
                    <w:rPr>
                      <w:color w:val="auto"/>
                      <w:sz w:val="21"/>
                      <w:szCs w:val="21"/>
                    </w:rPr>
                  </w:pPr>
                  <w:r>
                    <w:rPr>
                      <w:rFonts w:hint="eastAsia"/>
                      <w:color w:val="auto"/>
                      <w:sz w:val="21"/>
                      <w:szCs w:val="21"/>
                    </w:rPr>
                    <w:t>2.03</w:t>
                  </w:r>
                </w:p>
              </w:tc>
              <w:tc>
                <w:tcPr>
                  <w:tcW w:w="0" w:type="auto"/>
                  <w:vAlign w:val="center"/>
                </w:tcPr>
                <w:p w14:paraId="3C661515">
                  <w:pPr>
                    <w:pStyle w:val="7"/>
                    <w:spacing w:line="240" w:lineRule="auto"/>
                    <w:ind w:left="0" w:firstLine="0"/>
                    <w:jc w:val="center"/>
                    <w:rPr>
                      <w:color w:val="auto"/>
                      <w:sz w:val="21"/>
                      <w:szCs w:val="21"/>
                    </w:rPr>
                  </w:pPr>
                  <w:r>
                    <w:rPr>
                      <w:rFonts w:hint="eastAsia"/>
                      <w:color w:val="auto"/>
                      <w:sz w:val="21"/>
                      <w:szCs w:val="21"/>
                    </w:rPr>
                    <w:t>2.78</w:t>
                  </w:r>
                </w:p>
              </w:tc>
              <w:tc>
                <w:tcPr>
                  <w:tcW w:w="0" w:type="auto"/>
                  <w:vAlign w:val="center"/>
                </w:tcPr>
                <w:p w14:paraId="3E100E27">
                  <w:pPr>
                    <w:pStyle w:val="7"/>
                    <w:spacing w:line="240" w:lineRule="auto"/>
                    <w:ind w:left="0" w:firstLine="0"/>
                    <w:jc w:val="center"/>
                    <w:rPr>
                      <w:color w:val="auto"/>
                      <w:sz w:val="21"/>
                      <w:szCs w:val="21"/>
                    </w:rPr>
                  </w:pPr>
                  <w:r>
                    <w:rPr>
                      <w:rFonts w:hint="eastAsia"/>
                      <w:color w:val="auto"/>
                      <w:sz w:val="21"/>
                      <w:szCs w:val="21"/>
                    </w:rPr>
                    <w:t>2.65</w:t>
                  </w:r>
                </w:p>
              </w:tc>
              <w:tc>
                <w:tcPr>
                  <w:tcW w:w="0" w:type="auto"/>
                  <w:vAlign w:val="center"/>
                </w:tcPr>
                <w:p w14:paraId="5F2C6267">
                  <w:pPr>
                    <w:pStyle w:val="7"/>
                    <w:spacing w:line="240" w:lineRule="auto"/>
                    <w:ind w:left="0" w:firstLine="0"/>
                    <w:jc w:val="center"/>
                    <w:rPr>
                      <w:color w:val="auto"/>
                      <w:sz w:val="21"/>
                      <w:szCs w:val="21"/>
                    </w:rPr>
                  </w:pPr>
                  <w:r>
                    <w:rPr>
                      <w:rFonts w:hint="eastAsia"/>
                      <w:color w:val="auto"/>
                      <w:sz w:val="21"/>
                      <w:szCs w:val="21"/>
                    </w:rPr>
                    <w:t>2.34</w:t>
                  </w:r>
                </w:p>
              </w:tc>
              <w:tc>
                <w:tcPr>
                  <w:tcW w:w="0" w:type="auto"/>
                  <w:vAlign w:val="center"/>
                </w:tcPr>
                <w:p w14:paraId="03D2F2C2">
                  <w:pPr>
                    <w:pStyle w:val="7"/>
                    <w:spacing w:line="240" w:lineRule="auto"/>
                    <w:ind w:left="0" w:firstLine="0"/>
                    <w:jc w:val="center"/>
                    <w:rPr>
                      <w:color w:val="auto"/>
                      <w:sz w:val="21"/>
                      <w:szCs w:val="21"/>
                    </w:rPr>
                  </w:pPr>
                  <w:r>
                    <w:rPr>
                      <w:rFonts w:hint="eastAsia"/>
                      <w:color w:val="auto"/>
                      <w:sz w:val="21"/>
                      <w:szCs w:val="21"/>
                    </w:rPr>
                    <w:t>2.41</w:t>
                  </w:r>
                </w:p>
              </w:tc>
            </w:tr>
            <w:tr w14:paraId="7AE67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vAlign w:val="center"/>
                </w:tcPr>
                <w:p w14:paraId="6F0F209D">
                  <w:pPr>
                    <w:pStyle w:val="7"/>
                    <w:spacing w:line="240" w:lineRule="auto"/>
                    <w:ind w:left="0" w:firstLine="0"/>
                    <w:jc w:val="center"/>
                    <w:rPr>
                      <w:color w:val="auto"/>
                      <w:sz w:val="21"/>
                      <w:szCs w:val="21"/>
                    </w:rPr>
                  </w:pPr>
                  <w:r>
                    <w:rPr>
                      <w:rFonts w:hint="eastAsia"/>
                      <w:color w:val="auto"/>
                      <w:sz w:val="21"/>
                      <w:szCs w:val="21"/>
                    </w:rPr>
                    <w:t>2022</w:t>
                  </w:r>
                </w:p>
              </w:tc>
              <w:tc>
                <w:tcPr>
                  <w:tcW w:w="0" w:type="auto"/>
                  <w:vAlign w:val="center"/>
                </w:tcPr>
                <w:p w14:paraId="7BFF2C70">
                  <w:pPr>
                    <w:pStyle w:val="7"/>
                    <w:spacing w:line="240" w:lineRule="auto"/>
                    <w:ind w:left="0" w:firstLine="0"/>
                    <w:jc w:val="center"/>
                    <w:rPr>
                      <w:color w:val="auto"/>
                      <w:sz w:val="21"/>
                      <w:szCs w:val="21"/>
                    </w:rPr>
                  </w:pPr>
                  <w:r>
                    <w:rPr>
                      <w:rFonts w:hint="eastAsia"/>
                      <w:color w:val="auto"/>
                      <w:sz w:val="21"/>
                      <w:szCs w:val="21"/>
                    </w:rPr>
                    <w:t>2.98</w:t>
                  </w:r>
                </w:p>
              </w:tc>
              <w:tc>
                <w:tcPr>
                  <w:tcW w:w="0" w:type="auto"/>
                  <w:vAlign w:val="center"/>
                </w:tcPr>
                <w:p w14:paraId="6263760A">
                  <w:pPr>
                    <w:pStyle w:val="7"/>
                    <w:spacing w:line="240" w:lineRule="auto"/>
                    <w:ind w:left="0" w:firstLine="0"/>
                    <w:jc w:val="center"/>
                    <w:rPr>
                      <w:color w:val="auto"/>
                      <w:sz w:val="21"/>
                      <w:szCs w:val="21"/>
                    </w:rPr>
                  </w:pPr>
                  <w:r>
                    <w:rPr>
                      <w:rFonts w:hint="eastAsia"/>
                      <w:color w:val="auto"/>
                      <w:sz w:val="21"/>
                      <w:szCs w:val="21"/>
                    </w:rPr>
                    <w:t>2.44</w:t>
                  </w:r>
                </w:p>
              </w:tc>
              <w:tc>
                <w:tcPr>
                  <w:tcW w:w="0" w:type="auto"/>
                  <w:vAlign w:val="center"/>
                </w:tcPr>
                <w:p w14:paraId="21655314">
                  <w:pPr>
                    <w:pStyle w:val="7"/>
                    <w:spacing w:line="240" w:lineRule="auto"/>
                    <w:ind w:left="0" w:firstLine="0"/>
                    <w:jc w:val="center"/>
                    <w:rPr>
                      <w:color w:val="auto"/>
                      <w:sz w:val="21"/>
                      <w:szCs w:val="21"/>
                    </w:rPr>
                  </w:pPr>
                  <w:r>
                    <w:rPr>
                      <w:rFonts w:hint="eastAsia"/>
                      <w:color w:val="auto"/>
                      <w:sz w:val="21"/>
                      <w:szCs w:val="21"/>
                    </w:rPr>
                    <w:t>2.45</w:t>
                  </w:r>
                </w:p>
              </w:tc>
              <w:tc>
                <w:tcPr>
                  <w:tcW w:w="0" w:type="auto"/>
                  <w:vAlign w:val="center"/>
                </w:tcPr>
                <w:p w14:paraId="02FBC90B">
                  <w:pPr>
                    <w:pStyle w:val="7"/>
                    <w:spacing w:line="240" w:lineRule="auto"/>
                    <w:ind w:left="0" w:firstLine="0"/>
                    <w:jc w:val="center"/>
                    <w:rPr>
                      <w:color w:val="auto"/>
                      <w:sz w:val="21"/>
                      <w:szCs w:val="21"/>
                    </w:rPr>
                  </w:pPr>
                  <w:r>
                    <w:rPr>
                      <w:rFonts w:hint="eastAsia"/>
                      <w:color w:val="auto"/>
                      <w:sz w:val="21"/>
                      <w:szCs w:val="21"/>
                    </w:rPr>
                    <w:t>2.18</w:t>
                  </w:r>
                </w:p>
              </w:tc>
              <w:tc>
                <w:tcPr>
                  <w:tcW w:w="0" w:type="auto"/>
                  <w:vAlign w:val="center"/>
                </w:tcPr>
                <w:p w14:paraId="6996A546">
                  <w:pPr>
                    <w:pStyle w:val="7"/>
                    <w:spacing w:line="240" w:lineRule="auto"/>
                    <w:ind w:left="0" w:firstLine="0"/>
                    <w:jc w:val="center"/>
                    <w:rPr>
                      <w:color w:val="auto"/>
                      <w:sz w:val="21"/>
                      <w:szCs w:val="21"/>
                    </w:rPr>
                  </w:pPr>
                  <w:r>
                    <w:rPr>
                      <w:rFonts w:hint="eastAsia"/>
                      <w:color w:val="auto"/>
                      <w:sz w:val="21"/>
                      <w:szCs w:val="21"/>
                    </w:rPr>
                    <w:t>3.36</w:t>
                  </w:r>
                </w:p>
              </w:tc>
              <w:tc>
                <w:tcPr>
                  <w:tcW w:w="0" w:type="auto"/>
                  <w:vAlign w:val="center"/>
                </w:tcPr>
                <w:p w14:paraId="18382CBD">
                  <w:pPr>
                    <w:pStyle w:val="7"/>
                    <w:spacing w:line="240" w:lineRule="auto"/>
                    <w:ind w:left="0" w:firstLine="0"/>
                    <w:jc w:val="center"/>
                    <w:rPr>
                      <w:color w:val="auto"/>
                      <w:sz w:val="21"/>
                      <w:szCs w:val="21"/>
                    </w:rPr>
                  </w:pPr>
                  <w:r>
                    <w:rPr>
                      <w:rFonts w:hint="eastAsia"/>
                      <w:color w:val="auto"/>
                      <w:sz w:val="21"/>
                      <w:szCs w:val="21"/>
                    </w:rPr>
                    <w:t>2.32</w:t>
                  </w:r>
                </w:p>
              </w:tc>
              <w:tc>
                <w:tcPr>
                  <w:tcW w:w="0" w:type="auto"/>
                  <w:vAlign w:val="center"/>
                </w:tcPr>
                <w:p w14:paraId="5F9A83A1">
                  <w:pPr>
                    <w:pStyle w:val="7"/>
                    <w:spacing w:line="240" w:lineRule="auto"/>
                    <w:ind w:left="0" w:firstLine="0"/>
                    <w:jc w:val="center"/>
                    <w:rPr>
                      <w:color w:val="auto"/>
                      <w:sz w:val="21"/>
                      <w:szCs w:val="21"/>
                    </w:rPr>
                  </w:pPr>
                  <w:r>
                    <w:rPr>
                      <w:rFonts w:hint="eastAsia"/>
                      <w:color w:val="auto"/>
                      <w:sz w:val="21"/>
                      <w:szCs w:val="21"/>
                    </w:rPr>
                    <w:t>2.12</w:t>
                  </w:r>
                </w:p>
              </w:tc>
              <w:tc>
                <w:tcPr>
                  <w:tcW w:w="0" w:type="auto"/>
                  <w:vAlign w:val="center"/>
                </w:tcPr>
                <w:p w14:paraId="45F70B43">
                  <w:pPr>
                    <w:pStyle w:val="7"/>
                    <w:spacing w:line="240" w:lineRule="auto"/>
                    <w:ind w:left="0" w:firstLine="0"/>
                    <w:jc w:val="center"/>
                    <w:rPr>
                      <w:color w:val="auto"/>
                      <w:sz w:val="21"/>
                      <w:szCs w:val="21"/>
                    </w:rPr>
                  </w:pPr>
                  <w:r>
                    <w:rPr>
                      <w:rFonts w:hint="eastAsia"/>
                      <w:color w:val="auto"/>
                      <w:sz w:val="21"/>
                      <w:szCs w:val="21"/>
                    </w:rPr>
                    <w:t>1.73</w:t>
                  </w:r>
                </w:p>
              </w:tc>
              <w:tc>
                <w:tcPr>
                  <w:tcW w:w="0" w:type="auto"/>
                  <w:vAlign w:val="center"/>
                </w:tcPr>
                <w:p w14:paraId="2CF290AF">
                  <w:pPr>
                    <w:pStyle w:val="7"/>
                    <w:spacing w:line="240" w:lineRule="auto"/>
                    <w:ind w:left="0" w:firstLine="0"/>
                    <w:jc w:val="center"/>
                    <w:rPr>
                      <w:color w:val="auto"/>
                      <w:sz w:val="21"/>
                      <w:szCs w:val="21"/>
                    </w:rPr>
                  </w:pPr>
                  <w:r>
                    <w:rPr>
                      <w:rFonts w:hint="eastAsia"/>
                      <w:color w:val="auto"/>
                      <w:sz w:val="21"/>
                      <w:szCs w:val="21"/>
                    </w:rPr>
                    <w:t>1.98</w:t>
                  </w:r>
                </w:p>
              </w:tc>
              <w:tc>
                <w:tcPr>
                  <w:tcW w:w="0" w:type="auto"/>
                  <w:vAlign w:val="center"/>
                </w:tcPr>
                <w:p w14:paraId="7CE31896">
                  <w:pPr>
                    <w:pStyle w:val="7"/>
                    <w:spacing w:line="240" w:lineRule="auto"/>
                    <w:ind w:left="0" w:firstLine="0"/>
                    <w:jc w:val="center"/>
                    <w:rPr>
                      <w:color w:val="auto"/>
                      <w:sz w:val="21"/>
                      <w:szCs w:val="21"/>
                    </w:rPr>
                  </w:pPr>
                  <w:r>
                    <w:rPr>
                      <w:rFonts w:hint="eastAsia"/>
                      <w:color w:val="auto"/>
                      <w:sz w:val="21"/>
                      <w:szCs w:val="21"/>
                    </w:rPr>
                    <w:t>2.22</w:t>
                  </w:r>
                </w:p>
              </w:tc>
              <w:tc>
                <w:tcPr>
                  <w:tcW w:w="0" w:type="auto"/>
                  <w:vAlign w:val="center"/>
                </w:tcPr>
                <w:p w14:paraId="48D85BDF">
                  <w:pPr>
                    <w:pStyle w:val="7"/>
                    <w:spacing w:line="240" w:lineRule="auto"/>
                    <w:ind w:left="0" w:firstLine="0"/>
                    <w:jc w:val="center"/>
                    <w:rPr>
                      <w:color w:val="auto"/>
                      <w:sz w:val="21"/>
                      <w:szCs w:val="21"/>
                    </w:rPr>
                  </w:pPr>
                  <w:r>
                    <w:rPr>
                      <w:rFonts w:hint="eastAsia"/>
                      <w:color w:val="auto"/>
                      <w:sz w:val="21"/>
                      <w:szCs w:val="21"/>
                    </w:rPr>
                    <w:t>2.34</w:t>
                  </w:r>
                </w:p>
              </w:tc>
              <w:tc>
                <w:tcPr>
                  <w:tcW w:w="0" w:type="auto"/>
                  <w:vAlign w:val="center"/>
                </w:tcPr>
                <w:p w14:paraId="775E3512">
                  <w:pPr>
                    <w:pStyle w:val="7"/>
                    <w:spacing w:line="240" w:lineRule="auto"/>
                    <w:ind w:left="0" w:firstLine="0"/>
                    <w:jc w:val="center"/>
                    <w:rPr>
                      <w:color w:val="auto"/>
                      <w:sz w:val="21"/>
                      <w:szCs w:val="21"/>
                    </w:rPr>
                  </w:pPr>
                  <w:r>
                    <w:rPr>
                      <w:rFonts w:hint="eastAsia"/>
                      <w:color w:val="auto"/>
                      <w:sz w:val="21"/>
                      <w:szCs w:val="21"/>
                    </w:rPr>
                    <w:t>2.54</w:t>
                  </w:r>
                </w:p>
              </w:tc>
              <w:tc>
                <w:tcPr>
                  <w:tcW w:w="0" w:type="auto"/>
                  <w:vAlign w:val="center"/>
                </w:tcPr>
                <w:p w14:paraId="37CB672C">
                  <w:pPr>
                    <w:pStyle w:val="7"/>
                    <w:spacing w:line="240" w:lineRule="auto"/>
                    <w:ind w:left="0" w:firstLine="0"/>
                    <w:jc w:val="center"/>
                    <w:rPr>
                      <w:color w:val="auto"/>
                      <w:sz w:val="21"/>
                      <w:szCs w:val="21"/>
                    </w:rPr>
                  </w:pPr>
                  <w:r>
                    <w:rPr>
                      <w:rFonts w:hint="eastAsia"/>
                      <w:color w:val="auto"/>
                      <w:sz w:val="21"/>
                      <w:szCs w:val="21"/>
                    </w:rPr>
                    <w:t>2.39</w:t>
                  </w:r>
                </w:p>
              </w:tc>
            </w:tr>
            <w:tr w14:paraId="78C14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33F5CB17">
                  <w:pPr>
                    <w:pStyle w:val="7"/>
                    <w:spacing w:line="240" w:lineRule="auto"/>
                    <w:ind w:left="0" w:firstLine="0"/>
                    <w:jc w:val="center"/>
                    <w:rPr>
                      <w:color w:val="auto"/>
                      <w:sz w:val="21"/>
                      <w:szCs w:val="21"/>
                    </w:rPr>
                  </w:pPr>
                  <w:r>
                    <w:rPr>
                      <w:rFonts w:hint="eastAsia"/>
                      <w:color w:val="auto"/>
                      <w:sz w:val="21"/>
                      <w:szCs w:val="21"/>
                    </w:rPr>
                    <w:t>2023</w:t>
                  </w:r>
                </w:p>
              </w:tc>
              <w:tc>
                <w:tcPr>
                  <w:tcW w:w="0" w:type="auto"/>
                  <w:vAlign w:val="center"/>
                </w:tcPr>
                <w:p w14:paraId="49D9AA21">
                  <w:pPr>
                    <w:pStyle w:val="7"/>
                    <w:spacing w:line="240" w:lineRule="auto"/>
                    <w:ind w:left="0" w:firstLine="0"/>
                    <w:jc w:val="center"/>
                    <w:rPr>
                      <w:color w:val="auto"/>
                      <w:sz w:val="21"/>
                      <w:szCs w:val="21"/>
                    </w:rPr>
                  </w:pPr>
                  <w:r>
                    <w:rPr>
                      <w:rFonts w:hint="eastAsia"/>
                      <w:color w:val="auto"/>
                      <w:sz w:val="21"/>
                      <w:szCs w:val="21"/>
                    </w:rPr>
                    <w:t>2.76</w:t>
                  </w:r>
                </w:p>
              </w:tc>
              <w:tc>
                <w:tcPr>
                  <w:tcW w:w="0" w:type="auto"/>
                  <w:vAlign w:val="center"/>
                </w:tcPr>
                <w:p w14:paraId="3B0A7903">
                  <w:pPr>
                    <w:pStyle w:val="7"/>
                    <w:spacing w:line="240" w:lineRule="auto"/>
                    <w:ind w:left="0" w:firstLine="0"/>
                    <w:jc w:val="center"/>
                    <w:rPr>
                      <w:color w:val="auto"/>
                      <w:sz w:val="21"/>
                      <w:szCs w:val="21"/>
                    </w:rPr>
                  </w:pPr>
                  <w:r>
                    <w:rPr>
                      <w:rFonts w:hint="eastAsia"/>
                      <w:color w:val="auto"/>
                      <w:sz w:val="21"/>
                      <w:szCs w:val="21"/>
                    </w:rPr>
                    <w:t>2.43</w:t>
                  </w:r>
                </w:p>
              </w:tc>
              <w:tc>
                <w:tcPr>
                  <w:tcW w:w="0" w:type="auto"/>
                  <w:vAlign w:val="center"/>
                </w:tcPr>
                <w:p w14:paraId="4677542B">
                  <w:pPr>
                    <w:pStyle w:val="7"/>
                    <w:spacing w:line="240" w:lineRule="auto"/>
                    <w:ind w:left="0" w:firstLine="0"/>
                    <w:jc w:val="center"/>
                    <w:rPr>
                      <w:color w:val="auto"/>
                      <w:sz w:val="21"/>
                      <w:szCs w:val="21"/>
                    </w:rPr>
                  </w:pPr>
                  <w:r>
                    <w:rPr>
                      <w:rFonts w:hint="eastAsia"/>
                      <w:color w:val="auto"/>
                      <w:sz w:val="21"/>
                      <w:szCs w:val="21"/>
                    </w:rPr>
                    <w:t>2.44</w:t>
                  </w:r>
                </w:p>
              </w:tc>
              <w:tc>
                <w:tcPr>
                  <w:tcW w:w="0" w:type="auto"/>
                  <w:vAlign w:val="center"/>
                </w:tcPr>
                <w:p w14:paraId="69992D6D">
                  <w:pPr>
                    <w:pStyle w:val="7"/>
                    <w:spacing w:line="240" w:lineRule="auto"/>
                    <w:ind w:left="0" w:firstLine="0"/>
                    <w:jc w:val="center"/>
                    <w:rPr>
                      <w:color w:val="auto"/>
                      <w:sz w:val="21"/>
                      <w:szCs w:val="21"/>
                    </w:rPr>
                  </w:pPr>
                  <w:r>
                    <w:rPr>
                      <w:rFonts w:hint="eastAsia"/>
                      <w:color w:val="auto"/>
                      <w:sz w:val="21"/>
                      <w:szCs w:val="21"/>
                    </w:rPr>
                    <w:t>2.99</w:t>
                  </w:r>
                </w:p>
              </w:tc>
              <w:tc>
                <w:tcPr>
                  <w:tcW w:w="0" w:type="auto"/>
                  <w:vAlign w:val="center"/>
                </w:tcPr>
                <w:p w14:paraId="3B145145">
                  <w:pPr>
                    <w:pStyle w:val="7"/>
                    <w:spacing w:line="240" w:lineRule="auto"/>
                    <w:ind w:left="0" w:firstLine="0"/>
                    <w:jc w:val="center"/>
                    <w:rPr>
                      <w:color w:val="auto"/>
                      <w:sz w:val="21"/>
                      <w:szCs w:val="21"/>
                    </w:rPr>
                  </w:pPr>
                  <w:r>
                    <w:rPr>
                      <w:rFonts w:hint="eastAsia"/>
                      <w:color w:val="auto"/>
                      <w:sz w:val="21"/>
                      <w:szCs w:val="21"/>
                    </w:rPr>
                    <w:t>2.85</w:t>
                  </w:r>
                </w:p>
              </w:tc>
              <w:tc>
                <w:tcPr>
                  <w:tcW w:w="0" w:type="auto"/>
                  <w:vAlign w:val="center"/>
                </w:tcPr>
                <w:p w14:paraId="65995A13">
                  <w:pPr>
                    <w:pStyle w:val="7"/>
                    <w:spacing w:line="240" w:lineRule="auto"/>
                    <w:ind w:left="0" w:firstLine="0"/>
                    <w:jc w:val="center"/>
                    <w:rPr>
                      <w:color w:val="auto"/>
                      <w:sz w:val="21"/>
                      <w:szCs w:val="21"/>
                    </w:rPr>
                  </w:pPr>
                  <w:r>
                    <w:rPr>
                      <w:rFonts w:hint="eastAsia"/>
                      <w:color w:val="auto"/>
                      <w:sz w:val="21"/>
                      <w:szCs w:val="21"/>
                    </w:rPr>
                    <w:t>2.15</w:t>
                  </w:r>
                </w:p>
              </w:tc>
              <w:tc>
                <w:tcPr>
                  <w:tcW w:w="0" w:type="auto"/>
                  <w:vAlign w:val="center"/>
                </w:tcPr>
                <w:p w14:paraId="7B4710C6">
                  <w:pPr>
                    <w:pStyle w:val="7"/>
                    <w:spacing w:line="240" w:lineRule="auto"/>
                    <w:ind w:left="0" w:firstLine="0"/>
                    <w:jc w:val="center"/>
                    <w:rPr>
                      <w:color w:val="auto"/>
                      <w:sz w:val="21"/>
                      <w:szCs w:val="21"/>
                    </w:rPr>
                  </w:pPr>
                  <w:r>
                    <w:rPr>
                      <w:rFonts w:hint="eastAsia"/>
                      <w:color w:val="auto"/>
                      <w:sz w:val="21"/>
                      <w:szCs w:val="21"/>
                    </w:rPr>
                    <w:t>2.23</w:t>
                  </w:r>
                </w:p>
              </w:tc>
              <w:tc>
                <w:tcPr>
                  <w:tcW w:w="0" w:type="auto"/>
                  <w:vAlign w:val="center"/>
                </w:tcPr>
                <w:p w14:paraId="5D2EF55E">
                  <w:pPr>
                    <w:pStyle w:val="7"/>
                    <w:spacing w:line="240" w:lineRule="auto"/>
                    <w:ind w:left="0" w:firstLine="0"/>
                    <w:jc w:val="center"/>
                    <w:rPr>
                      <w:color w:val="auto"/>
                      <w:sz w:val="21"/>
                      <w:szCs w:val="21"/>
                    </w:rPr>
                  </w:pPr>
                  <w:r>
                    <w:rPr>
                      <w:rFonts w:hint="eastAsia"/>
                      <w:color w:val="auto"/>
                      <w:sz w:val="21"/>
                      <w:szCs w:val="21"/>
                    </w:rPr>
                    <w:t>2.01</w:t>
                  </w:r>
                </w:p>
              </w:tc>
              <w:tc>
                <w:tcPr>
                  <w:tcW w:w="0" w:type="auto"/>
                  <w:vAlign w:val="center"/>
                </w:tcPr>
                <w:p w14:paraId="0F154BAC">
                  <w:pPr>
                    <w:pStyle w:val="7"/>
                    <w:spacing w:line="240" w:lineRule="auto"/>
                    <w:ind w:left="0" w:firstLine="0"/>
                    <w:jc w:val="center"/>
                    <w:rPr>
                      <w:color w:val="auto"/>
                      <w:sz w:val="21"/>
                      <w:szCs w:val="21"/>
                    </w:rPr>
                  </w:pPr>
                  <w:r>
                    <w:rPr>
                      <w:rFonts w:hint="eastAsia"/>
                      <w:color w:val="auto"/>
                      <w:sz w:val="21"/>
                      <w:szCs w:val="21"/>
                    </w:rPr>
                    <w:t>2.05</w:t>
                  </w:r>
                </w:p>
              </w:tc>
              <w:tc>
                <w:tcPr>
                  <w:tcW w:w="0" w:type="auto"/>
                  <w:vAlign w:val="center"/>
                </w:tcPr>
                <w:p w14:paraId="7BEA7421">
                  <w:pPr>
                    <w:pStyle w:val="7"/>
                    <w:spacing w:line="240" w:lineRule="auto"/>
                    <w:ind w:left="0" w:firstLine="0"/>
                    <w:jc w:val="center"/>
                    <w:rPr>
                      <w:color w:val="auto"/>
                      <w:sz w:val="21"/>
                      <w:szCs w:val="21"/>
                    </w:rPr>
                  </w:pPr>
                  <w:r>
                    <w:rPr>
                      <w:rFonts w:hint="eastAsia"/>
                      <w:color w:val="auto"/>
                      <w:sz w:val="21"/>
                      <w:szCs w:val="21"/>
                    </w:rPr>
                    <w:t>2.56</w:t>
                  </w:r>
                </w:p>
              </w:tc>
              <w:tc>
                <w:tcPr>
                  <w:tcW w:w="0" w:type="auto"/>
                  <w:vAlign w:val="center"/>
                </w:tcPr>
                <w:p w14:paraId="71A8ECEB">
                  <w:pPr>
                    <w:pStyle w:val="7"/>
                    <w:spacing w:line="240" w:lineRule="auto"/>
                    <w:ind w:left="0" w:firstLine="0"/>
                    <w:jc w:val="center"/>
                    <w:rPr>
                      <w:color w:val="auto"/>
                      <w:sz w:val="21"/>
                      <w:szCs w:val="21"/>
                    </w:rPr>
                  </w:pPr>
                  <w:r>
                    <w:rPr>
                      <w:rFonts w:hint="eastAsia"/>
                      <w:color w:val="auto"/>
                      <w:sz w:val="21"/>
                      <w:szCs w:val="21"/>
                    </w:rPr>
                    <w:t>2.37</w:t>
                  </w:r>
                </w:p>
              </w:tc>
              <w:tc>
                <w:tcPr>
                  <w:tcW w:w="0" w:type="auto"/>
                  <w:vAlign w:val="center"/>
                </w:tcPr>
                <w:p w14:paraId="7A4C0E7D">
                  <w:pPr>
                    <w:pStyle w:val="7"/>
                    <w:spacing w:line="240" w:lineRule="auto"/>
                    <w:ind w:left="0" w:firstLine="0"/>
                    <w:jc w:val="center"/>
                    <w:rPr>
                      <w:color w:val="auto"/>
                      <w:sz w:val="21"/>
                      <w:szCs w:val="21"/>
                    </w:rPr>
                  </w:pPr>
                  <w:r>
                    <w:rPr>
                      <w:rFonts w:hint="eastAsia"/>
                      <w:color w:val="auto"/>
                      <w:sz w:val="21"/>
                      <w:szCs w:val="21"/>
                    </w:rPr>
                    <w:t>2.87</w:t>
                  </w:r>
                </w:p>
              </w:tc>
              <w:tc>
                <w:tcPr>
                  <w:tcW w:w="0" w:type="auto"/>
                  <w:vAlign w:val="center"/>
                </w:tcPr>
                <w:p w14:paraId="07E6C053">
                  <w:pPr>
                    <w:pStyle w:val="7"/>
                    <w:spacing w:line="240" w:lineRule="auto"/>
                    <w:ind w:left="0" w:firstLine="0"/>
                    <w:jc w:val="center"/>
                    <w:rPr>
                      <w:color w:val="auto"/>
                      <w:sz w:val="21"/>
                      <w:szCs w:val="21"/>
                    </w:rPr>
                  </w:pPr>
                  <w:r>
                    <w:rPr>
                      <w:color w:val="auto"/>
                      <w:sz w:val="21"/>
                      <w:szCs w:val="21"/>
                    </w:rPr>
                    <w:t>2</w:t>
                  </w:r>
                  <w:r>
                    <w:rPr>
                      <w:rFonts w:hint="eastAsia"/>
                      <w:color w:val="auto"/>
                      <w:sz w:val="21"/>
                      <w:szCs w:val="21"/>
                    </w:rPr>
                    <w:t>.47</w:t>
                  </w:r>
                </w:p>
              </w:tc>
            </w:tr>
            <w:tr w14:paraId="29742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3349A014">
                  <w:pPr>
                    <w:pStyle w:val="7"/>
                    <w:spacing w:line="240" w:lineRule="auto"/>
                    <w:ind w:left="0" w:firstLine="0"/>
                    <w:jc w:val="center"/>
                    <w:rPr>
                      <w:color w:val="auto"/>
                      <w:sz w:val="21"/>
                      <w:szCs w:val="21"/>
                    </w:rPr>
                  </w:pPr>
                  <w:r>
                    <w:rPr>
                      <w:rFonts w:hint="eastAsia"/>
                      <w:color w:val="auto"/>
                      <w:sz w:val="21"/>
                      <w:szCs w:val="21"/>
                    </w:rPr>
                    <w:t>2024</w:t>
                  </w:r>
                </w:p>
              </w:tc>
              <w:tc>
                <w:tcPr>
                  <w:tcW w:w="0" w:type="auto"/>
                  <w:vAlign w:val="center"/>
                </w:tcPr>
                <w:p w14:paraId="56F4027D">
                  <w:pPr>
                    <w:pStyle w:val="7"/>
                    <w:spacing w:line="240" w:lineRule="auto"/>
                    <w:ind w:left="0" w:firstLine="0"/>
                    <w:jc w:val="center"/>
                    <w:rPr>
                      <w:color w:val="auto"/>
                      <w:sz w:val="21"/>
                      <w:szCs w:val="21"/>
                    </w:rPr>
                  </w:pPr>
                  <w:r>
                    <w:rPr>
                      <w:rFonts w:hint="eastAsia"/>
                      <w:color w:val="auto"/>
                      <w:sz w:val="21"/>
                      <w:szCs w:val="21"/>
                    </w:rPr>
                    <w:t>2.84</w:t>
                  </w:r>
                </w:p>
              </w:tc>
              <w:tc>
                <w:tcPr>
                  <w:tcW w:w="0" w:type="auto"/>
                  <w:vAlign w:val="center"/>
                </w:tcPr>
                <w:p w14:paraId="47F9C0F4">
                  <w:pPr>
                    <w:pStyle w:val="7"/>
                    <w:spacing w:line="240" w:lineRule="auto"/>
                    <w:ind w:left="0" w:firstLine="0"/>
                    <w:jc w:val="center"/>
                    <w:rPr>
                      <w:color w:val="auto"/>
                      <w:sz w:val="21"/>
                      <w:szCs w:val="21"/>
                    </w:rPr>
                  </w:pPr>
                  <w:r>
                    <w:rPr>
                      <w:rFonts w:hint="eastAsia"/>
                      <w:color w:val="auto"/>
                      <w:sz w:val="21"/>
                      <w:szCs w:val="21"/>
                    </w:rPr>
                    <w:t>2.56</w:t>
                  </w:r>
                </w:p>
              </w:tc>
              <w:tc>
                <w:tcPr>
                  <w:tcW w:w="0" w:type="auto"/>
                  <w:vAlign w:val="center"/>
                </w:tcPr>
                <w:p w14:paraId="635D9AFD">
                  <w:pPr>
                    <w:pStyle w:val="7"/>
                    <w:spacing w:line="240" w:lineRule="auto"/>
                    <w:ind w:left="0" w:firstLine="0"/>
                    <w:jc w:val="center"/>
                    <w:rPr>
                      <w:color w:val="auto"/>
                      <w:sz w:val="21"/>
                      <w:szCs w:val="21"/>
                    </w:rPr>
                  </w:pPr>
                  <w:r>
                    <w:rPr>
                      <w:rFonts w:hint="eastAsia"/>
                      <w:color w:val="auto"/>
                      <w:sz w:val="21"/>
                      <w:szCs w:val="21"/>
                    </w:rPr>
                    <w:t>2.33</w:t>
                  </w:r>
                </w:p>
              </w:tc>
              <w:tc>
                <w:tcPr>
                  <w:tcW w:w="0" w:type="auto"/>
                  <w:vAlign w:val="center"/>
                </w:tcPr>
                <w:p w14:paraId="13247A58">
                  <w:pPr>
                    <w:pStyle w:val="7"/>
                    <w:spacing w:line="240" w:lineRule="auto"/>
                    <w:ind w:left="0" w:firstLine="0"/>
                    <w:jc w:val="center"/>
                    <w:rPr>
                      <w:color w:val="auto"/>
                      <w:sz w:val="21"/>
                      <w:szCs w:val="21"/>
                    </w:rPr>
                  </w:pPr>
                  <w:r>
                    <w:rPr>
                      <w:rFonts w:hint="eastAsia"/>
                      <w:color w:val="auto"/>
                      <w:sz w:val="21"/>
                      <w:szCs w:val="21"/>
                    </w:rPr>
                    <w:t>2.67</w:t>
                  </w:r>
                </w:p>
              </w:tc>
              <w:tc>
                <w:tcPr>
                  <w:tcW w:w="0" w:type="auto"/>
                  <w:vAlign w:val="center"/>
                </w:tcPr>
                <w:p w14:paraId="77FAE2F4">
                  <w:pPr>
                    <w:pStyle w:val="7"/>
                    <w:spacing w:line="240" w:lineRule="auto"/>
                    <w:ind w:left="0" w:firstLine="0"/>
                    <w:jc w:val="center"/>
                    <w:rPr>
                      <w:color w:val="auto"/>
                      <w:sz w:val="21"/>
                      <w:szCs w:val="21"/>
                    </w:rPr>
                  </w:pPr>
                  <w:r>
                    <w:rPr>
                      <w:rFonts w:hint="eastAsia"/>
                      <w:color w:val="auto"/>
                      <w:sz w:val="21"/>
                      <w:szCs w:val="21"/>
                    </w:rPr>
                    <w:t>2.66</w:t>
                  </w:r>
                </w:p>
              </w:tc>
              <w:tc>
                <w:tcPr>
                  <w:tcW w:w="0" w:type="auto"/>
                  <w:vAlign w:val="center"/>
                </w:tcPr>
                <w:p w14:paraId="3999B892">
                  <w:pPr>
                    <w:pStyle w:val="7"/>
                    <w:spacing w:line="240" w:lineRule="auto"/>
                    <w:ind w:left="0" w:firstLine="0"/>
                    <w:jc w:val="center"/>
                    <w:rPr>
                      <w:color w:val="auto"/>
                      <w:sz w:val="21"/>
                      <w:szCs w:val="21"/>
                    </w:rPr>
                  </w:pPr>
                  <w:r>
                    <w:rPr>
                      <w:rFonts w:hint="eastAsia"/>
                      <w:color w:val="auto"/>
                      <w:sz w:val="21"/>
                      <w:szCs w:val="21"/>
                    </w:rPr>
                    <w:t>2.31</w:t>
                  </w:r>
                </w:p>
              </w:tc>
              <w:tc>
                <w:tcPr>
                  <w:tcW w:w="0" w:type="auto"/>
                  <w:vAlign w:val="center"/>
                </w:tcPr>
                <w:p w14:paraId="2F956ABF">
                  <w:pPr>
                    <w:pStyle w:val="7"/>
                    <w:spacing w:line="240" w:lineRule="auto"/>
                    <w:ind w:left="0" w:firstLine="0"/>
                    <w:jc w:val="center"/>
                    <w:rPr>
                      <w:color w:val="auto"/>
                      <w:sz w:val="21"/>
                      <w:szCs w:val="21"/>
                    </w:rPr>
                  </w:pPr>
                  <w:r>
                    <w:rPr>
                      <w:rFonts w:hint="eastAsia"/>
                      <w:color w:val="auto"/>
                      <w:sz w:val="21"/>
                      <w:szCs w:val="21"/>
                    </w:rPr>
                    <w:t>2.21</w:t>
                  </w:r>
                </w:p>
              </w:tc>
              <w:tc>
                <w:tcPr>
                  <w:tcW w:w="0" w:type="auto"/>
                  <w:vAlign w:val="center"/>
                </w:tcPr>
                <w:p w14:paraId="4AE9F950">
                  <w:pPr>
                    <w:pStyle w:val="7"/>
                    <w:spacing w:line="240" w:lineRule="auto"/>
                    <w:ind w:left="0" w:firstLine="0"/>
                    <w:jc w:val="center"/>
                    <w:rPr>
                      <w:color w:val="auto"/>
                      <w:sz w:val="21"/>
                      <w:szCs w:val="21"/>
                    </w:rPr>
                  </w:pPr>
                  <w:r>
                    <w:rPr>
                      <w:rFonts w:hint="eastAsia"/>
                      <w:color w:val="auto"/>
                      <w:sz w:val="21"/>
                      <w:szCs w:val="21"/>
                    </w:rPr>
                    <w:t>2.15</w:t>
                  </w:r>
                </w:p>
              </w:tc>
              <w:tc>
                <w:tcPr>
                  <w:tcW w:w="0" w:type="auto"/>
                  <w:vAlign w:val="center"/>
                </w:tcPr>
                <w:p w14:paraId="2BEAD68A">
                  <w:pPr>
                    <w:pStyle w:val="7"/>
                    <w:spacing w:line="240" w:lineRule="auto"/>
                    <w:ind w:left="0" w:firstLine="0"/>
                    <w:jc w:val="center"/>
                    <w:rPr>
                      <w:color w:val="auto"/>
                      <w:sz w:val="21"/>
                      <w:szCs w:val="21"/>
                    </w:rPr>
                  </w:pPr>
                  <w:r>
                    <w:rPr>
                      <w:rFonts w:hint="eastAsia"/>
                      <w:color w:val="auto"/>
                      <w:sz w:val="21"/>
                      <w:szCs w:val="21"/>
                    </w:rPr>
                    <w:t>2.21</w:t>
                  </w:r>
                </w:p>
              </w:tc>
              <w:tc>
                <w:tcPr>
                  <w:tcW w:w="0" w:type="auto"/>
                  <w:vAlign w:val="center"/>
                </w:tcPr>
                <w:p w14:paraId="17AF6215">
                  <w:pPr>
                    <w:pStyle w:val="7"/>
                    <w:spacing w:line="240" w:lineRule="auto"/>
                    <w:ind w:left="0" w:firstLine="0"/>
                    <w:jc w:val="center"/>
                    <w:rPr>
                      <w:color w:val="auto"/>
                      <w:sz w:val="21"/>
                      <w:szCs w:val="21"/>
                    </w:rPr>
                  </w:pPr>
                  <w:r>
                    <w:rPr>
                      <w:rFonts w:hint="eastAsia"/>
                      <w:color w:val="auto"/>
                      <w:sz w:val="21"/>
                      <w:szCs w:val="21"/>
                    </w:rPr>
                    <w:t>2.36</w:t>
                  </w:r>
                </w:p>
              </w:tc>
              <w:tc>
                <w:tcPr>
                  <w:tcW w:w="0" w:type="auto"/>
                  <w:vAlign w:val="center"/>
                </w:tcPr>
                <w:p w14:paraId="611F104E">
                  <w:pPr>
                    <w:pStyle w:val="7"/>
                    <w:spacing w:line="240" w:lineRule="auto"/>
                    <w:ind w:left="0" w:firstLine="0"/>
                    <w:jc w:val="center"/>
                    <w:rPr>
                      <w:color w:val="auto"/>
                      <w:sz w:val="21"/>
                      <w:szCs w:val="21"/>
                    </w:rPr>
                  </w:pPr>
                  <w:r>
                    <w:rPr>
                      <w:rFonts w:hint="eastAsia"/>
                      <w:color w:val="auto"/>
                      <w:sz w:val="21"/>
                      <w:szCs w:val="21"/>
                    </w:rPr>
                    <w:t>2.32</w:t>
                  </w:r>
                </w:p>
              </w:tc>
              <w:tc>
                <w:tcPr>
                  <w:tcW w:w="0" w:type="auto"/>
                  <w:vAlign w:val="center"/>
                </w:tcPr>
                <w:p w14:paraId="511C9DA4">
                  <w:pPr>
                    <w:pStyle w:val="7"/>
                    <w:spacing w:line="240" w:lineRule="auto"/>
                    <w:ind w:left="0" w:firstLine="0"/>
                    <w:jc w:val="center"/>
                    <w:rPr>
                      <w:color w:val="auto"/>
                      <w:sz w:val="21"/>
                      <w:szCs w:val="21"/>
                    </w:rPr>
                  </w:pPr>
                  <w:r>
                    <w:rPr>
                      <w:rFonts w:hint="eastAsia"/>
                      <w:color w:val="auto"/>
                      <w:sz w:val="21"/>
                      <w:szCs w:val="21"/>
                    </w:rPr>
                    <w:t>2.47</w:t>
                  </w:r>
                </w:p>
              </w:tc>
              <w:tc>
                <w:tcPr>
                  <w:tcW w:w="0" w:type="auto"/>
                  <w:vAlign w:val="center"/>
                </w:tcPr>
                <w:p w14:paraId="74EB8559">
                  <w:pPr>
                    <w:pStyle w:val="7"/>
                    <w:spacing w:line="240" w:lineRule="auto"/>
                    <w:ind w:left="0" w:firstLine="0"/>
                    <w:jc w:val="center"/>
                    <w:rPr>
                      <w:color w:val="auto"/>
                      <w:sz w:val="21"/>
                      <w:szCs w:val="21"/>
                    </w:rPr>
                  </w:pPr>
                  <w:r>
                    <w:rPr>
                      <w:rFonts w:hint="eastAsia"/>
                      <w:color w:val="auto"/>
                      <w:sz w:val="21"/>
                      <w:szCs w:val="21"/>
                    </w:rPr>
                    <w:t>2.42</w:t>
                  </w:r>
                </w:p>
              </w:tc>
            </w:tr>
            <w:tr w14:paraId="2373F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13"/>
                  <w:vAlign w:val="center"/>
                </w:tcPr>
                <w:p w14:paraId="3728F3C8">
                  <w:pPr>
                    <w:pStyle w:val="7"/>
                    <w:spacing w:line="240" w:lineRule="auto"/>
                    <w:ind w:left="0" w:firstLine="0"/>
                    <w:jc w:val="center"/>
                    <w:rPr>
                      <w:color w:val="auto"/>
                      <w:sz w:val="21"/>
                      <w:szCs w:val="21"/>
                    </w:rPr>
                  </w:pPr>
                  <w:r>
                    <w:rPr>
                      <w:rFonts w:hint="eastAsia"/>
                      <w:color w:val="auto"/>
                      <w:sz w:val="21"/>
                      <w:szCs w:val="21"/>
                    </w:rPr>
                    <w:t>五年平均风速</w:t>
                  </w:r>
                </w:p>
              </w:tc>
              <w:tc>
                <w:tcPr>
                  <w:tcW w:w="0" w:type="auto"/>
                  <w:vAlign w:val="center"/>
                </w:tcPr>
                <w:p w14:paraId="37048270">
                  <w:pPr>
                    <w:pStyle w:val="7"/>
                    <w:spacing w:line="240" w:lineRule="auto"/>
                    <w:ind w:left="0" w:firstLine="0"/>
                    <w:jc w:val="center"/>
                    <w:rPr>
                      <w:color w:val="auto"/>
                      <w:sz w:val="21"/>
                      <w:szCs w:val="21"/>
                    </w:rPr>
                  </w:pPr>
                  <w:r>
                    <w:rPr>
                      <w:rFonts w:hint="eastAsia"/>
                      <w:color w:val="auto"/>
                      <w:sz w:val="21"/>
                      <w:szCs w:val="21"/>
                    </w:rPr>
                    <w:t>2.42</w:t>
                  </w:r>
                </w:p>
              </w:tc>
            </w:tr>
          </w:tbl>
          <w:p w14:paraId="6FA69123">
            <w:pPr>
              <w:spacing w:line="360" w:lineRule="auto"/>
              <w:ind w:firstLine="480" w:firstLineChars="200"/>
              <w:rPr>
                <w:color w:val="auto"/>
                <w:sz w:val="24"/>
              </w:rPr>
            </w:pPr>
            <w:r>
              <w:rPr>
                <w:rFonts w:hint="eastAsia"/>
                <w:color w:val="auto"/>
                <w:sz w:val="24"/>
              </w:rPr>
              <w:t>根据项目特点，生产中存在无组织废气排放，主要污染物为</w:t>
            </w:r>
            <w:r>
              <w:rPr>
                <w:rFonts w:hint="default" w:ascii="Times New Roman" w:hAnsi="Times New Roman" w:cs="Times New Roman"/>
                <w:bCs/>
                <w:color w:val="auto"/>
                <w:sz w:val="24"/>
                <w:szCs w:val="24"/>
                <w:vertAlign w:val="baseline"/>
                <w:lang w:val="en-US" w:eastAsia="zh-CN"/>
              </w:rPr>
              <w:t>NMHC</w:t>
            </w:r>
            <w:r>
              <w:rPr>
                <w:rFonts w:hint="eastAsia"/>
                <w:color w:val="auto"/>
                <w:sz w:val="24"/>
              </w:rPr>
              <w:t>，根据</w:t>
            </w:r>
            <w:r>
              <w:rPr>
                <w:rFonts w:ascii="Times New Roman" w:hAnsi="Times New Roman"/>
                <w:color w:val="auto"/>
                <w:sz w:val="24"/>
                <w:szCs w:val="24"/>
              </w:rPr>
              <w:t>高安市气象站</w:t>
            </w:r>
            <w:r>
              <w:rPr>
                <w:rFonts w:hint="eastAsia"/>
                <w:color w:val="auto"/>
                <w:sz w:val="24"/>
              </w:rPr>
              <w:t>发布的近几年的监测数据。则项目卫生防护距离计算见表4-</w:t>
            </w:r>
            <w:r>
              <w:rPr>
                <w:rFonts w:hint="eastAsia"/>
                <w:color w:val="auto"/>
                <w:sz w:val="24"/>
                <w:lang w:val="en-US" w:eastAsia="zh-CN"/>
              </w:rPr>
              <w:t>9</w:t>
            </w:r>
            <w:r>
              <w:rPr>
                <w:rFonts w:hint="eastAsia"/>
                <w:color w:val="auto"/>
                <w:sz w:val="24"/>
              </w:rPr>
              <w:t>。</w:t>
            </w:r>
          </w:p>
          <w:p w14:paraId="10A86B27">
            <w:pPr>
              <w:pageBreakBefore w:val="0"/>
              <w:widowControl w:val="0"/>
              <w:kinsoku/>
              <w:wordWrap/>
              <w:overflowPunct/>
              <w:topLinePunct w:val="0"/>
              <w:autoSpaceDE/>
              <w:autoSpaceDN/>
              <w:bidi w:val="0"/>
              <w:adjustRightInd/>
              <w:snapToGrid/>
              <w:spacing w:line="240" w:lineRule="auto"/>
              <w:jc w:val="center"/>
              <w:rPr>
                <w:b/>
                <w:color w:val="auto"/>
                <w:sz w:val="24"/>
              </w:rPr>
            </w:pPr>
            <w:r>
              <w:rPr>
                <w:b/>
                <w:color w:val="auto"/>
                <w:sz w:val="24"/>
              </w:rPr>
              <w:t>表4-</w:t>
            </w:r>
            <w:r>
              <w:rPr>
                <w:rFonts w:hint="eastAsia"/>
                <w:b/>
                <w:color w:val="auto"/>
                <w:sz w:val="24"/>
                <w:lang w:val="en-US" w:eastAsia="zh-CN"/>
              </w:rPr>
              <w:t>9</w:t>
            </w:r>
            <w:r>
              <w:rPr>
                <w:b/>
                <w:color w:val="auto"/>
                <w:sz w:val="24"/>
              </w:rPr>
              <w:t xml:space="preserve">  卫生防护距离计算结果</w:t>
            </w: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3"/>
              <w:gridCol w:w="932"/>
              <w:gridCol w:w="1063"/>
              <w:gridCol w:w="1063"/>
              <w:gridCol w:w="1063"/>
              <w:gridCol w:w="1063"/>
              <w:gridCol w:w="1064"/>
              <w:gridCol w:w="1068"/>
            </w:tblGrid>
            <w:tr w14:paraId="55273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701" w:type="pct"/>
                  <w:vMerge w:val="restart"/>
                  <w:vAlign w:val="center"/>
                </w:tcPr>
                <w:p w14:paraId="445E4FE4">
                  <w:pPr>
                    <w:pStyle w:val="55"/>
                    <w:pageBreakBefore w:val="0"/>
                    <w:widowControl w:val="0"/>
                    <w:kinsoku/>
                    <w:wordWrap/>
                    <w:overflowPunct/>
                    <w:topLinePunct w:val="0"/>
                    <w:autoSpaceDE/>
                    <w:autoSpaceDN/>
                    <w:bidi w:val="0"/>
                    <w:adjustRightInd/>
                    <w:snapToGrid/>
                    <w:spacing w:before="0" w:beforeLines="0" w:after="0" w:afterLines="0" w:line="240" w:lineRule="auto"/>
                    <w:jc w:val="center"/>
                    <w:rPr>
                      <w:rFonts w:ascii="Times New Roman" w:hAnsi="Times New Roman"/>
                      <w:color w:val="auto"/>
                      <w:szCs w:val="21"/>
                      <w:lang w:val="zh-CN"/>
                    </w:rPr>
                  </w:pPr>
                  <w:r>
                    <w:rPr>
                      <w:rFonts w:ascii="Times New Roman" w:hAnsi="Times New Roman"/>
                      <w:b/>
                      <w:bCs/>
                      <w:color w:val="auto"/>
                      <w:szCs w:val="21"/>
                    </w:rPr>
                    <w:t>污染源位置</w:t>
                  </w:r>
                </w:p>
              </w:tc>
              <w:tc>
                <w:tcPr>
                  <w:tcW w:w="548" w:type="pct"/>
                  <w:vMerge w:val="restart"/>
                  <w:vAlign w:val="center"/>
                </w:tcPr>
                <w:p w14:paraId="015C8FA4">
                  <w:pPr>
                    <w:pStyle w:val="55"/>
                    <w:pageBreakBefore w:val="0"/>
                    <w:widowControl w:val="0"/>
                    <w:kinsoku/>
                    <w:wordWrap/>
                    <w:overflowPunct/>
                    <w:topLinePunct w:val="0"/>
                    <w:autoSpaceDE/>
                    <w:autoSpaceDN/>
                    <w:bidi w:val="0"/>
                    <w:adjustRightInd/>
                    <w:snapToGrid/>
                    <w:spacing w:before="0" w:beforeLines="0" w:after="0" w:afterLines="0" w:line="240" w:lineRule="auto"/>
                    <w:rPr>
                      <w:rFonts w:ascii="Times New Roman" w:hAnsi="Times New Roman"/>
                      <w:color w:val="auto"/>
                      <w:szCs w:val="21"/>
                    </w:rPr>
                  </w:pPr>
                  <w:r>
                    <w:rPr>
                      <w:rFonts w:ascii="Times New Roman" w:hAnsi="Times New Roman"/>
                      <w:b/>
                      <w:bCs/>
                      <w:color w:val="auto"/>
                      <w:szCs w:val="21"/>
                    </w:rPr>
                    <w:t>污染物名称</w:t>
                  </w:r>
                </w:p>
              </w:tc>
              <w:tc>
                <w:tcPr>
                  <w:tcW w:w="624" w:type="pct"/>
                  <w:vMerge w:val="restart"/>
                  <w:vAlign w:val="center"/>
                </w:tcPr>
                <w:p w14:paraId="12BAC4B5">
                  <w:pPr>
                    <w:pStyle w:val="55"/>
                    <w:pageBreakBefore w:val="0"/>
                    <w:widowControl w:val="0"/>
                    <w:kinsoku/>
                    <w:wordWrap/>
                    <w:overflowPunct/>
                    <w:topLinePunct w:val="0"/>
                    <w:autoSpaceDE/>
                    <w:autoSpaceDN/>
                    <w:bidi w:val="0"/>
                    <w:adjustRightInd/>
                    <w:snapToGrid/>
                    <w:spacing w:before="0" w:beforeLines="0" w:after="0" w:afterLines="0" w:line="240" w:lineRule="auto"/>
                    <w:rPr>
                      <w:rFonts w:ascii="Times New Roman" w:hAnsi="Times New Roman"/>
                      <w:color w:val="auto"/>
                      <w:szCs w:val="21"/>
                      <w:lang w:val="zh-CN"/>
                    </w:rPr>
                  </w:pPr>
                  <w:r>
                    <w:rPr>
                      <w:rFonts w:ascii="Times New Roman" w:hAnsi="Times New Roman"/>
                      <w:b/>
                      <w:bCs/>
                      <w:color w:val="auto"/>
                      <w:szCs w:val="21"/>
                    </w:rPr>
                    <w:t>面源面积(m×m)</w:t>
                  </w:r>
                </w:p>
              </w:tc>
              <w:tc>
                <w:tcPr>
                  <w:tcW w:w="624" w:type="pct"/>
                  <w:vMerge w:val="restart"/>
                  <w:vAlign w:val="center"/>
                </w:tcPr>
                <w:p w14:paraId="6B316E96">
                  <w:pPr>
                    <w:pStyle w:val="55"/>
                    <w:pageBreakBefore w:val="0"/>
                    <w:widowControl w:val="0"/>
                    <w:kinsoku/>
                    <w:wordWrap/>
                    <w:overflowPunct/>
                    <w:topLinePunct w:val="0"/>
                    <w:autoSpaceDE/>
                    <w:autoSpaceDN/>
                    <w:bidi w:val="0"/>
                    <w:adjustRightInd/>
                    <w:snapToGrid/>
                    <w:spacing w:before="0" w:beforeLines="0" w:after="0" w:afterLines="0" w:line="240" w:lineRule="auto"/>
                    <w:rPr>
                      <w:rFonts w:ascii="Times New Roman" w:hAnsi="Times New Roman"/>
                      <w:color w:val="auto"/>
                      <w:szCs w:val="21"/>
                      <w:lang w:val="zh-CN"/>
                    </w:rPr>
                  </w:pPr>
                  <w:r>
                    <w:rPr>
                      <w:rFonts w:ascii="Times New Roman" w:hAnsi="Times New Roman"/>
                      <w:b/>
                      <w:bCs/>
                      <w:color w:val="auto"/>
                      <w:szCs w:val="21"/>
                    </w:rPr>
                    <w:t>面源高度m</w:t>
                  </w:r>
                </w:p>
              </w:tc>
              <w:tc>
                <w:tcPr>
                  <w:tcW w:w="624" w:type="pct"/>
                  <w:vMerge w:val="restart"/>
                  <w:vAlign w:val="center"/>
                </w:tcPr>
                <w:p w14:paraId="146C8E8A">
                  <w:pPr>
                    <w:pStyle w:val="55"/>
                    <w:pageBreakBefore w:val="0"/>
                    <w:widowControl w:val="0"/>
                    <w:kinsoku/>
                    <w:wordWrap/>
                    <w:overflowPunct/>
                    <w:topLinePunct w:val="0"/>
                    <w:autoSpaceDE/>
                    <w:autoSpaceDN/>
                    <w:bidi w:val="0"/>
                    <w:adjustRightInd/>
                    <w:snapToGrid/>
                    <w:spacing w:before="0" w:beforeLines="0" w:after="0" w:afterLines="0" w:line="240" w:lineRule="auto"/>
                    <w:rPr>
                      <w:rFonts w:ascii="Times New Roman" w:hAnsi="Times New Roman"/>
                      <w:color w:val="auto"/>
                      <w:szCs w:val="21"/>
                      <w:lang w:val="zh-CN"/>
                    </w:rPr>
                  </w:pPr>
                  <w:r>
                    <w:rPr>
                      <w:rFonts w:ascii="Times New Roman" w:hAnsi="Times New Roman"/>
                      <w:b/>
                      <w:bCs/>
                      <w:color w:val="auto"/>
                      <w:szCs w:val="21"/>
                    </w:rPr>
                    <w:t>污染物源强kg/h</w:t>
                  </w:r>
                </w:p>
              </w:tc>
              <w:tc>
                <w:tcPr>
                  <w:tcW w:w="1876" w:type="pct"/>
                  <w:gridSpan w:val="3"/>
                  <w:vAlign w:val="center"/>
                </w:tcPr>
                <w:p w14:paraId="1E7354A0">
                  <w:pPr>
                    <w:pStyle w:val="55"/>
                    <w:pageBreakBefore w:val="0"/>
                    <w:widowControl w:val="0"/>
                    <w:kinsoku/>
                    <w:wordWrap/>
                    <w:overflowPunct/>
                    <w:topLinePunct w:val="0"/>
                    <w:autoSpaceDE/>
                    <w:autoSpaceDN/>
                    <w:bidi w:val="0"/>
                    <w:adjustRightInd/>
                    <w:snapToGrid/>
                    <w:spacing w:before="0" w:beforeLines="0" w:after="0" w:afterLines="0" w:line="240" w:lineRule="auto"/>
                    <w:rPr>
                      <w:rFonts w:ascii="Times New Roman" w:hAnsi="Times New Roman"/>
                      <w:color w:val="auto"/>
                      <w:szCs w:val="21"/>
                      <w:lang w:val="zh-CN"/>
                    </w:rPr>
                  </w:pPr>
                  <w:r>
                    <w:rPr>
                      <w:rFonts w:ascii="Times New Roman" w:hAnsi="Times New Roman"/>
                      <w:b/>
                      <w:bCs/>
                      <w:color w:val="auto"/>
                      <w:szCs w:val="21"/>
                    </w:rPr>
                    <w:t>卫生防护距离m</w:t>
                  </w:r>
                </w:p>
              </w:tc>
            </w:tr>
            <w:tr w14:paraId="134F8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pct"/>
                  <w:vMerge w:val="continue"/>
                  <w:vAlign w:val="center"/>
                </w:tcPr>
                <w:p w14:paraId="49C52843">
                  <w:pPr>
                    <w:pStyle w:val="55"/>
                    <w:pageBreakBefore w:val="0"/>
                    <w:widowControl w:val="0"/>
                    <w:kinsoku/>
                    <w:wordWrap/>
                    <w:overflowPunct/>
                    <w:topLinePunct w:val="0"/>
                    <w:autoSpaceDE/>
                    <w:autoSpaceDN/>
                    <w:bidi w:val="0"/>
                    <w:adjustRightInd/>
                    <w:snapToGrid/>
                    <w:spacing w:before="0" w:beforeLines="0" w:after="0" w:afterLines="0" w:line="240" w:lineRule="auto"/>
                    <w:rPr>
                      <w:rFonts w:ascii="Times New Roman" w:hAnsi="Times New Roman"/>
                      <w:color w:val="auto"/>
                      <w:szCs w:val="21"/>
                      <w:lang w:val="zh-CN"/>
                    </w:rPr>
                  </w:pPr>
                </w:p>
              </w:tc>
              <w:tc>
                <w:tcPr>
                  <w:tcW w:w="548" w:type="pct"/>
                  <w:vMerge w:val="continue"/>
                  <w:vAlign w:val="center"/>
                </w:tcPr>
                <w:p w14:paraId="2BE8744B">
                  <w:pPr>
                    <w:pStyle w:val="55"/>
                    <w:pageBreakBefore w:val="0"/>
                    <w:widowControl w:val="0"/>
                    <w:kinsoku/>
                    <w:wordWrap/>
                    <w:overflowPunct/>
                    <w:topLinePunct w:val="0"/>
                    <w:autoSpaceDE/>
                    <w:autoSpaceDN/>
                    <w:bidi w:val="0"/>
                    <w:adjustRightInd/>
                    <w:snapToGrid/>
                    <w:spacing w:before="0" w:beforeLines="0" w:after="0" w:afterLines="0" w:line="240" w:lineRule="auto"/>
                    <w:rPr>
                      <w:rFonts w:ascii="Times New Roman" w:hAnsi="Times New Roman"/>
                      <w:color w:val="auto"/>
                      <w:szCs w:val="21"/>
                      <w:lang w:val="zh-CN"/>
                    </w:rPr>
                  </w:pPr>
                </w:p>
              </w:tc>
              <w:tc>
                <w:tcPr>
                  <w:tcW w:w="624" w:type="pct"/>
                  <w:vMerge w:val="continue"/>
                  <w:vAlign w:val="center"/>
                </w:tcPr>
                <w:p w14:paraId="1195A441">
                  <w:pPr>
                    <w:pStyle w:val="55"/>
                    <w:pageBreakBefore w:val="0"/>
                    <w:widowControl w:val="0"/>
                    <w:kinsoku/>
                    <w:wordWrap/>
                    <w:overflowPunct/>
                    <w:topLinePunct w:val="0"/>
                    <w:autoSpaceDE/>
                    <w:autoSpaceDN/>
                    <w:bidi w:val="0"/>
                    <w:adjustRightInd/>
                    <w:snapToGrid/>
                    <w:spacing w:before="0" w:beforeLines="0" w:after="0" w:afterLines="0" w:line="240" w:lineRule="auto"/>
                    <w:rPr>
                      <w:rFonts w:ascii="Times New Roman" w:hAnsi="Times New Roman"/>
                      <w:color w:val="auto"/>
                      <w:szCs w:val="21"/>
                      <w:lang w:val="zh-CN"/>
                    </w:rPr>
                  </w:pPr>
                </w:p>
              </w:tc>
              <w:tc>
                <w:tcPr>
                  <w:tcW w:w="624" w:type="pct"/>
                  <w:vMerge w:val="continue"/>
                  <w:vAlign w:val="center"/>
                </w:tcPr>
                <w:p w14:paraId="753DB4D2">
                  <w:pPr>
                    <w:pStyle w:val="55"/>
                    <w:pageBreakBefore w:val="0"/>
                    <w:widowControl w:val="0"/>
                    <w:kinsoku/>
                    <w:wordWrap/>
                    <w:overflowPunct/>
                    <w:topLinePunct w:val="0"/>
                    <w:autoSpaceDE/>
                    <w:autoSpaceDN/>
                    <w:bidi w:val="0"/>
                    <w:adjustRightInd/>
                    <w:snapToGrid/>
                    <w:spacing w:before="0" w:beforeLines="0" w:after="0" w:afterLines="0" w:line="240" w:lineRule="auto"/>
                    <w:rPr>
                      <w:rFonts w:ascii="Times New Roman" w:hAnsi="Times New Roman"/>
                      <w:color w:val="auto"/>
                      <w:szCs w:val="21"/>
                      <w:lang w:val="zh-CN"/>
                    </w:rPr>
                  </w:pPr>
                </w:p>
              </w:tc>
              <w:tc>
                <w:tcPr>
                  <w:tcW w:w="624" w:type="pct"/>
                  <w:vMerge w:val="continue"/>
                  <w:vAlign w:val="center"/>
                </w:tcPr>
                <w:p w14:paraId="615B0841">
                  <w:pPr>
                    <w:pStyle w:val="55"/>
                    <w:pageBreakBefore w:val="0"/>
                    <w:widowControl w:val="0"/>
                    <w:kinsoku/>
                    <w:wordWrap/>
                    <w:overflowPunct/>
                    <w:topLinePunct w:val="0"/>
                    <w:autoSpaceDE/>
                    <w:autoSpaceDN/>
                    <w:bidi w:val="0"/>
                    <w:adjustRightInd/>
                    <w:snapToGrid/>
                    <w:spacing w:before="0" w:beforeLines="0" w:after="0" w:afterLines="0" w:line="240" w:lineRule="auto"/>
                    <w:rPr>
                      <w:rFonts w:ascii="Times New Roman" w:hAnsi="Times New Roman"/>
                      <w:color w:val="auto"/>
                      <w:szCs w:val="21"/>
                      <w:lang w:val="zh-CN"/>
                    </w:rPr>
                  </w:pPr>
                </w:p>
              </w:tc>
              <w:tc>
                <w:tcPr>
                  <w:tcW w:w="624" w:type="pct"/>
                  <w:vAlign w:val="center"/>
                </w:tcPr>
                <w:p w14:paraId="1905E642">
                  <w:pPr>
                    <w:pStyle w:val="55"/>
                    <w:pageBreakBefore w:val="0"/>
                    <w:widowControl w:val="0"/>
                    <w:kinsoku/>
                    <w:wordWrap/>
                    <w:overflowPunct/>
                    <w:topLinePunct w:val="0"/>
                    <w:autoSpaceDE/>
                    <w:autoSpaceDN/>
                    <w:bidi w:val="0"/>
                    <w:adjustRightInd/>
                    <w:snapToGrid/>
                    <w:spacing w:before="0" w:beforeLines="0" w:after="0" w:afterLines="0" w:line="240" w:lineRule="auto"/>
                    <w:rPr>
                      <w:rFonts w:ascii="Times New Roman" w:hAnsi="Times New Roman"/>
                      <w:color w:val="auto"/>
                      <w:szCs w:val="21"/>
                      <w:lang w:val="zh-CN"/>
                    </w:rPr>
                  </w:pPr>
                  <w:r>
                    <w:rPr>
                      <w:rFonts w:ascii="Times New Roman" w:hAnsi="Times New Roman"/>
                      <w:b/>
                      <w:bCs/>
                      <w:color w:val="auto"/>
                      <w:szCs w:val="21"/>
                    </w:rPr>
                    <w:t>计算值</w:t>
                  </w:r>
                </w:p>
              </w:tc>
              <w:tc>
                <w:tcPr>
                  <w:tcW w:w="625" w:type="pct"/>
                  <w:vAlign w:val="center"/>
                </w:tcPr>
                <w:p w14:paraId="58F56C70">
                  <w:pPr>
                    <w:pStyle w:val="55"/>
                    <w:pageBreakBefore w:val="0"/>
                    <w:widowControl w:val="0"/>
                    <w:kinsoku/>
                    <w:wordWrap/>
                    <w:overflowPunct/>
                    <w:topLinePunct w:val="0"/>
                    <w:autoSpaceDE/>
                    <w:autoSpaceDN/>
                    <w:bidi w:val="0"/>
                    <w:adjustRightInd/>
                    <w:snapToGrid/>
                    <w:spacing w:before="0" w:beforeLines="0" w:after="0" w:afterLines="0" w:line="240" w:lineRule="auto"/>
                    <w:rPr>
                      <w:rFonts w:ascii="Times New Roman" w:hAnsi="Times New Roman"/>
                      <w:color w:val="auto"/>
                      <w:szCs w:val="21"/>
                      <w:lang w:val="zh-CN"/>
                    </w:rPr>
                  </w:pPr>
                  <w:r>
                    <w:rPr>
                      <w:rFonts w:ascii="Times New Roman" w:hAnsi="Times New Roman"/>
                      <w:b/>
                      <w:bCs/>
                      <w:color w:val="auto"/>
                      <w:szCs w:val="21"/>
                    </w:rPr>
                    <w:t>设定值</w:t>
                  </w:r>
                </w:p>
              </w:tc>
              <w:tc>
                <w:tcPr>
                  <w:tcW w:w="626" w:type="pct"/>
                  <w:vAlign w:val="center"/>
                </w:tcPr>
                <w:p w14:paraId="481A4570">
                  <w:pPr>
                    <w:pStyle w:val="55"/>
                    <w:pageBreakBefore w:val="0"/>
                    <w:widowControl w:val="0"/>
                    <w:kinsoku/>
                    <w:wordWrap/>
                    <w:overflowPunct/>
                    <w:topLinePunct w:val="0"/>
                    <w:autoSpaceDE/>
                    <w:autoSpaceDN/>
                    <w:bidi w:val="0"/>
                    <w:adjustRightInd/>
                    <w:snapToGrid/>
                    <w:spacing w:before="0" w:beforeLines="0" w:after="0" w:afterLines="0" w:line="240" w:lineRule="auto"/>
                    <w:rPr>
                      <w:rFonts w:ascii="Times New Roman" w:hAnsi="Times New Roman"/>
                      <w:color w:val="auto"/>
                      <w:szCs w:val="21"/>
                      <w:lang w:val="zh-CN"/>
                    </w:rPr>
                  </w:pPr>
                  <w:r>
                    <w:rPr>
                      <w:rFonts w:ascii="Times New Roman" w:hAnsi="Times New Roman"/>
                      <w:b/>
                      <w:bCs/>
                      <w:color w:val="auto"/>
                      <w:szCs w:val="21"/>
                    </w:rPr>
                    <w:t>执行值</w:t>
                  </w:r>
                </w:p>
              </w:tc>
            </w:tr>
            <w:tr w14:paraId="3B2F7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pct"/>
                  <w:vAlign w:val="center"/>
                </w:tcPr>
                <w:p w14:paraId="3E0D9575">
                  <w:pPr>
                    <w:pStyle w:val="55"/>
                    <w:pageBreakBefore w:val="0"/>
                    <w:widowControl w:val="0"/>
                    <w:kinsoku/>
                    <w:wordWrap/>
                    <w:overflowPunct/>
                    <w:topLinePunct w:val="0"/>
                    <w:autoSpaceDE/>
                    <w:autoSpaceDN/>
                    <w:bidi w:val="0"/>
                    <w:adjustRightInd/>
                    <w:snapToGrid/>
                    <w:spacing w:before="0" w:beforeLines="0" w:after="0" w:afterLines="0" w:line="240" w:lineRule="auto"/>
                    <w:rPr>
                      <w:rFonts w:hint="default" w:ascii="Times New Roman" w:hAnsi="Times New Roman" w:eastAsia="宋体"/>
                      <w:color w:val="auto"/>
                      <w:sz w:val="24"/>
                      <w:szCs w:val="22"/>
                      <w:lang w:val="en-US" w:eastAsia="zh-CN"/>
                    </w:rPr>
                  </w:pPr>
                  <w:r>
                    <w:rPr>
                      <w:rFonts w:hint="eastAsia" w:ascii="Times New Roman" w:hAnsi="Times New Roman"/>
                      <w:color w:val="auto"/>
                      <w:sz w:val="21"/>
                      <w:szCs w:val="21"/>
                      <w:lang w:val="en-US" w:eastAsia="zh-CN"/>
                    </w:rPr>
                    <w:t>彩印车间</w:t>
                  </w:r>
                </w:p>
              </w:tc>
              <w:tc>
                <w:tcPr>
                  <w:tcW w:w="548" w:type="pct"/>
                  <w:vAlign w:val="center"/>
                </w:tcPr>
                <w:p w14:paraId="70C0F930">
                  <w:pPr>
                    <w:pStyle w:val="55"/>
                    <w:pageBreakBefore w:val="0"/>
                    <w:widowControl w:val="0"/>
                    <w:kinsoku/>
                    <w:wordWrap/>
                    <w:overflowPunct/>
                    <w:topLinePunct w:val="0"/>
                    <w:autoSpaceDE/>
                    <w:autoSpaceDN/>
                    <w:bidi w:val="0"/>
                    <w:adjustRightInd/>
                    <w:snapToGrid/>
                    <w:spacing w:before="0" w:beforeLines="0" w:after="0" w:afterLines="0" w:line="240" w:lineRule="auto"/>
                    <w:rPr>
                      <w:rFonts w:hint="default" w:ascii="Times New Roman" w:hAnsi="Times New Roman" w:eastAsia="宋体"/>
                      <w:color w:val="auto"/>
                      <w:sz w:val="21"/>
                      <w:szCs w:val="21"/>
                      <w:lang w:val="en-US" w:eastAsia="zh-CN"/>
                    </w:rPr>
                  </w:pPr>
                  <w:r>
                    <w:rPr>
                      <w:rFonts w:hint="default" w:ascii="Times New Roman" w:hAnsi="Times New Roman" w:cs="Times New Roman"/>
                      <w:bCs/>
                      <w:color w:val="auto"/>
                      <w:sz w:val="21"/>
                      <w:szCs w:val="21"/>
                      <w:vertAlign w:val="baseline"/>
                      <w:lang w:val="en-US" w:eastAsia="zh-CN"/>
                    </w:rPr>
                    <w:t>NMHC</w:t>
                  </w:r>
                </w:p>
              </w:tc>
              <w:tc>
                <w:tcPr>
                  <w:tcW w:w="624" w:type="pct"/>
                  <w:vAlign w:val="center"/>
                </w:tcPr>
                <w:p w14:paraId="738703C0">
                  <w:pPr>
                    <w:pStyle w:val="55"/>
                    <w:pageBreakBefore w:val="0"/>
                    <w:widowControl w:val="0"/>
                    <w:kinsoku/>
                    <w:wordWrap/>
                    <w:overflowPunct/>
                    <w:topLinePunct w:val="0"/>
                    <w:autoSpaceDE/>
                    <w:autoSpaceDN/>
                    <w:bidi w:val="0"/>
                    <w:adjustRightInd/>
                    <w:snapToGrid/>
                    <w:spacing w:before="0" w:beforeLines="0" w:after="0" w:afterLines="0" w:line="240" w:lineRule="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30×40</w:t>
                  </w:r>
                </w:p>
              </w:tc>
              <w:tc>
                <w:tcPr>
                  <w:tcW w:w="624" w:type="pct"/>
                  <w:vAlign w:val="center"/>
                </w:tcPr>
                <w:p w14:paraId="5A5CD91E">
                  <w:pPr>
                    <w:pStyle w:val="55"/>
                    <w:pageBreakBefore w:val="0"/>
                    <w:widowControl w:val="0"/>
                    <w:kinsoku/>
                    <w:wordWrap/>
                    <w:overflowPunct/>
                    <w:topLinePunct w:val="0"/>
                    <w:autoSpaceDE/>
                    <w:autoSpaceDN/>
                    <w:bidi w:val="0"/>
                    <w:adjustRightInd/>
                    <w:snapToGrid/>
                    <w:spacing w:before="0" w:beforeLines="0" w:after="0" w:afterLines="0" w:line="240" w:lineRule="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w:t>
                  </w:r>
                </w:p>
              </w:tc>
              <w:tc>
                <w:tcPr>
                  <w:tcW w:w="624" w:type="pct"/>
                  <w:vAlign w:val="center"/>
                </w:tcPr>
                <w:p w14:paraId="018FB490">
                  <w:pPr>
                    <w:pStyle w:val="3"/>
                    <w:pageBreakBefore w:val="0"/>
                    <w:kinsoku/>
                    <w:wordWrap/>
                    <w:overflowPunct/>
                    <w:topLinePunct w:val="0"/>
                    <w:autoSpaceDE/>
                    <w:autoSpaceDN/>
                    <w:bidi w:val="0"/>
                    <w:spacing w:before="0" w:after="0" w:line="240" w:lineRule="auto"/>
                    <w:ind w:left="0" w:leftChars="0" w:right="0" w:rightChars="0"/>
                    <w:jc w:val="center"/>
                    <w:rPr>
                      <w:rFonts w:hint="default" w:ascii="Times New Roman" w:hAnsi="Times New Roman" w:cs="Times New Roman"/>
                      <w:color w:val="auto"/>
                      <w:sz w:val="21"/>
                      <w:szCs w:val="21"/>
                      <w:highlight w:val="none"/>
                      <w:lang w:val="en-US"/>
                    </w:rPr>
                  </w:pPr>
                  <w:r>
                    <w:rPr>
                      <w:rFonts w:hint="eastAsia" w:cs="Times New Roman"/>
                      <w:b w:val="0"/>
                      <w:bCs w:val="0"/>
                      <w:color w:val="auto"/>
                      <w:sz w:val="21"/>
                      <w:szCs w:val="21"/>
                      <w:lang w:val="en-US" w:eastAsia="zh-CN"/>
                    </w:rPr>
                    <w:t>0.035</w:t>
                  </w:r>
                </w:p>
              </w:tc>
              <w:tc>
                <w:tcPr>
                  <w:tcW w:w="624" w:type="pct"/>
                  <w:vAlign w:val="center"/>
                </w:tcPr>
                <w:p w14:paraId="2D3BF887">
                  <w:pPr>
                    <w:pStyle w:val="55"/>
                    <w:pageBreakBefore w:val="0"/>
                    <w:widowControl w:val="0"/>
                    <w:kinsoku/>
                    <w:wordWrap/>
                    <w:overflowPunct/>
                    <w:topLinePunct w:val="0"/>
                    <w:autoSpaceDE/>
                    <w:autoSpaceDN/>
                    <w:bidi w:val="0"/>
                    <w:adjustRightInd/>
                    <w:snapToGrid/>
                    <w:spacing w:before="0" w:beforeLines="0" w:after="0" w:afterLines="0" w:line="240" w:lineRule="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3.411</w:t>
                  </w:r>
                </w:p>
              </w:tc>
              <w:tc>
                <w:tcPr>
                  <w:tcW w:w="625" w:type="pct"/>
                  <w:vAlign w:val="center"/>
                </w:tcPr>
                <w:p w14:paraId="66FDF385">
                  <w:pPr>
                    <w:pageBreakBefore w:val="0"/>
                    <w:widowControl w:val="0"/>
                    <w:kinsoku/>
                    <w:wordWrap/>
                    <w:overflowPunct/>
                    <w:topLinePunct w:val="0"/>
                    <w:autoSpaceDE/>
                    <w:autoSpaceDN/>
                    <w:bidi w:val="0"/>
                    <w:adjustRightInd/>
                    <w:snapToGrid/>
                    <w:spacing w:before="0" w:beforeLines="0" w:after="0" w:afterLines="0"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50</w:t>
                  </w:r>
                </w:p>
              </w:tc>
              <w:tc>
                <w:tcPr>
                  <w:tcW w:w="626" w:type="pct"/>
                  <w:vAlign w:val="center"/>
                </w:tcPr>
                <w:p w14:paraId="7A504868">
                  <w:pPr>
                    <w:pageBreakBefore w:val="0"/>
                    <w:widowControl w:val="0"/>
                    <w:kinsoku/>
                    <w:wordWrap/>
                    <w:overflowPunct/>
                    <w:topLinePunct w:val="0"/>
                    <w:autoSpaceDE/>
                    <w:autoSpaceDN/>
                    <w:bidi w:val="0"/>
                    <w:adjustRightInd/>
                    <w:snapToGrid/>
                    <w:spacing w:before="0" w:beforeLines="0" w:after="0" w:afterLines="0"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50</w:t>
                  </w:r>
                </w:p>
              </w:tc>
            </w:tr>
          </w:tbl>
          <w:p w14:paraId="77D970A3">
            <w:pPr>
              <w:pStyle w:val="5"/>
              <w:ind w:firstLine="0" w:firstLineChars="0"/>
              <w:jc w:val="both"/>
              <w:rPr>
                <w:rFonts w:hint="eastAsia" w:eastAsia="宋体"/>
                <w:color w:val="auto"/>
                <w:lang w:val="zh-CN" w:eastAsia="zh-CN"/>
              </w:rPr>
            </w:pPr>
            <w:r>
              <w:rPr>
                <w:color w:val="auto"/>
              </w:rPr>
              <w:drawing>
                <wp:inline distT="0" distB="0" distL="114300" distR="114300">
                  <wp:extent cx="5427980" cy="3639185"/>
                  <wp:effectExtent l="0" t="0" r="1270" b="18415"/>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pic:cNvPicPr>
                            <a:picLocks noChangeAspect="1"/>
                          </pic:cNvPicPr>
                        </pic:nvPicPr>
                        <pic:blipFill>
                          <a:blip r:embed="rId19"/>
                          <a:stretch>
                            <a:fillRect/>
                          </a:stretch>
                        </pic:blipFill>
                        <pic:spPr>
                          <a:xfrm>
                            <a:off x="0" y="0"/>
                            <a:ext cx="5427980" cy="3639185"/>
                          </a:xfrm>
                          <a:prstGeom prst="rect">
                            <a:avLst/>
                          </a:prstGeom>
                          <a:noFill/>
                          <a:ln>
                            <a:noFill/>
                          </a:ln>
                        </pic:spPr>
                      </pic:pic>
                    </a:graphicData>
                  </a:graphic>
                </wp:inline>
              </w:drawing>
            </w:r>
          </w:p>
          <w:p w14:paraId="60725D49">
            <w:pPr>
              <w:spacing w:line="360" w:lineRule="auto"/>
              <w:ind w:firstLine="482"/>
              <w:jc w:val="left"/>
              <w:rPr>
                <w:color w:val="auto"/>
                <w:sz w:val="24"/>
              </w:rPr>
            </w:pPr>
            <w:r>
              <w:rPr>
                <w:color w:val="auto"/>
                <w:sz w:val="24"/>
              </w:rPr>
              <w:t>综上所述，确定项目卫生防护距离为以</w:t>
            </w:r>
            <w:r>
              <w:rPr>
                <w:rFonts w:hint="eastAsia"/>
                <w:color w:val="auto"/>
                <w:sz w:val="24"/>
                <w:lang w:val="en-US" w:eastAsia="zh-CN"/>
              </w:rPr>
              <w:t>彩印车间</w:t>
            </w:r>
            <w:r>
              <w:rPr>
                <w:color w:val="auto"/>
                <w:sz w:val="24"/>
              </w:rPr>
              <w:t>为界周边</w:t>
            </w:r>
            <w:r>
              <w:rPr>
                <w:rFonts w:hint="eastAsia"/>
                <w:color w:val="auto"/>
                <w:sz w:val="24"/>
                <w:lang w:val="en-US" w:eastAsia="zh-CN"/>
              </w:rPr>
              <w:t>5</w:t>
            </w:r>
            <w:r>
              <w:rPr>
                <w:color w:val="auto"/>
                <w:sz w:val="24"/>
              </w:rPr>
              <w:t>0m，经现场踏勘核实，本项目周边无敏感点。</w:t>
            </w:r>
          </w:p>
          <w:p w14:paraId="7A6621C6">
            <w:pPr>
              <w:pStyle w:val="5"/>
              <w:numPr>
                <w:ilvl w:val="0"/>
                <w:numId w:val="0"/>
              </w:numPr>
              <w:ind w:firstLine="482" w:firstLineChars="200"/>
              <w:rPr>
                <w:b/>
                <w:bCs/>
                <w:color w:val="auto"/>
              </w:rPr>
            </w:pPr>
            <w:r>
              <w:rPr>
                <w:rFonts w:hint="eastAsia"/>
                <w:b/>
                <w:bCs/>
                <w:color w:val="auto"/>
                <w:lang w:val="en-US" w:eastAsia="zh-CN"/>
              </w:rPr>
              <w:t>7、</w:t>
            </w:r>
            <w:r>
              <w:rPr>
                <w:b/>
                <w:bCs/>
                <w:color w:val="auto"/>
              </w:rPr>
              <w:t>废气监测要求</w:t>
            </w:r>
          </w:p>
          <w:p w14:paraId="36CA63A9">
            <w:pPr>
              <w:autoSpaceDE w:val="0"/>
              <w:autoSpaceDN w:val="0"/>
              <w:adjustRightInd w:val="0"/>
              <w:spacing w:line="360" w:lineRule="auto"/>
              <w:ind w:firstLine="480" w:firstLineChars="200"/>
              <w:jc w:val="left"/>
              <w:rPr>
                <w:b/>
                <w:bCs/>
                <w:color w:val="auto"/>
                <w:sz w:val="24"/>
                <w:szCs w:val="24"/>
              </w:rPr>
            </w:pPr>
            <w:r>
              <w:rPr>
                <w:color w:val="auto"/>
                <w:sz w:val="24"/>
                <w:szCs w:val="24"/>
              </w:rPr>
              <w:t>根据</w:t>
            </w:r>
            <w:r>
              <w:rPr>
                <w:bCs/>
                <w:color w:val="auto"/>
                <w:sz w:val="24"/>
                <w:szCs w:val="24"/>
              </w:rPr>
              <w:t>《</w:t>
            </w:r>
            <w:r>
              <w:rPr>
                <w:rFonts w:hint="eastAsia"/>
                <w:bCs/>
                <w:color w:val="auto"/>
                <w:sz w:val="24"/>
                <w:szCs w:val="24"/>
              </w:rPr>
              <w:t>排污单位自行监测</w:t>
            </w:r>
            <w:r>
              <w:rPr>
                <w:rFonts w:hint="eastAsia"/>
                <w:bCs/>
                <w:color w:val="auto"/>
                <w:sz w:val="24"/>
                <w:szCs w:val="24"/>
                <w:lang w:val="en-US" w:eastAsia="zh-CN"/>
              </w:rPr>
              <w:t>技术指南</w:t>
            </w:r>
            <w:r>
              <w:rPr>
                <w:rFonts w:hint="eastAsia"/>
                <w:bCs/>
                <w:color w:val="auto"/>
                <w:sz w:val="24"/>
                <w:szCs w:val="24"/>
              </w:rPr>
              <w:t xml:space="preserve"> </w:t>
            </w:r>
            <w:r>
              <w:rPr>
                <w:rFonts w:hint="eastAsia"/>
                <w:bCs/>
                <w:color w:val="auto"/>
                <w:sz w:val="24"/>
                <w:szCs w:val="24"/>
                <w:lang w:val="en-US" w:eastAsia="zh-CN"/>
              </w:rPr>
              <w:t>总则</w:t>
            </w:r>
            <w:r>
              <w:rPr>
                <w:bCs/>
                <w:color w:val="auto"/>
                <w:sz w:val="24"/>
                <w:szCs w:val="24"/>
              </w:rPr>
              <w:t>》</w:t>
            </w:r>
            <w:r>
              <w:rPr>
                <w:rFonts w:hint="eastAsia"/>
                <w:bCs/>
                <w:color w:val="auto"/>
                <w:sz w:val="24"/>
                <w:szCs w:val="24"/>
                <w:lang w:eastAsia="zh-CN"/>
              </w:rPr>
              <w:t>（</w:t>
            </w:r>
            <w:r>
              <w:rPr>
                <w:rFonts w:hint="eastAsia"/>
                <w:bCs/>
                <w:color w:val="auto"/>
                <w:sz w:val="24"/>
                <w:szCs w:val="24"/>
              </w:rPr>
              <w:t>HJ819-2017</w:t>
            </w:r>
            <w:r>
              <w:rPr>
                <w:rFonts w:hint="eastAsia"/>
                <w:bCs/>
                <w:color w:val="auto"/>
                <w:sz w:val="24"/>
                <w:szCs w:val="24"/>
                <w:lang w:eastAsia="zh-CN"/>
              </w:rPr>
              <w:t xml:space="preserve">）、《排污单位自行监测技术指南 </w:t>
            </w:r>
            <w:r>
              <w:rPr>
                <w:rFonts w:hint="eastAsia"/>
                <w:bCs/>
                <w:color w:val="auto"/>
                <w:sz w:val="24"/>
                <w:szCs w:val="24"/>
                <w:lang w:val="en-US" w:eastAsia="zh-CN"/>
              </w:rPr>
              <w:t>印刷工业</w:t>
            </w:r>
            <w:r>
              <w:rPr>
                <w:rFonts w:hint="eastAsia"/>
                <w:bCs/>
                <w:color w:val="auto"/>
                <w:sz w:val="24"/>
                <w:szCs w:val="24"/>
                <w:lang w:eastAsia="zh-CN"/>
              </w:rPr>
              <w:t>》（HJ1</w:t>
            </w:r>
            <w:r>
              <w:rPr>
                <w:rFonts w:hint="eastAsia"/>
                <w:bCs/>
                <w:color w:val="auto"/>
                <w:sz w:val="24"/>
                <w:szCs w:val="24"/>
                <w:lang w:val="en-US" w:eastAsia="zh-CN"/>
              </w:rPr>
              <w:t>246</w:t>
            </w:r>
            <w:r>
              <w:rPr>
                <w:rFonts w:hint="eastAsia"/>
                <w:bCs/>
                <w:color w:val="auto"/>
                <w:sz w:val="24"/>
                <w:szCs w:val="24"/>
                <w:lang w:eastAsia="zh-CN"/>
              </w:rPr>
              <w:t>-202</w:t>
            </w:r>
            <w:r>
              <w:rPr>
                <w:rFonts w:hint="eastAsia"/>
                <w:bCs/>
                <w:color w:val="auto"/>
                <w:sz w:val="24"/>
                <w:szCs w:val="24"/>
                <w:lang w:val="en-US" w:eastAsia="zh-CN"/>
              </w:rPr>
              <w:t>2</w:t>
            </w:r>
            <w:r>
              <w:rPr>
                <w:rFonts w:hint="eastAsia"/>
                <w:bCs/>
                <w:color w:val="auto"/>
                <w:sz w:val="24"/>
                <w:szCs w:val="24"/>
                <w:lang w:eastAsia="zh-CN"/>
              </w:rPr>
              <w:t>）</w:t>
            </w:r>
            <w:r>
              <w:rPr>
                <w:rFonts w:hint="eastAsia"/>
                <w:bCs/>
                <w:color w:val="auto"/>
                <w:sz w:val="24"/>
                <w:szCs w:val="24"/>
                <w:lang w:val="en-US" w:eastAsia="zh-CN"/>
              </w:rPr>
              <w:t>与《排污许可证申请与核发技术规范 印刷工业》（HJ1066-2019）</w:t>
            </w:r>
            <w:r>
              <w:rPr>
                <w:rFonts w:hint="default" w:ascii="Times New Roman" w:hAnsi="Times New Roman" w:cs="Times New Roman"/>
                <w:color w:val="auto"/>
                <w:sz w:val="24"/>
                <w:szCs w:val="24"/>
              </w:rPr>
              <w:t>的相关要求</w:t>
            </w:r>
            <w:r>
              <w:rPr>
                <w:rFonts w:hint="eastAsia"/>
                <w:color w:val="auto"/>
                <w:sz w:val="24"/>
                <w:szCs w:val="24"/>
                <w:lang w:bidi="en-US"/>
              </w:rPr>
              <w:t>，本项目废气监测计划详见下</w:t>
            </w:r>
            <w:r>
              <w:rPr>
                <w:color w:val="auto"/>
                <w:sz w:val="24"/>
                <w:szCs w:val="24"/>
              </w:rPr>
              <w:t>表4-</w:t>
            </w:r>
            <w:r>
              <w:rPr>
                <w:rFonts w:hint="eastAsia"/>
                <w:color w:val="auto"/>
                <w:sz w:val="24"/>
                <w:szCs w:val="24"/>
                <w:lang w:val="en-US" w:eastAsia="zh-CN"/>
              </w:rPr>
              <w:t>10</w:t>
            </w:r>
            <w:r>
              <w:rPr>
                <w:color w:val="auto"/>
                <w:sz w:val="24"/>
                <w:szCs w:val="24"/>
              </w:rPr>
              <w:t>。</w:t>
            </w:r>
          </w:p>
          <w:p w14:paraId="73497683">
            <w:pPr>
              <w:pStyle w:val="7"/>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b/>
                <w:bCs/>
                <w:color w:val="auto"/>
              </w:rPr>
            </w:pPr>
            <w:r>
              <w:rPr>
                <w:b/>
                <w:bCs/>
                <w:color w:val="auto"/>
              </w:rPr>
              <w:t>表4-</w:t>
            </w:r>
            <w:r>
              <w:rPr>
                <w:rFonts w:hint="eastAsia"/>
                <w:b/>
                <w:bCs/>
                <w:color w:val="auto"/>
                <w:lang w:val="en-US" w:eastAsia="zh-CN"/>
              </w:rPr>
              <w:t>10</w:t>
            </w:r>
            <w:r>
              <w:rPr>
                <w:b/>
                <w:bCs/>
                <w:color w:val="auto"/>
              </w:rPr>
              <w:t xml:space="preserve">  废气监测计划一览表</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0"/>
              <w:gridCol w:w="1329"/>
              <w:gridCol w:w="1167"/>
              <w:gridCol w:w="4798"/>
            </w:tblGrid>
            <w:tr w14:paraId="49A4F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pct"/>
                  <w:vAlign w:val="center"/>
                </w:tcPr>
                <w:p w14:paraId="10406585">
                  <w:pPr>
                    <w:widowControl/>
                    <w:jc w:val="center"/>
                    <w:textAlignment w:val="center"/>
                    <w:rPr>
                      <w:bCs/>
                      <w:color w:val="auto"/>
                    </w:rPr>
                  </w:pPr>
                  <w:r>
                    <w:rPr>
                      <w:b/>
                      <w:bCs/>
                      <w:color w:val="auto"/>
                    </w:rPr>
                    <w:t>监测点位</w:t>
                  </w:r>
                </w:p>
              </w:tc>
              <w:tc>
                <w:tcPr>
                  <w:tcW w:w="780" w:type="pct"/>
                  <w:vAlign w:val="center"/>
                </w:tcPr>
                <w:p w14:paraId="583CDAA9">
                  <w:pPr>
                    <w:widowControl/>
                    <w:jc w:val="center"/>
                    <w:textAlignment w:val="center"/>
                    <w:rPr>
                      <w:bCs/>
                      <w:color w:val="auto"/>
                    </w:rPr>
                  </w:pPr>
                  <w:r>
                    <w:rPr>
                      <w:b/>
                      <w:bCs/>
                      <w:color w:val="auto"/>
                    </w:rPr>
                    <w:t>监测指标</w:t>
                  </w:r>
                </w:p>
              </w:tc>
              <w:tc>
                <w:tcPr>
                  <w:tcW w:w="685" w:type="pct"/>
                  <w:vAlign w:val="center"/>
                </w:tcPr>
                <w:p w14:paraId="2CDA9E48">
                  <w:pPr>
                    <w:widowControl/>
                    <w:jc w:val="center"/>
                    <w:textAlignment w:val="center"/>
                    <w:rPr>
                      <w:bCs/>
                      <w:color w:val="auto"/>
                    </w:rPr>
                  </w:pPr>
                  <w:r>
                    <w:rPr>
                      <w:b/>
                      <w:bCs/>
                      <w:color w:val="auto"/>
                    </w:rPr>
                    <w:t>监测频次</w:t>
                  </w:r>
                </w:p>
              </w:tc>
              <w:tc>
                <w:tcPr>
                  <w:tcW w:w="2817" w:type="pct"/>
                  <w:vAlign w:val="center"/>
                </w:tcPr>
                <w:p w14:paraId="61B20E77">
                  <w:pPr>
                    <w:widowControl/>
                    <w:jc w:val="center"/>
                    <w:textAlignment w:val="center"/>
                    <w:rPr>
                      <w:bCs/>
                      <w:color w:val="auto"/>
                    </w:rPr>
                  </w:pPr>
                  <w:r>
                    <w:rPr>
                      <w:b/>
                      <w:bCs/>
                      <w:color w:val="auto"/>
                    </w:rPr>
                    <w:t>排放标准</w:t>
                  </w:r>
                </w:p>
              </w:tc>
            </w:tr>
            <w:tr w14:paraId="6F2E3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716" w:type="pct"/>
                  <w:vAlign w:val="center"/>
                </w:tcPr>
                <w:p w14:paraId="04EC0721">
                  <w:pPr>
                    <w:widowControl/>
                    <w:jc w:val="center"/>
                    <w:textAlignment w:val="center"/>
                    <w:rPr>
                      <w:rFonts w:hint="default" w:ascii="Times New Roman" w:hAnsi="Times New Roman" w:cs="Times New Roman"/>
                      <w:bCs/>
                      <w:color w:val="auto"/>
                    </w:rPr>
                  </w:pPr>
                  <w:r>
                    <w:rPr>
                      <w:rFonts w:hint="default" w:ascii="Times New Roman" w:hAnsi="Times New Roman" w:cs="Times New Roman"/>
                      <w:color w:val="auto"/>
                      <w:kern w:val="0"/>
                      <w:szCs w:val="21"/>
                      <w:lang w:bidi="ar"/>
                    </w:rPr>
                    <w:t>DA001</w:t>
                  </w:r>
                </w:p>
              </w:tc>
              <w:tc>
                <w:tcPr>
                  <w:tcW w:w="780" w:type="pct"/>
                  <w:vAlign w:val="center"/>
                </w:tcPr>
                <w:p w14:paraId="4D7D5BD1">
                  <w:pPr>
                    <w:pStyle w:val="55"/>
                    <w:pageBreakBefore w:val="0"/>
                    <w:widowControl w:val="0"/>
                    <w:kinsoku/>
                    <w:wordWrap/>
                    <w:overflowPunct/>
                    <w:topLinePunct w:val="0"/>
                    <w:autoSpaceDE/>
                    <w:autoSpaceDN/>
                    <w:bidi w:val="0"/>
                    <w:adjustRightInd/>
                    <w:snapToGrid/>
                    <w:spacing w:before="0" w:beforeLines="0" w:after="0" w:afterLines="0" w:line="240" w:lineRule="auto"/>
                    <w:rPr>
                      <w:rFonts w:hint="default" w:ascii="Times New Roman" w:hAnsi="Times New Roman" w:eastAsia="宋体" w:cs="Times New Roman"/>
                      <w:bCs/>
                      <w:color w:val="auto"/>
                      <w:lang w:val="en-US" w:eastAsia="zh-CN"/>
                    </w:rPr>
                  </w:pPr>
                  <w:r>
                    <w:rPr>
                      <w:rFonts w:hint="default" w:ascii="Times New Roman" w:hAnsi="Times New Roman" w:cs="Times New Roman"/>
                      <w:bCs/>
                      <w:color w:val="auto"/>
                      <w:sz w:val="21"/>
                      <w:szCs w:val="21"/>
                      <w:vertAlign w:val="baseline"/>
                      <w:lang w:val="en-US" w:eastAsia="zh-CN"/>
                    </w:rPr>
                    <w:t>NMHC</w:t>
                  </w:r>
                </w:p>
              </w:tc>
              <w:tc>
                <w:tcPr>
                  <w:tcW w:w="685" w:type="pct"/>
                  <w:vAlign w:val="center"/>
                </w:tcPr>
                <w:p w14:paraId="7E1D5836">
                  <w:pPr>
                    <w:widowControl/>
                    <w:jc w:val="center"/>
                    <w:textAlignment w:val="center"/>
                    <w:rPr>
                      <w:rFonts w:hint="eastAsia" w:ascii="Times New Roman" w:hAnsi="Times New Roman" w:eastAsia="宋体" w:cs="Times New Roman"/>
                      <w:bCs/>
                      <w:color w:val="auto"/>
                      <w:lang w:val="en-US" w:eastAsia="zh-CN"/>
                    </w:rPr>
                  </w:pPr>
                  <w:r>
                    <w:rPr>
                      <w:rFonts w:hint="default" w:ascii="Times New Roman" w:hAnsi="Times New Roman" w:cs="Times New Roman"/>
                      <w:color w:val="auto"/>
                    </w:rPr>
                    <w:t>1次/</w:t>
                  </w:r>
                  <w:r>
                    <w:rPr>
                      <w:rFonts w:hint="eastAsia" w:cs="Times New Roman"/>
                      <w:color w:val="auto"/>
                      <w:lang w:val="en-US" w:eastAsia="zh-CN"/>
                    </w:rPr>
                    <w:t>半</w:t>
                  </w:r>
                  <w:r>
                    <w:rPr>
                      <w:rFonts w:hint="default" w:ascii="Times New Roman" w:hAnsi="Times New Roman" w:cs="Times New Roman"/>
                      <w:color w:val="auto"/>
                    </w:rPr>
                    <w:t>年</w:t>
                  </w:r>
                </w:p>
              </w:tc>
              <w:tc>
                <w:tcPr>
                  <w:tcW w:w="2817" w:type="pct"/>
                  <w:vAlign w:val="center"/>
                </w:tcPr>
                <w:p w14:paraId="1DC336E3">
                  <w:pPr>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0"/>
                      <w:sz w:val="21"/>
                      <w:szCs w:val="21"/>
                      <w:lang w:bidi="ar"/>
                    </w:rPr>
                    <w:t>《印刷工业大气污染物排放标准》（GB41616-2022）表1</w:t>
                  </w:r>
                  <w:r>
                    <w:rPr>
                      <w:rFonts w:hint="default" w:ascii="Times New Roman" w:hAnsi="Times New Roman" w:cs="Times New Roman"/>
                      <w:color w:val="auto"/>
                      <w:kern w:val="0"/>
                      <w:sz w:val="21"/>
                      <w:szCs w:val="21"/>
                      <w:lang w:val="en-US" w:eastAsia="zh-CN" w:bidi="ar"/>
                    </w:rPr>
                    <w:t>中</w:t>
                  </w:r>
                  <w:r>
                    <w:rPr>
                      <w:rFonts w:hint="default" w:ascii="Times New Roman" w:hAnsi="Times New Roman" w:cs="Times New Roman"/>
                      <w:color w:val="auto"/>
                      <w:sz w:val="21"/>
                      <w:szCs w:val="21"/>
                    </w:rPr>
                    <w:t>相</w:t>
                  </w:r>
                  <w:r>
                    <w:rPr>
                      <w:rFonts w:hint="default" w:ascii="Times New Roman" w:hAnsi="Times New Roman" w:cs="Times New Roman"/>
                      <w:bCs/>
                      <w:color w:val="auto"/>
                      <w:sz w:val="21"/>
                      <w:szCs w:val="21"/>
                    </w:rPr>
                    <w:t>关限值</w:t>
                  </w:r>
                </w:p>
              </w:tc>
            </w:tr>
            <w:tr w14:paraId="10059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716" w:type="pct"/>
                  <w:vAlign w:val="center"/>
                </w:tcPr>
                <w:p w14:paraId="13F7123A">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厂</w:t>
                  </w:r>
                  <w:r>
                    <w:rPr>
                      <w:rFonts w:hint="eastAsia" w:cs="Times New Roman"/>
                      <w:color w:val="auto"/>
                      <w:kern w:val="0"/>
                      <w:szCs w:val="21"/>
                      <w:lang w:val="en-US" w:eastAsia="zh-CN" w:bidi="ar"/>
                    </w:rPr>
                    <w:t>区内无组织</w:t>
                  </w:r>
                </w:p>
              </w:tc>
              <w:tc>
                <w:tcPr>
                  <w:tcW w:w="780" w:type="pct"/>
                  <w:vAlign w:val="center"/>
                </w:tcPr>
                <w:p w14:paraId="523670EB">
                  <w:pPr>
                    <w:pStyle w:val="55"/>
                    <w:pageBreakBefore w:val="0"/>
                    <w:widowControl w:val="0"/>
                    <w:kinsoku/>
                    <w:wordWrap/>
                    <w:overflowPunct/>
                    <w:topLinePunct w:val="0"/>
                    <w:autoSpaceDE/>
                    <w:autoSpaceDN/>
                    <w:bidi w:val="0"/>
                    <w:adjustRightInd/>
                    <w:snapToGrid/>
                    <w:spacing w:before="0" w:beforeLines="0" w:after="0" w:afterLines="0" w:line="240" w:lineRule="auto"/>
                    <w:rPr>
                      <w:rFonts w:hint="eastAsia" w:cs="Times New Roman"/>
                      <w:bCs/>
                      <w:color w:val="auto"/>
                      <w:lang w:val="en-US" w:eastAsia="zh-CN"/>
                    </w:rPr>
                  </w:pPr>
                  <w:r>
                    <w:rPr>
                      <w:rFonts w:hint="default" w:ascii="Times New Roman" w:hAnsi="Times New Roman" w:cs="Times New Roman"/>
                      <w:bCs/>
                      <w:color w:val="auto"/>
                      <w:sz w:val="21"/>
                      <w:szCs w:val="21"/>
                      <w:vertAlign w:val="baseline"/>
                      <w:lang w:val="en-US" w:eastAsia="zh-CN"/>
                    </w:rPr>
                    <w:t>NMHC</w:t>
                  </w:r>
                </w:p>
              </w:tc>
              <w:tc>
                <w:tcPr>
                  <w:tcW w:w="685" w:type="pct"/>
                  <w:vAlign w:val="center"/>
                </w:tcPr>
                <w:p w14:paraId="5C51DB13">
                  <w:pPr>
                    <w:widowControl/>
                    <w:jc w:val="center"/>
                    <w:textAlignment w:val="center"/>
                    <w:rPr>
                      <w:rFonts w:hint="default" w:ascii="Times New Roman" w:hAnsi="Times New Roman" w:cs="Times New Roman"/>
                      <w:color w:val="auto"/>
                    </w:rPr>
                  </w:pPr>
                  <w:r>
                    <w:rPr>
                      <w:rFonts w:hint="default" w:ascii="Times New Roman" w:hAnsi="Times New Roman" w:cs="Times New Roman"/>
                      <w:color w:val="auto"/>
                    </w:rPr>
                    <w:t>1次/年</w:t>
                  </w:r>
                </w:p>
              </w:tc>
              <w:tc>
                <w:tcPr>
                  <w:tcW w:w="2817" w:type="pct"/>
                  <w:vAlign w:val="center"/>
                </w:tcPr>
                <w:p w14:paraId="69B22EED">
                  <w:pPr>
                    <w:jc w:val="center"/>
                    <w:rPr>
                      <w:rFonts w:hint="default" w:ascii="Times New Roman" w:hAnsi="Times New Roman" w:cs="Times New Roman"/>
                      <w:color w:val="auto"/>
                      <w:kern w:val="0"/>
                      <w:sz w:val="21"/>
                      <w:szCs w:val="21"/>
                      <w:lang w:bidi="ar"/>
                    </w:rPr>
                  </w:pPr>
                  <w:r>
                    <w:rPr>
                      <w:rFonts w:hint="default" w:ascii="Times New Roman" w:hAnsi="Times New Roman" w:cs="Times New Roman"/>
                      <w:bCs/>
                      <w:color w:val="auto"/>
                      <w:sz w:val="21"/>
                      <w:szCs w:val="21"/>
                      <w:lang w:val="en-US" w:eastAsia="zh-CN"/>
                    </w:rPr>
                    <w:t>江西省地方标准《挥发性有机物综合排放控制标准（试行）》</w:t>
                  </w:r>
                  <w:r>
                    <w:rPr>
                      <w:rFonts w:hint="default" w:ascii="Times New Roman" w:hAnsi="Times New Roman" w:cs="Times New Roman"/>
                      <w:color w:val="auto"/>
                      <w:kern w:val="0"/>
                      <w:sz w:val="21"/>
                      <w:szCs w:val="21"/>
                      <w:lang w:bidi="ar"/>
                    </w:rPr>
                    <w:t>（DB36/2186-2025）</w:t>
                  </w:r>
                  <w:r>
                    <w:rPr>
                      <w:rFonts w:hint="default" w:ascii="Times New Roman" w:hAnsi="Times New Roman" w:cs="Times New Roman"/>
                      <w:color w:val="auto"/>
                      <w:kern w:val="0"/>
                      <w:sz w:val="21"/>
                      <w:szCs w:val="21"/>
                      <w:lang w:val="en-US" w:eastAsia="zh-CN" w:bidi="ar"/>
                    </w:rPr>
                    <w:t>表2中</w:t>
                  </w:r>
                  <w:r>
                    <w:rPr>
                      <w:rFonts w:hint="default" w:ascii="Times New Roman" w:hAnsi="Times New Roman" w:cs="Times New Roman"/>
                      <w:color w:val="auto"/>
                      <w:sz w:val="21"/>
                      <w:szCs w:val="21"/>
                    </w:rPr>
                    <w:t>相</w:t>
                  </w:r>
                  <w:r>
                    <w:rPr>
                      <w:rFonts w:hint="default" w:ascii="Times New Roman" w:hAnsi="Times New Roman" w:cs="Times New Roman"/>
                      <w:bCs/>
                      <w:color w:val="auto"/>
                      <w:sz w:val="21"/>
                      <w:szCs w:val="21"/>
                    </w:rPr>
                    <w:t>关限值</w:t>
                  </w:r>
                </w:p>
              </w:tc>
            </w:tr>
            <w:tr w14:paraId="5B953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716" w:type="pct"/>
                  <w:vAlign w:val="center"/>
                </w:tcPr>
                <w:p w14:paraId="649F6D23">
                  <w:pPr>
                    <w:widowControl/>
                    <w:jc w:val="center"/>
                    <w:textAlignment w:val="center"/>
                    <w:rPr>
                      <w:rFonts w:hint="eastAsia" w:ascii="Times New Roman" w:hAnsi="Times New Roman" w:eastAsia="宋体" w:cs="Times New Roman"/>
                      <w:bCs/>
                      <w:color w:val="auto"/>
                      <w:lang w:val="en-US" w:eastAsia="zh-CN"/>
                    </w:rPr>
                  </w:pPr>
                  <w:r>
                    <w:rPr>
                      <w:rFonts w:hint="default" w:ascii="Times New Roman" w:hAnsi="Times New Roman" w:cs="Times New Roman"/>
                      <w:color w:val="auto"/>
                      <w:kern w:val="0"/>
                      <w:szCs w:val="21"/>
                      <w:lang w:bidi="ar"/>
                    </w:rPr>
                    <w:t>厂界</w:t>
                  </w:r>
                  <w:r>
                    <w:rPr>
                      <w:rFonts w:hint="eastAsia" w:cs="Times New Roman"/>
                      <w:color w:val="auto"/>
                      <w:kern w:val="0"/>
                      <w:szCs w:val="21"/>
                      <w:lang w:val="en-US" w:eastAsia="zh-CN" w:bidi="ar"/>
                    </w:rPr>
                    <w:t>无组织</w:t>
                  </w:r>
                </w:p>
              </w:tc>
              <w:tc>
                <w:tcPr>
                  <w:tcW w:w="780" w:type="pct"/>
                  <w:vAlign w:val="center"/>
                </w:tcPr>
                <w:p w14:paraId="4091A546">
                  <w:pPr>
                    <w:widowControl/>
                    <w:jc w:val="center"/>
                    <w:textAlignment w:val="center"/>
                    <w:rPr>
                      <w:rFonts w:hint="default" w:ascii="Times New Roman" w:hAnsi="Times New Roman" w:eastAsia="宋体" w:cs="Times New Roman"/>
                      <w:bCs/>
                      <w:color w:val="auto"/>
                      <w:lang w:val="en-US" w:eastAsia="zh-CN"/>
                    </w:rPr>
                  </w:pPr>
                  <w:r>
                    <w:rPr>
                      <w:rFonts w:hint="default" w:ascii="Times New Roman" w:hAnsi="Times New Roman" w:cs="Times New Roman"/>
                      <w:bCs/>
                      <w:color w:val="auto"/>
                      <w:sz w:val="21"/>
                      <w:szCs w:val="21"/>
                      <w:vertAlign w:val="baseline"/>
                      <w:lang w:val="en-US" w:eastAsia="zh-CN"/>
                    </w:rPr>
                    <w:t>NMHC</w:t>
                  </w:r>
                </w:p>
              </w:tc>
              <w:tc>
                <w:tcPr>
                  <w:tcW w:w="685" w:type="pct"/>
                  <w:vAlign w:val="center"/>
                </w:tcPr>
                <w:p w14:paraId="40B40D31">
                  <w:pPr>
                    <w:widowControl/>
                    <w:jc w:val="center"/>
                    <w:textAlignment w:val="center"/>
                    <w:rPr>
                      <w:rFonts w:hint="default" w:ascii="Times New Roman" w:hAnsi="Times New Roman" w:cs="Times New Roman"/>
                      <w:bCs/>
                      <w:color w:val="auto"/>
                    </w:rPr>
                  </w:pPr>
                  <w:r>
                    <w:rPr>
                      <w:rFonts w:hint="default" w:ascii="Times New Roman" w:hAnsi="Times New Roman" w:cs="Times New Roman"/>
                      <w:color w:val="auto"/>
                    </w:rPr>
                    <w:t>1次/年</w:t>
                  </w:r>
                </w:p>
              </w:tc>
              <w:tc>
                <w:tcPr>
                  <w:tcW w:w="2817" w:type="pct"/>
                  <w:vAlign w:val="center"/>
                </w:tcPr>
                <w:p w14:paraId="52AA1CBE">
                  <w:pPr>
                    <w:jc w:val="center"/>
                    <w:rPr>
                      <w:rFonts w:hint="default" w:ascii="Times New Roman" w:hAnsi="Times New Roman" w:eastAsia="宋体" w:cs="Times New Roman"/>
                      <w:color w:val="auto"/>
                      <w:kern w:val="2"/>
                      <w:sz w:val="21"/>
                      <w:szCs w:val="21"/>
                      <w:lang w:val="en-US" w:eastAsia="zh-CN" w:bidi="ar-SA"/>
                    </w:rPr>
                  </w:pPr>
                  <w:r>
                    <w:rPr>
                      <w:rFonts w:hint="eastAsia" w:cs="Times New Roman"/>
                      <w:bCs/>
                      <w:color w:val="auto"/>
                      <w:sz w:val="21"/>
                      <w:szCs w:val="21"/>
                      <w:lang w:val="en-US" w:eastAsia="zh-CN"/>
                    </w:rPr>
                    <w:t>江西省地方标准《挥发性有机物综合排放控制标准（试行）》</w:t>
                  </w:r>
                  <w:r>
                    <w:rPr>
                      <w:rFonts w:hint="default" w:ascii="Times New Roman" w:hAnsi="Times New Roman" w:cs="Times New Roman"/>
                      <w:color w:val="auto"/>
                      <w:kern w:val="0"/>
                      <w:sz w:val="21"/>
                      <w:szCs w:val="21"/>
                      <w:lang w:bidi="ar"/>
                    </w:rPr>
                    <w:t>（DB36/2186-2025）</w:t>
                  </w:r>
                  <w:r>
                    <w:rPr>
                      <w:rFonts w:hint="default" w:ascii="Times New Roman" w:hAnsi="Times New Roman" w:cs="Times New Roman"/>
                      <w:color w:val="auto"/>
                      <w:kern w:val="0"/>
                      <w:sz w:val="21"/>
                      <w:szCs w:val="21"/>
                      <w:lang w:val="en-US" w:eastAsia="zh-CN" w:bidi="ar"/>
                    </w:rPr>
                    <w:t>表</w:t>
                  </w:r>
                  <w:r>
                    <w:rPr>
                      <w:rFonts w:hint="eastAsia" w:cs="Times New Roman"/>
                      <w:color w:val="auto"/>
                      <w:kern w:val="0"/>
                      <w:sz w:val="21"/>
                      <w:szCs w:val="21"/>
                      <w:lang w:val="en-US" w:eastAsia="zh-CN" w:bidi="ar"/>
                    </w:rPr>
                    <w:t>3</w:t>
                  </w:r>
                  <w:r>
                    <w:rPr>
                      <w:rFonts w:hint="default" w:ascii="Times New Roman" w:hAnsi="Times New Roman" w:cs="Times New Roman"/>
                      <w:color w:val="auto"/>
                      <w:kern w:val="0"/>
                      <w:sz w:val="21"/>
                      <w:szCs w:val="21"/>
                      <w:lang w:val="en-US" w:eastAsia="zh-CN" w:bidi="ar"/>
                    </w:rPr>
                    <w:t>中</w:t>
                  </w:r>
                  <w:r>
                    <w:rPr>
                      <w:rFonts w:hint="default" w:ascii="Times New Roman" w:hAnsi="Times New Roman" w:cs="Times New Roman"/>
                      <w:color w:val="auto"/>
                      <w:sz w:val="21"/>
                      <w:szCs w:val="21"/>
                    </w:rPr>
                    <w:t>相</w:t>
                  </w:r>
                  <w:r>
                    <w:rPr>
                      <w:rFonts w:hint="default" w:ascii="Times New Roman" w:hAnsi="Times New Roman" w:cs="Times New Roman"/>
                      <w:bCs/>
                      <w:color w:val="auto"/>
                      <w:sz w:val="21"/>
                      <w:szCs w:val="21"/>
                    </w:rPr>
                    <w:t>关限值</w:t>
                  </w:r>
                </w:p>
              </w:tc>
            </w:tr>
          </w:tbl>
          <w:p w14:paraId="485292E7">
            <w:pPr>
              <w:pStyle w:val="4"/>
              <w:numPr>
                <w:ilvl w:val="3"/>
                <w:numId w:val="0"/>
              </w:numPr>
              <w:rPr>
                <w:b w:val="0"/>
                <w:bCs/>
                <w:color w:val="auto"/>
              </w:rPr>
            </w:pPr>
          </w:p>
        </w:tc>
      </w:tr>
    </w:tbl>
    <w:p w14:paraId="4088EB1D">
      <w:pPr>
        <w:pStyle w:val="4"/>
        <w:rPr>
          <w:color w:val="auto"/>
        </w:rPr>
        <w:sectPr>
          <w:pgSz w:w="11907" w:h="16840"/>
          <w:pgMar w:top="1701" w:right="1531" w:bottom="2127" w:left="1531" w:header="851" w:footer="851" w:gutter="0"/>
          <w:pgNumType w:fmt="decimal"/>
          <w:cols w:space="720" w:num="1"/>
          <w:docGrid w:linePitch="312" w:charSpace="0"/>
        </w:sectPr>
      </w:pP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28"/>
        <w:gridCol w:w="12820"/>
      </w:tblGrid>
      <w:tr w14:paraId="64E518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15" w:hRule="atLeast"/>
          <w:jc w:val="center"/>
        </w:trPr>
        <w:tc>
          <w:tcPr>
            <w:tcW w:w="328" w:type="dxa"/>
            <w:tcMar>
              <w:left w:w="28" w:type="dxa"/>
              <w:right w:w="28" w:type="dxa"/>
            </w:tcMar>
            <w:vAlign w:val="center"/>
          </w:tcPr>
          <w:p w14:paraId="6A033E55">
            <w:pPr>
              <w:pStyle w:val="24"/>
              <w:spacing w:before="0" w:beforeAutospacing="0" w:after="0" w:afterAutospacing="0"/>
              <w:jc w:val="center"/>
              <w:rPr>
                <w:rFonts w:ascii="Times New Roman" w:hAnsi="Times New Roman"/>
                <w:b/>
                <w:bCs/>
                <w:color w:val="auto"/>
                <w:sz w:val="21"/>
                <w:szCs w:val="21"/>
              </w:rPr>
            </w:pPr>
            <w:r>
              <w:rPr>
                <w:rFonts w:ascii="Times New Roman" w:hAnsi="Times New Roman"/>
                <w:b/>
                <w:bCs/>
                <w:color w:val="auto"/>
                <w:sz w:val="21"/>
                <w:szCs w:val="21"/>
              </w:rPr>
              <w:t>运营期</w:t>
            </w:r>
          </w:p>
          <w:p w14:paraId="6A600ED5">
            <w:pPr>
              <w:pStyle w:val="24"/>
              <w:spacing w:before="0" w:beforeAutospacing="0" w:after="0" w:afterAutospacing="0"/>
              <w:jc w:val="center"/>
              <w:rPr>
                <w:rFonts w:ascii="Times New Roman" w:hAnsi="Times New Roman"/>
                <w:b/>
                <w:bCs/>
                <w:color w:val="auto"/>
                <w:sz w:val="21"/>
                <w:szCs w:val="21"/>
              </w:rPr>
            </w:pPr>
            <w:r>
              <w:rPr>
                <w:rFonts w:ascii="Times New Roman" w:hAnsi="Times New Roman"/>
                <w:b/>
                <w:bCs/>
                <w:color w:val="auto"/>
                <w:sz w:val="21"/>
                <w:szCs w:val="21"/>
              </w:rPr>
              <w:t>环</w:t>
            </w:r>
          </w:p>
          <w:p w14:paraId="7B259EFD">
            <w:pPr>
              <w:pStyle w:val="24"/>
              <w:spacing w:before="0" w:beforeAutospacing="0" w:after="0" w:afterAutospacing="0"/>
              <w:jc w:val="center"/>
              <w:rPr>
                <w:rFonts w:ascii="Times New Roman" w:hAnsi="Times New Roman"/>
                <w:b/>
                <w:bCs/>
                <w:color w:val="auto"/>
                <w:sz w:val="21"/>
                <w:szCs w:val="21"/>
              </w:rPr>
            </w:pPr>
            <w:r>
              <w:rPr>
                <w:rFonts w:ascii="Times New Roman" w:hAnsi="Times New Roman"/>
                <w:b/>
                <w:bCs/>
                <w:color w:val="auto"/>
                <w:sz w:val="21"/>
                <w:szCs w:val="21"/>
              </w:rPr>
              <w:t>境</w:t>
            </w:r>
          </w:p>
          <w:p w14:paraId="651B365A">
            <w:pPr>
              <w:pStyle w:val="24"/>
              <w:spacing w:before="0" w:beforeAutospacing="0" w:after="0" w:afterAutospacing="0"/>
              <w:jc w:val="center"/>
              <w:rPr>
                <w:rFonts w:ascii="Times New Roman" w:hAnsi="Times New Roman"/>
                <w:b/>
                <w:bCs/>
                <w:color w:val="auto"/>
                <w:sz w:val="21"/>
                <w:szCs w:val="21"/>
              </w:rPr>
            </w:pPr>
            <w:r>
              <w:rPr>
                <w:rFonts w:ascii="Times New Roman" w:hAnsi="Times New Roman"/>
                <w:b/>
                <w:bCs/>
                <w:color w:val="auto"/>
                <w:sz w:val="21"/>
                <w:szCs w:val="21"/>
              </w:rPr>
              <w:t>保</w:t>
            </w:r>
          </w:p>
          <w:p w14:paraId="2D727492">
            <w:pPr>
              <w:pStyle w:val="24"/>
              <w:spacing w:before="0" w:beforeAutospacing="0" w:after="0" w:afterAutospacing="0"/>
              <w:jc w:val="center"/>
              <w:rPr>
                <w:rFonts w:ascii="Times New Roman" w:hAnsi="Times New Roman"/>
                <w:b/>
                <w:bCs/>
                <w:color w:val="auto"/>
                <w:sz w:val="21"/>
                <w:szCs w:val="21"/>
              </w:rPr>
            </w:pPr>
            <w:r>
              <w:rPr>
                <w:rFonts w:ascii="Times New Roman" w:hAnsi="Times New Roman"/>
                <w:b/>
                <w:bCs/>
                <w:color w:val="auto"/>
                <w:sz w:val="21"/>
                <w:szCs w:val="21"/>
              </w:rPr>
              <w:t>护</w:t>
            </w:r>
          </w:p>
          <w:p w14:paraId="4DA4F1E2">
            <w:pPr>
              <w:pStyle w:val="24"/>
              <w:spacing w:before="0" w:beforeAutospacing="0" w:after="0" w:afterAutospacing="0"/>
              <w:jc w:val="center"/>
              <w:rPr>
                <w:rFonts w:ascii="Times New Roman" w:hAnsi="Times New Roman"/>
                <w:b/>
                <w:bCs/>
                <w:color w:val="auto"/>
                <w:sz w:val="21"/>
                <w:szCs w:val="21"/>
              </w:rPr>
            </w:pPr>
            <w:r>
              <w:rPr>
                <w:rFonts w:ascii="Times New Roman" w:hAnsi="Times New Roman"/>
                <w:b/>
                <w:bCs/>
                <w:color w:val="auto"/>
                <w:sz w:val="21"/>
                <w:szCs w:val="21"/>
              </w:rPr>
              <w:t>措</w:t>
            </w:r>
          </w:p>
          <w:p w14:paraId="7AEB34E8">
            <w:pPr>
              <w:pStyle w:val="24"/>
              <w:spacing w:before="0" w:beforeAutospacing="0" w:after="0" w:afterAutospacing="0"/>
              <w:jc w:val="center"/>
              <w:rPr>
                <w:rFonts w:ascii="Times New Roman" w:hAnsi="Times New Roman"/>
                <w:b/>
                <w:bCs/>
                <w:color w:val="auto"/>
                <w:kern w:val="2"/>
                <w:sz w:val="21"/>
                <w:szCs w:val="21"/>
              </w:rPr>
            </w:pPr>
            <w:r>
              <w:rPr>
                <w:rFonts w:ascii="Times New Roman" w:hAnsi="Times New Roman"/>
                <w:b/>
                <w:bCs/>
                <w:color w:val="auto"/>
                <w:sz w:val="21"/>
                <w:szCs w:val="21"/>
              </w:rPr>
              <w:t>施</w:t>
            </w:r>
          </w:p>
        </w:tc>
        <w:tc>
          <w:tcPr>
            <w:tcW w:w="12820" w:type="dxa"/>
            <w:vAlign w:val="center"/>
          </w:tcPr>
          <w:p w14:paraId="40483276">
            <w:pPr>
              <w:spacing w:line="360" w:lineRule="auto"/>
              <w:ind w:firstLine="482" w:firstLineChars="200"/>
              <w:rPr>
                <w:b/>
                <w:bCs/>
                <w:color w:val="auto"/>
                <w:sz w:val="24"/>
              </w:rPr>
            </w:pPr>
            <w:r>
              <w:rPr>
                <w:rFonts w:hint="eastAsia"/>
                <w:b/>
                <w:bCs/>
                <w:color w:val="auto"/>
                <w:sz w:val="24"/>
                <w:lang w:val="en-US" w:eastAsia="zh-CN"/>
              </w:rPr>
              <w:t>二</w:t>
            </w:r>
            <w:r>
              <w:rPr>
                <w:rFonts w:hint="eastAsia"/>
                <w:b/>
                <w:bCs/>
                <w:color w:val="auto"/>
                <w:sz w:val="24"/>
              </w:rPr>
              <w:t>、</w:t>
            </w:r>
            <w:r>
              <w:rPr>
                <w:b/>
                <w:bCs/>
                <w:color w:val="auto"/>
                <w:sz w:val="24"/>
              </w:rPr>
              <w:t>废水</w:t>
            </w:r>
          </w:p>
          <w:p w14:paraId="62A8F6DA">
            <w:pPr>
              <w:spacing w:line="360" w:lineRule="auto"/>
              <w:ind w:firstLine="482" w:firstLineChars="200"/>
              <w:rPr>
                <w:b/>
                <w:bCs/>
                <w:color w:val="auto"/>
                <w:sz w:val="24"/>
              </w:rPr>
            </w:pPr>
            <w:r>
              <w:rPr>
                <w:rFonts w:hint="eastAsia"/>
                <w:b/>
                <w:bCs/>
                <w:color w:val="auto"/>
                <w:sz w:val="24"/>
                <w:lang w:val="en-US" w:eastAsia="zh-CN"/>
              </w:rPr>
              <w:t>1、</w:t>
            </w:r>
            <w:r>
              <w:rPr>
                <w:b/>
                <w:bCs/>
                <w:color w:val="auto"/>
                <w:sz w:val="24"/>
              </w:rPr>
              <w:t>废水污染源情况</w:t>
            </w:r>
          </w:p>
          <w:p w14:paraId="593B7116">
            <w:pPr>
              <w:spacing w:line="360" w:lineRule="auto"/>
              <w:ind w:firstLine="480" w:firstLineChars="200"/>
              <w:rPr>
                <w:color w:val="auto"/>
                <w:sz w:val="24"/>
              </w:rPr>
            </w:pPr>
            <w:r>
              <w:rPr>
                <w:color w:val="auto"/>
                <w:sz w:val="24"/>
              </w:rPr>
              <w:t>本项目废水污染源产排情况见表4-</w:t>
            </w:r>
            <w:r>
              <w:rPr>
                <w:rFonts w:hint="eastAsia"/>
                <w:color w:val="auto"/>
                <w:sz w:val="24"/>
                <w:lang w:val="en-US" w:eastAsia="zh-CN"/>
              </w:rPr>
              <w:t>11</w:t>
            </w:r>
            <w:r>
              <w:rPr>
                <w:color w:val="auto"/>
                <w:sz w:val="24"/>
              </w:rPr>
              <w:t>。</w:t>
            </w:r>
          </w:p>
          <w:p w14:paraId="260D7D62">
            <w:pPr>
              <w:pStyle w:val="7"/>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b/>
                <w:bCs/>
                <w:color w:val="auto"/>
              </w:rPr>
            </w:pPr>
            <w:r>
              <w:rPr>
                <w:b/>
                <w:bCs/>
                <w:color w:val="auto"/>
              </w:rPr>
              <w:t>表4-</w:t>
            </w:r>
            <w:r>
              <w:rPr>
                <w:rFonts w:hint="eastAsia"/>
                <w:b/>
                <w:bCs/>
                <w:color w:val="auto"/>
                <w:lang w:val="en-US" w:eastAsia="zh-CN"/>
              </w:rPr>
              <w:t>11</w:t>
            </w:r>
            <w:r>
              <w:rPr>
                <w:b/>
                <w:bCs/>
                <w:color w:val="auto"/>
              </w:rPr>
              <w:t xml:space="preserve">  废水污染源产生、排放汇总表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83"/>
              <w:gridCol w:w="845"/>
              <w:gridCol w:w="1105"/>
              <w:gridCol w:w="996"/>
              <w:gridCol w:w="1102"/>
              <w:gridCol w:w="886"/>
              <w:gridCol w:w="764"/>
              <w:gridCol w:w="982"/>
              <w:gridCol w:w="793"/>
              <w:gridCol w:w="849"/>
              <w:gridCol w:w="997"/>
              <w:gridCol w:w="1103"/>
              <w:gridCol w:w="859"/>
              <w:gridCol w:w="735"/>
            </w:tblGrid>
            <w:tr w14:paraId="68F8F2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32" w:type="pct"/>
                  <w:vMerge w:val="restart"/>
                  <w:tcBorders>
                    <w:tl2br w:val="nil"/>
                    <w:tr2bl w:val="nil"/>
                  </w:tcBorders>
                  <w:vAlign w:val="center"/>
                </w:tcPr>
                <w:p w14:paraId="5CA3A8E7">
                  <w:pPr>
                    <w:pStyle w:val="7"/>
                    <w:spacing w:line="240" w:lineRule="auto"/>
                    <w:ind w:left="0" w:firstLine="0"/>
                    <w:jc w:val="center"/>
                    <w:rPr>
                      <w:b/>
                      <w:bCs/>
                      <w:color w:val="auto"/>
                      <w:sz w:val="21"/>
                      <w:szCs w:val="21"/>
                    </w:rPr>
                  </w:pPr>
                  <w:r>
                    <w:rPr>
                      <w:b/>
                      <w:bCs/>
                      <w:color w:val="auto"/>
                      <w:sz w:val="21"/>
                      <w:szCs w:val="21"/>
                    </w:rPr>
                    <w:t>产排污环节</w:t>
                  </w:r>
                </w:p>
              </w:tc>
              <w:tc>
                <w:tcPr>
                  <w:tcW w:w="336" w:type="pct"/>
                  <w:vMerge w:val="restart"/>
                  <w:tcBorders>
                    <w:tl2br w:val="nil"/>
                    <w:tr2bl w:val="nil"/>
                  </w:tcBorders>
                  <w:vAlign w:val="center"/>
                </w:tcPr>
                <w:p w14:paraId="79EE3B1B">
                  <w:pPr>
                    <w:pStyle w:val="7"/>
                    <w:spacing w:line="240" w:lineRule="auto"/>
                    <w:ind w:left="0" w:firstLine="0"/>
                    <w:jc w:val="center"/>
                    <w:rPr>
                      <w:b/>
                      <w:bCs/>
                      <w:color w:val="auto"/>
                      <w:sz w:val="21"/>
                      <w:szCs w:val="21"/>
                    </w:rPr>
                  </w:pPr>
                  <w:r>
                    <w:rPr>
                      <w:b/>
                      <w:bCs/>
                      <w:color w:val="auto"/>
                      <w:sz w:val="21"/>
                      <w:szCs w:val="21"/>
                    </w:rPr>
                    <w:t>类别</w:t>
                  </w:r>
                </w:p>
              </w:tc>
              <w:tc>
                <w:tcPr>
                  <w:tcW w:w="439" w:type="pct"/>
                  <w:vMerge w:val="restart"/>
                  <w:tcBorders>
                    <w:tl2br w:val="nil"/>
                    <w:tr2bl w:val="nil"/>
                  </w:tcBorders>
                  <w:vAlign w:val="center"/>
                </w:tcPr>
                <w:p w14:paraId="5E09FAAD">
                  <w:pPr>
                    <w:pStyle w:val="7"/>
                    <w:spacing w:line="240" w:lineRule="auto"/>
                    <w:ind w:left="0" w:firstLine="0"/>
                    <w:jc w:val="center"/>
                    <w:rPr>
                      <w:b/>
                      <w:bCs/>
                      <w:color w:val="auto"/>
                      <w:sz w:val="21"/>
                      <w:szCs w:val="21"/>
                    </w:rPr>
                  </w:pPr>
                  <w:r>
                    <w:rPr>
                      <w:b/>
                      <w:bCs/>
                      <w:color w:val="auto"/>
                      <w:sz w:val="21"/>
                      <w:szCs w:val="21"/>
                    </w:rPr>
                    <w:t>污染物</w:t>
                  </w:r>
                </w:p>
                <w:p w14:paraId="0DF82BB8">
                  <w:pPr>
                    <w:pStyle w:val="7"/>
                    <w:spacing w:line="240" w:lineRule="auto"/>
                    <w:ind w:left="0" w:firstLine="0"/>
                    <w:jc w:val="center"/>
                    <w:rPr>
                      <w:b/>
                      <w:bCs/>
                      <w:color w:val="auto"/>
                      <w:sz w:val="21"/>
                      <w:szCs w:val="21"/>
                    </w:rPr>
                  </w:pPr>
                  <w:r>
                    <w:rPr>
                      <w:b/>
                      <w:bCs/>
                      <w:color w:val="auto"/>
                      <w:sz w:val="21"/>
                      <w:szCs w:val="21"/>
                    </w:rPr>
                    <w:t>种类</w:t>
                  </w:r>
                </w:p>
              </w:tc>
              <w:tc>
                <w:tcPr>
                  <w:tcW w:w="1186" w:type="pct"/>
                  <w:gridSpan w:val="3"/>
                  <w:tcBorders>
                    <w:tl2br w:val="nil"/>
                    <w:tr2bl w:val="nil"/>
                  </w:tcBorders>
                  <w:vAlign w:val="center"/>
                </w:tcPr>
                <w:p w14:paraId="620B0B8A">
                  <w:pPr>
                    <w:pStyle w:val="7"/>
                    <w:spacing w:line="240" w:lineRule="auto"/>
                    <w:ind w:left="0" w:firstLine="0"/>
                    <w:jc w:val="center"/>
                    <w:rPr>
                      <w:b/>
                      <w:bCs/>
                      <w:color w:val="auto"/>
                      <w:sz w:val="21"/>
                      <w:szCs w:val="21"/>
                    </w:rPr>
                  </w:pPr>
                  <w:r>
                    <w:rPr>
                      <w:b/>
                      <w:bCs/>
                      <w:color w:val="auto"/>
                      <w:sz w:val="21"/>
                      <w:szCs w:val="21"/>
                    </w:rPr>
                    <w:t>污染物产生量和浓度</w:t>
                  </w:r>
                </w:p>
              </w:tc>
              <w:tc>
                <w:tcPr>
                  <w:tcW w:w="1337" w:type="pct"/>
                  <w:gridSpan w:val="4"/>
                  <w:tcBorders>
                    <w:tl2br w:val="nil"/>
                    <w:tr2bl w:val="nil"/>
                  </w:tcBorders>
                  <w:vAlign w:val="center"/>
                </w:tcPr>
                <w:p w14:paraId="45135B07">
                  <w:pPr>
                    <w:pStyle w:val="7"/>
                    <w:spacing w:line="240" w:lineRule="auto"/>
                    <w:ind w:left="0" w:firstLine="0"/>
                    <w:jc w:val="center"/>
                    <w:rPr>
                      <w:b/>
                      <w:bCs/>
                      <w:color w:val="auto"/>
                      <w:sz w:val="21"/>
                      <w:szCs w:val="21"/>
                    </w:rPr>
                  </w:pPr>
                  <w:r>
                    <w:rPr>
                      <w:b/>
                      <w:bCs/>
                      <w:color w:val="auto"/>
                      <w:sz w:val="21"/>
                      <w:szCs w:val="21"/>
                    </w:rPr>
                    <w:t>污染治理设施</w:t>
                  </w:r>
                </w:p>
              </w:tc>
              <w:tc>
                <w:tcPr>
                  <w:tcW w:w="1175" w:type="pct"/>
                  <w:gridSpan w:val="3"/>
                  <w:tcBorders>
                    <w:tl2br w:val="nil"/>
                    <w:tr2bl w:val="nil"/>
                  </w:tcBorders>
                  <w:vAlign w:val="center"/>
                </w:tcPr>
                <w:p w14:paraId="312D326C">
                  <w:pPr>
                    <w:pStyle w:val="7"/>
                    <w:spacing w:line="240" w:lineRule="auto"/>
                    <w:ind w:left="0" w:firstLine="0"/>
                    <w:jc w:val="center"/>
                    <w:rPr>
                      <w:b/>
                      <w:bCs/>
                      <w:color w:val="auto"/>
                      <w:sz w:val="21"/>
                      <w:szCs w:val="21"/>
                    </w:rPr>
                  </w:pPr>
                  <w:r>
                    <w:rPr>
                      <w:b/>
                      <w:bCs/>
                      <w:color w:val="auto"/>
                      <w:sz w:val="21"/>
                      <w:szCs w:val="21"/>
                    </w:rPr>
                    <w:t>污染物排放量和浓度</w:t>
                  </w:r>
                </w:p>
              </w:tc>
              <w:tc>
                <w:tcPr>
                  <w:tcW w:w="292" w:type="pct"/>
                  <w:vMerge w:val="restart"/>
                  <w:tcBorders>
                    <w:tl2br w:val="nil"/>
                    <w:tr2bl w:val="nil"/>
                  </w:tcBorders>
                  <w:vAlign w:val="center"/>
                </w:tcPr>
                <w:p w14:paraId="2C793ADF">
                  <w:pPr>
                    <w:pStyle w:val="7"/>
                    <w:spacing w:line="240" w:lineRule="auto"/>
                    <w:ind w:left="0" w:firstLine="0"/>
                    <w:jc w:val="center"/>
                    <w:rPr>
                      <w:rFonts w:hint="default" w:eastAsia="宋体"/>
                      <w:b/>
                      <w:bCs/>
                      <w:color w:val="auto"/>
                      <w:sz w:val="21"/>
                      <w:szCs w:val="21"/>
                      <w:lang w:val="en-US" w:eastAsia="zh-CN"/>
                    </w:rPr>
                  </w:pPr>
                  <w:r>
                    <w:rPr>
                      <w:rFonts w:hint="eastAsia"/>
                      <w:b/>
                      <w:bCs/>
                      <w:color w:val="FF0000"/>
                      <w:sz w:val="21"/>
                      <w:szCs w:val="21"/>
                      <w:lang w:val="en-US" w:eastAsia="zh-CN"/>
                    </w:rPr>
                    <w:t>用途</w:t>
                  </w:r>
                </w:p>
              </w:tc>
            </w:tr>
            <w:tr w14:paraId="1243F4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32" w:type="pct"/>
                  <w:vMerge w:val="continue"/>
                  <w:tcBorders>
                    <w:tl2br w:val="nil"/>
                    <w:tr2bl w:val="nil"/>
                  </w:tcBorders>
                  <w:vAlign w:val="center"/>
                </w:tcPr>
                <w:p w14:paraId="7308A49D">
                  <w:pPr>
                    <w:pStyle w:val="7"/>
                    <w:spacing w:line="240" w:lineRule="auto"/>
                    <w:ind w:left="0" w:firstLine="0"/>
                    <w:jc w:val="center"/>
                    <w:rPr>
                      <w:b/>
                      <w:bCs/>
                      <w:color w:val="auto"/>
                      <w:sz w:val="21"/>
                      <w:szCs w:val="21"/>
                    </w:rPr>
                  </w:pPr>
                </w:p>
              </w:tc>
              <w:tc>
                <w:tcPr>
                  <w:tcW w:w="336" w:type="pct"/>
                  <w:vMerge w:val="continue"/>
                  <w:tcBorders>
                    <w:tl2br w:val="nil"/>
                    <w:tr2bl w:val="nil"/>
                  </w:tcBorders>
                  <w:vAlign w:val="center"/>
                </w:tcPr>
                <w:p w14:paraId="1597FAEE">
                  <w:pPr>
                    <w:pStyle w:val="7"/>
                    <w:spacing w:line="240" w:lineRule="auto"/>
                    <w:ind w:left="0" w:firstLine="0"/>
                    <w:jc w:val="center"/>
                    <w:rPr>
                      <w:b/>
                      <w:bCs/>
                      <w:color w:val="auto"/>
                      <w:sz w:val="21"/>
                      <w:szCs w:val="21"/>
                    </w:rPr>
                  </w:pPr>
                </w:p>
              </w:tc>
              <w:tc>
                <w:tcPr>
                  <w:tcW w:w="439" w:type="pct"/>
                  <w:vMerge w:val="continue"/>
                  <w:tcBorders>
                    <w:tl2br w:val="nil"/>
                    <w:tr2bl w:val="nil"/>
                  </w:tcBorders>
                  <w:vAlign w:val="center"/>
                </w:tcPr>
                <w:p w14:paraId="446D9C17">
                  <w:pPr>
                    <w:pStyle w:val="7"/>
                    <w:spacing w:line="240" w:lineRule="auto"/>
                    <w:ind w:left="0" w:firstLine="0"/>
                    <w:jc w:val="center"/>
                    <w:rPr>
                      <w:b/>
                      <w:bCs/>
                      <w:color w:val="auto"/>
                      <w:sz w:val="21"/>
                      <w:szCs w:val="21"/>
                    </w:rPr>
                  </w:pPr>
                </w:p>
              </w:tc>
              <w:tc>
                <w:tcPr>
                  <w:tcW w:w="396" w:type="pct"/>
                  <w:tcBorders>
                    <w:tl2br w:val="nil"/>
                    <w:tr2bl w:val="nil"/>
                  </w:tcBorders>
                  <w:vAlign w:val="center"/>
                </w:tcPr>
                <w:p w14:paraId="0AE9134F">
                  <w:pPr>
                    <w:pStyle w:val="7"/>
                    <w:spacing w:line="240" w:lineRule="auto"/>
                    <w:ind w:left="0" w:firstLine="0"/>
                    <w:jc w:val="center"/>
                    <w:rPr>
                      <w:b/>
                      <w:bCs/>
                      <w:color w:val="auto"/>
                      <w:sz w:val="21"/>
                      <w:szCs w:val="21"/>
                    </w:rPr>
                  </w:pPr>
                  <w:r>
                    <w:rPr>
                      <w:b/>
                      <w:bCs/>
                      <w:color w:val="auto"/>
                      <w:sz w:val="21"/>
                      <w:szCs w:val="21"/>
                    </w:rPr>
                    <w:t>废水量</w:t>
                  </w:r>
                </w:p>
              </w:tc>
              <w:tc>
                <w:tcPr>
                  <w:tcW w:w="438" w:type="pct"/>
                  <w:tcBorders>
                    <w:tl2br w:val="nil"/>
                    <w:tr2bl w:val="nil"/>
                  </w:tcBorders>
                  <w:vAlign w:val="center"/>
                </w:tcPr>
                <w:p w14:paraId="55172A5B">
                  <w:pPr>
                    <w:pStyle w:val="7"/>
                    <w:spacing w:line="240" w:lineRule="auto"/>
                    <w:ind w:left="0" w:firstLine="0"/>
                    <w:jc w:val="center"/>
                    <w:rPr>
                      <w:b/>
                      <w:bCs/>
                      <w:color w:val="auto"/>
                      <w:sz w:val="21"/>
                      <w:szCs w:val="21"/>
                    </w:rPr>
                  </w:pPr>
                  <w:r>
                    <w:rPr>
                      <w:b/>
                      <w:bCs/>
                      <w:color w:val="auto"/>
                      <w:sz w:val="21"/>
                      <w:szCs w:val="21"/>
                    </w:rPr>
                    <w:t>产生浓度</w:t>
                  </w:r>
                </w:p>
              </w:tc>
              <w:tc>
                <w:tcPr>
                  <w:tcW w:w="352" w:type="pct"/>
                  <w:tcBorders>
                    <w:tl2br w:val="nil"/>
                    <w:tr2bl w:val="nil"/>
                  </w:tcBorders>
                  <w:vAlign w:val="center"/>
                </w:tcPr>
                <w:p w14:paraId="4536D9C5">
                  <w:pPr>
                    <w:pStyle w:val="7"/>
                    <w:spacing w:line="240" w:lineRule="auto"/>
                    <w:ind w:left="0" w:firstLine="0"/>
                    <w:jc w:val="center"/>
                    <w:rPr>
                      <w:b/>
                      <w:bCs/>
                      <w:color w:val="auto"/>
                      <w:sz w:val="21"/>
                      <w:szCs w:val="21"/>
                    </w:rPr>
                  </w:pPr>
                  <w:r>
                    <w:rPr>
                      <w:b/>
                      <w:bCs/>
                      <w:color w:val="auto"/>
                      <w:sz w:val="21"/>
                      <w:szCs w:val="21"/>
                    </w:rPr>
                    <w:t>产生量</w:t>
                  </w:r>
                </w:p>
              </w:tc>
              <w:tc>
                <w:tcPr>
                  <w:tcW w:w="295" w:type="pct"/>
                  <w:tcBorders>
                    <w:tl2br w:val="nil"/>
                    <w:tr2bl w:val="nil"/>
                  </w:tcBorders>
                  <w:vAlign w:val="center"/>
                </w:tcPr>
                <w:p w14:paraId="565573C8">
                  <w:pPr>
                    <w:pStyle w:val="7"/>
                    <w:spacing w:line="240" w:lineRule="auto"/>
                    <w:ind w:left="0" w:firstLine="0"/>
                    <w:jc w:val="center"/>
                    <w:rPr>
                      <w:b/>
                      <w:bCs/>
                      <w:color w:val="auto"/>
                      <w:sz w:val="21"/>
                      <w:szCs w:val="21"/>
                    </w:rPr>
                  </w:pPr>
                  <w:r>
                    <w:rPr>
                      <w:b/>
                      <w:bCs/>
                      <w:color w:val="auto"/>
                      <w:sz w:val="21"/>
                      <w:szCs w:val="21"/>
                    </w:rPr>
                    <w:t>处理能力</w:t>
                  </w:r>
                </w:p>
              </w:tc>
              <w:tc>
                <w:tcPr>
                  <w:tcW w:w="390" w:type="pct"/>
                  <w:vMerge w:val="restart"/>
                  <w:tcBorders>
                    <w:tl2br w:val="nil"/>
                    <w:tr2bl w:val="nil"/>
                  </w:tcBorders>
                  <w:vAlign w:val="center"/>
                </w:tcPr>
                <w:p w14:paraId="31883F71">
                  <w:pPr>
                    <w:pStyle w:val="7"/>
                    <w:spacing w:line="240" w:lineRule="auto"/>
                    <w:ind w:left="0" w:firstLine="0"/>
                    <w:jc w:val="center"/>
                    <w:rPr>
                      <w:b/>
                      <w:bCs/>
                      <w:color w:val="auto"/>
                      <w:sz w:val="21"/>
                      <w:szCs w:val="21"/>
                    </w:rPr>
                  </w:pPr>
                  <w:r>
                    <w:rPr>
                      <w:b/>
                      <w:bCs/>
                      <w:color w:val="auto"/>
                      <w:sz w:val="21"/>
                      <w:szCs w:val="21"/>
                    </w:rPr>
                    <w:t>主要治理工艺</w:t>
                  </w:r>
                </w:p>
              </w:tc>
              <w:tc>
                <w:tcPr>
                  <w:tcW w:w="315" w:type="pct"/>
                  <w:tcBorders>
                    <w:tl2br w:val="nil"/>
                    <w:tr2bl w:val="nil"/>
                  </w:tcBorders>
                  <w:vAlign w:val="center"/>
                </w:tcPr>
                <w:p w14:paraId="301577D4">
                  <w:pPr>
                    <w:pStyle w:val="7"/>
                    <w:spacing w:line="240" w:lineRule="auto"/>
                    <w:ind w:left="0" w:firstLine="0"/>
                    <w:jc w:val="center"/>
                    <w:rPr>
                      <w:b/>
                      <w:bCs/>
                      <w:color w:val="auto"/>
                      <w:sz w:val="21"/>
                      <w:szCs w:val="21"/>
                    </w:rPr>
                  </w:pPr>
                  <w:r>
                    <w:rPr>
                      <w:b/>
                      <w:bCs/>
                      <w:color w:val="auto"/>
                      <w:sz w:val="21"/>
                      <w:szCs w:val="21"/>
                    </w:rPr>
                    <w:t>去除效率</w:t>
                  </w:r>
                </w:p>
              </w:tc>
              <w:tc>
                <w:tcPr>
                  <w:tcW w:w="337" w:type="pct"/>
                  <w:vMerge w:val="restart"/>
                  <w:tcBorders>
                    <w:tl2br w:val="nil"/>
                    <w:tr2bl w:val="nil"/>
                  </w:tcBorders>
                  <w:vAlign w:val="center"/>
                </w:tcPr>
                <w:p w14:paraId="6EA07854">
                  <w:pPr>
                    <w:pStyle w:val="7"/>
                    <w:spacing w:line="240" w:lineRule="auto"/>
                    <w:ind w:left="0" w:firstLine="0"/>
                    <w:jc w:val="center"/>
                    <w:rPr>
                      <w:b/>
                      <w:bCs/>
                      <w:color w:val="auto"/>
                      <w:sz w:val="21"/>
                      <w:szCs w:val="21"/>
                    </w:rPr>
                  </w:pPr>
                  <w:r>
                    <w:rPr>
                      <w:b/>
                      <w:bCs/>
                      <w:color w:val="auto"/>
                      <w:sz w:val="21"/>
                      <w:szCs w:val="21"/>
                    </w:rPr>
                    <w:t>是否可行技术</w:t>
                  </w:r>
                </w:p>
              </w:tc>
              <w:tc>
                <w:tcPr>
                  <w:tcW w:w="396" w:type="pct"/>
                  <w:tcBorders>
                    <w:tl2br w:val="nil"/>
                    <w:tr2bl w:val="nil"/>
                  </w:tcBorders>
                  <w:vAlign w:val="center"/>
                </w:tcPr>
                <w:p w14:paraId="0A844046">
                  <w:pPr>
                    <w:pStyle w:val="7"/>
                    <w:spacing w:line="240" w:lineRule="auto"/>
                    <w:ind w:left="0" w:firstLine="0"/>
                    <w:jc w:val="center"/>
                    <w:rPr>
                      <w:b/>
                      <w:bCs/>
                      <w:color w:val="auto"/>
                      <w:sz w:val="21"/>
                      <w:szCs w:val="21"/>
                    </w:rPr>
                  </w:pPr>
                  <w:r>
                    <w:rPr>
                      <w:b/>
                      <w:bCs/>
                      <w:color w:val="auto"/>
                      <w:sz w:val="21"/>
                      <w:szCs w:val="21"/>
                    </w:rPr>
                    <w:t>废水量</w:t>
                  </w:r>
                </w:p>
              </w:tc>
              <w:tc>
                <w:tcPr>
                  <w:tcW w:w="438" w:type="pct"/>
                  <w:tcBorders>
                    <w:tl2br w:val="nil"/>
                    <w:tr2bl w:val="nil"/>
                  </w:tcBorders>
                  <w:vAlign w:val="center"/>
                </w:tcPr>
                <w:p w14:paraId="6F904CB8">
                  <w:pPr>
                    <w:pStyle w:val="7"/>
                    <w:spacing w:line="240" w:lineRule="auto"/>
                    <w:ind w:left="0" w:firstLine="0"/>
                    <w:jc w:val="center"/>
                    <w:rPr>
                      <w:b/>
                      <w:bCs/>
                      <w:color w:val="auto"/>
                      <w:sz w:val="21"/>
                      <w:szCs w:val="21"/>
                    </w:rPr>
                  </w:pPr>
                  <w:r>
                    <w:rPr>
                      <w:b/>
                      <w:bCs/>
                      <w:color w:val="auto"/>
                      <w:sz w:val="21"/>
                      <w:szCs w:val="21"/>
                    </w:rPr>
                    <w:t>排放浓度</w:t>
                  </w:r>
                </w:p>
              </w:tc>
              <w:tc>
                <w:tcPr>
                  <w:tcW w:w="341" w:type="pct"/>
                  <w:tcBorders>
                    <w:tl2br w:val="nil"/>
                    <w:tr2bl w:val="nil"/>
                  </w:tcBorders>
                  <w:vAlign w:val="center"/>
                </w:tcPr>
                <w:p w14:paraId="44426992">
                  <w:pPr>
                    <w:pStyle w:val="7"/>
                    <w:spacing w:line="240" w:lineRule="auto"/>
                    <w:ind w:left="0" w:firstLine="0"/>
                    <w:jc w:val="center"/>
                    <w:rPr>
                      <w:b/>
                      <w:bCs/>
                      <w:color w:val="auto"/>
                      <w:sz w:val="21"/>
                      <w:szCs w:val="21"/>
                    </w:rPr>
                  </w:pPr>
                  <w:r>
                    <w:rPr>
                      <w:b/>
                      <w:bCs/>
                      <w:color w:val="auto"/>
                      <w:sz w:val="21"/>
                      <w:szCs w:val="21"/>
                    </w:rPr>
                    <w:t>排放量</w:t>
                  </w:r>
                </w:p>
              </w:tc>
              <w:tc>
                <w:tcPr>
                  <w:tcW w:w="292" w:type="pct"/>
                  <w:vMerge w:val="continue"/>
                  <w:tcBorders>
                    <w:tl2br w:val="nil"/>
                    <w:tr2bl w:val="nil"/>
                  </w:tcBorders>
                  <w:vAlign w:val="center"/>
                </w:tcPr>
                <w:p w14:paraId="54667E8A">
                  <w:pPr>
                    <w:pStyle w:val="7"/>
                    <w:spacing w:line="240" w:lineRule="auto"/>
                    <w:ind w:left="0" w:firstLine="0"/>
                    <w:jc w:val="center"/>
                    <w:rPr>
                      <w:b/>
                      <w:bCs/>
                      <w:color w:val="auto"/>
                      <w:sz w:val="21"/>
                      <w:szCs w:val="21"/>
                    </w:rPr>
                  </w:pPr>
                </w:p>
              </w:tc>
            </w:tr>
            <w:tr w14:paraId="1BB1F8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32" w:type="pct"/>
                  <w:vMerge w:val="continue"/>
                  <w:tcBorders>
                    <w:tl2br w:val="nil"/>
                    <w:tr2bl w:val="nil"/>
                  </w:tcBorders>
                  <w:vAlign w:val="center"/>
                </w:tcPr>
                <w:p w14:paraId="4BD83725">
                  <w:pPr>
                    <w:pStyle w:val="7"/>
                    <w:spacing w:line="240" w:lineRule="auto"/>
                    <w:ind w:left="0" w:firstLine="0"/>
                    <w:jc w:val="center"/>
                    <w:rPr>
                      <w:b/>
                      <w:bCs/>
                      <w:color w:val="auto"/>
                      <w:sz w:val="21"/>
                      <w:szCs w:val="21"/>
                    </w:rPr>
                  </w:pPr>
                </w:p>
              </w:tc>
              <w:tc>
                <w:tcPr>
                  <w:tcW w:w="336" w:type="pct"/>
                  <w:vMerge w:val="continue"/>
                  <w:tcBorders>
                    <w:tl2br w:val="nil"/>
                    <w:tr2bl w:val="nil"/>
                  </w:tcBorders>
                  <w:vAlign w:val="center"/>
                </w:tcPr>
                <w:p w14:paraId="5ECCE51F">
                  <w:pPr>
                    <w:pStyle w:val="7"/>
                    <w:spacing w:line="240" w:lineRule="auto"/>
                    <w:ind w:left="0" w:firstLine="0"/>
                    <w:jc w:val="center"/>
                    <w:rPr>
                      <w:b/>
                      <w:bCs/>
                      <w:color w:val="auto"/>
                      <w:sz w:val="21"/>
                      <w:szCs w:val="21"/>
                    </w:rPr>
                  </w:pPr>
                </w:p>
              </w:tc>
              <w:tc>
                <w:tcPr>
                  <w:tcW w:w="439" w:type="pct"/>
                  <w:vMerge w:val="continue"/>
                  <w:tcBorders>
                    <w:tl2br w:val="nil"/>
                    <w:tr2bl w:val="nil"/>
                  </w:tcBorders>
                  <w:vAlign w:val="center"/>
                </w:tcPr>
                <w:p w14:paraId="7EE99B6B">
                  <w:pPr>
                    <w:pStyle w:val="7"/>
                    <w:spacing w:line="240" w:lineRule="auto"/>
                    <w:ind w:left="0" w:firstLine="0"/>
                    <w:jc w:val="center"/>
                    <w:rPr>
                      <w:b/>
                      <w:bCs/>
                      <w:color w:val="auto"/>
                      <w:sz w:val="21"/>
                      <w:szCs w:val="21"/>
                    </w:rPr>
                  </w:pPr>
                </w:p>
              </w:tc>
              <w:tc>
                <w:tcPr>
                  <w:tcW w:w="396" w:type="pct"/>
                  <w:tcBorders>
                    <w:tl2br w:val="nil"/>
                    <w:tr2bl w:val="nil"/>
                  </w:tcBorders>
                  <w:vAlign w:val="center"/>
                </w:tcPr>
                <w:p w14:paraId="220FB52C">
                  <w:pPr>
                    <w:pStyle w:val="7"/>
                    <w:spacing w:line="240" w:lineRule="auto"/>
                    <w:ind w:left="0" w:firstLine="0"/>
                    <w:jc w:val="center"/>
                    <w:rPr>
                      <w:b/>
                      <w:bCs/>
                      <w:color w:val="auto"/>
                      <w:sz w:val="21"/>
                      <w:szCs w:val="21"/>
                    </w:rPr>
                  </w:pPr>
                  <w:r>
                    <w:rPr>
                      <w:b/>
                      <w:bCs/>
                      <w:color w:val="auto"/>
                      <w:sz w:val="21"/>
                      <w:szCs w:val="21"/>
                    </w:rPr>
                    <w:t>m</w:t>
                  </w:r>
                  <w:r>
                    <w:rPr>
                      <w:b/>
                      <w:bCs/>
                      <w:color w:val="auto"/>
                      <w:sz w:val="21"/>
                      <w:szCs w:val="21"/>
                      <w:vertAlign w:val="superscript"/>
                    </w:rPr>
                    <w:t>3</w:t>
                  </w:r>
                  <w:r>
                    <w:rPr>
                      <w:b/>
                      <w:bCs/>
                      <w:color w:val="auto"/>
                      <w:sz w:val="21"/>
                      <w:szCs w:val="21"/>
                    </w:rPr>
                    <w:t>/a</w:t>
                  </w:r>
                </w:p>
              </w:tc>
              <w:tc>
                <w:tcPr>
                  <w:tcW w:w="438" w:type="pct"/>
                  <w:tcBorders>
                    <w:tl2br w:val="nil"/>
                    <w:tr2bl w:val="nil"/>
                  </w:tcBorders>
                  <w:vAlign w:val="center"/>
                </w:tcPr>
                <w:p w14:paraId="1DA078DE">
                  <w:pPr>
                    <w:pStyle w:val="7"/>
                    <w:spacing w:line="240" w:lineRule="auto"/>
                    <w:ind w:left="0" w:firstLine="0"/>
                    <w:jc w:val="center"/>
                    <w:rPr>
                      <w:b/>
                      <w:bCs/>
                      <w:color w:val="auto"/>
                      <w:sz w:val="21"/>
                      <w:szCs w:val="21"/>
                    </w:rPr>
                  </w:pPr>
                  <w:r>
                    <w:rPr>
                      <w:b/>
                      <w:bCs/>
                      <w:color w:val="auto"/>
                      <w:sz w:val="21"/>
                      <w:szCs w:val="21"/>
                    </w:rPr>
                    <w:t>mg/L</w:t>
                  </w:r>
                </w:p>
              </w:tc>
              <w:tc>
                <w:tcPr>
                  <w:tcW w:w="352" w:type="pct"/>
                  <w:tcBorders>
                    <w:tl2br w:val="nil"/>
                    <w:tr2bl w:val="nil"/>
                  </w:tcBorders>
                  <w:vAlign w:val="center"/>
                </w:tcPr>
                <w:p w14:paraId="4ACD9DE7">
                  <w:pPr>
                    <w:pStyle w:val="7"/>
                    <w:spacing w:line="240" w:lineRule="auto"/>
                    <w:ind w:left="0" w:firstLine="0"/>
                    <w:jc w:val="center"/>
                    <w:rPr>
                      <w:b/>
                      <w:bCs/>
                      <w:color w:val="auto"/>
                      <w:sz w:val="21"/>
                      <w:szCs w:val="21"/>
                    </w:rPr>
                  </w:pPr>
                  <w:r>
                    <w:rPr>
                      <w:b/>
                      <w:bCs/>
                      <w:color w:val="auto"/>
                      <w:sz w:val="21"/>
                      <w:szCs w:val="21"/>
                    </w:rPr>
                    <w:t>t/a</w:t>
                  </w:r>
                </w:p>
              </w:tc>
              <w:tc>
                <w:tcPr>
                  <w:tcW w:w="295" w:type="pct"/>
                  <w:tcBorders>
                    <w:tl2br w:val="nil"/>
                    <w:tr2bl w:val="nil"/>
                  </w:tcBorders>
                  <w:vAlign w:val="center"/>
                </w:tcPr>
                <w:p w14:paraId="27BB7421">
                  <w:pPr>
                    <w:pStyle w:val="7"/>
                    <w:spacing w:line="240" w:lineRule="auto"/>
                    <w:ind w:left="0" w:firstLine="0"/>
                    <w:jc w:val="center"/>
                    <w:rPr>
                      <w:b/>
                      <w:bCs/>
                      <w:color w:val="auto"/>
                      <w:sz w:val="21"/>
                      <w:szCs w:val="21"/>
                    </w:rPr>
                  </w:pPr>
                  <w:r>
                    <w:rPr>
                      <w:b/>
                      <w:bCs/>
                      <w:color w:val="auto"/>
                      <w:sz w:val="21"/>
                      <w:szCs w:val="21"/>
                    </w:rPr>
                    <w:t>m</w:t>
                  </w:r>
                  <w:r>
                    <w:rPr>
                      <w:b/>
                      <w:bCs/>
                      <w:color w:val="auto"/>
                      <w:sz w:val="21"/>
                      <w:szCs w:val="21"/>
                      <w:vertAlign w:val="superscript"/>
                    </w:rPr>
                    <w:t>3</w:t>
                  </w:r>
                  <w:r>
                    <w:rPr>
                      <w:b/>
                      <w:bCs/>
                      <w:color w:val="auto"/>
                      <w:sz w:val="21"/>
                      <w:szCs w:val="21"/>
                    </w:rPr>
                    <w:t>/d</w:t>
                  </w:r>
                </w:p>
              </w:tc>
              <w:tc>
                <w:tcPr>
                  <w:tcW w:w="390" w:type="pct"/>
                  <w:vMerge w:val="continue"/>
                  <w:tcBorders>
                    <w:tl2br w:val="nil"/>
                    <w:tr2bl w:val="nil"/>
                  </w:tcBorders>
                  <w:vAlign w:val="center"/>
                </w:tcPr>
                <w:p w14:paraId="1E650B9E">
                  <w:pPr>
                    <w:pStyle w:val="7"/>
                    <w:spacing w:line="240" w:lineRule="auto"/>
                    <w:ind w:left="0" w:firstLine="0"/>
                    <w:jc w:val="center"/>
                    <w:rPr>
                      <w:b/>
                      <w:bCs/>
                      <w:color w:val="auto"/>
                      <w:sz w:val="21"/>
                      <w:szCs w:val="21"/>
                    </w:rPr>
                  </w:pPr>
                </w:p>
              </w:tc>
              <w:tc>
                <w:tcPr>
                  <w:tcW w:w="315" w:type="pct"/>
                  <w:tcBorders>
                    <w:tl2br w:val="nil"/>
                    <w:tr2bl w:val="nil"/>
                  </w:tcBorders>
                  <w:vAlign w:val="center"/>
                </w:tcPr>
                <w:p w14:paraId="23DC15CB">
                  <w:pPr>
                    <w:pStyle w:val="7"/>
                    <w:spacing w:line="240" w:lineRule="auto"/>
                    <w:ind w:left="0" w:firstLine="0"/>
                    <w:jc w:val="center"/>
                    <w:rPr>
                      <w:b/>
                      <w:bCs/>
                      <w:color w:val="auto"/>
                      <w:sz w:val="21"/>
                      <w:szCs w:val="21"/>
                    </w:rPr>
                  </w:pPr>
                  <w:r>
                    <w:rPr>
                      <w:b/>
                      <w:bCs/>
                      <w:color w:val="auto"/>
                      <w:sz w:val="21"/>
                      <w:szCs w:val="21"/>
                    </w:rPr>
                    <w:t>%</w:t>
                  </w:r>
                </w:p>
              </w:tc>
              <w:tc>
                <w:tcPr>
                  <w:tcW w:w="337" w:type="pct"/>
                  <w:vMerge w:val="continue"/>
                  <w:tcBorders>
                    <w:tl2br w:val="nil"/>
                    <w:tr2bl w:val="nil"/>
                  </w:tcBorders>
                  <w:vAlign w:val="center"/>
                </w:tcPr>
                <w:p w14:paraId="25B41D97">
                  <w:pPr>
                    <w:pStyle w:val="7"/>
                    <w:spacing w:line="240" w:lineRule="auto"/>
                    <w:ind w:left="0" w:firstLine="0"/>
                    <w:jc w:val="center"/>
                    <w:rPr>
                      <w:b/>
                      <w:bCs/>
                      <w:color w:val="auto"/>
                      <w:sz w:val="21"/>
                      <w:szCs w:val="21"/>
                    </w:rPr>
                  </w:pPr>
                </w:p>
              </w:tc>
              <w:tc>
                <w:tcPr>
                  <w:tcW w:w="396" w:type="pct"/>
                  <w:tcBorders>
                    <w:tl2br w:val="nil"/>
                    <w:tr2bl w:val="nil"/>
                  </w:tcBorders>
                  <w:vAlign w:val="center"/>
                </w:tcPr>
                <w:p w14:paraId="50E4C89A">
                  <w:pPr>
                    <w:pStyle w:val="7"/>
                    <w:spacing w:line="240" w:lineRule="auto"/>
                    <w:ind w:left="0" w:firstLine="0"/>
                    <w:jc w:val="center"/>
                    <w:rPr>
                      <w:b/>
                      <w:bCs/>
                      <w:color w:val="auto"/>
                      <w:sz w:val="21"/>
                      <w:szCs w:val="21"/>
                    </w:rPr>
                  </w:pPr>
                  <w:r>
                    <w:rPr>
                      <w:b/>
                      <w:bCs/>
                      <w:color w:val="auto"/>
                      <w:sz w:val="21"/>
                      <w:szCs w:val="21"/>
                    </w:rPr>
                    <w:t>m</w:t>
                  </w:r>
                  <w:r>
                    <w:rPr>
                      <w:b/>
                      <w:bCs/>
                      <w:color w:val="auto"/>
                      <w:sz w:val="21"/>
                      <w:szCs w:val="21"/>
                      <w:vertAlign w:val="superscript"/>
                    </w:rPr>
                    <w:t>3</w:t>
                  </w:r>
                  <w:r>
                    <w:rPr>
                      <w:b/>
                      <w:bCs/>
                      <w:color w:val="auto"/>
                      <w:sz w:val="21"/>
                      <w:szCs w:val="21"/>
                    </w:rPr>
                    <w:t>/a</w:t>
                  </w:r>
                </w:p>
              </w:tc>
              <w:tc>
                <w:tcPr>
                  <w:tcW w:w="438" w:type="pct"/>
                  <w:tcBorders>
                    <w:tl2br w:val="nil"/>
                    <w:tr2bl w:val="nil"/>
                  </w:tcBorders>
                  <w:vAlign w:val="center"/>
                </w:tcPr>
                <w:p w14:paraId="04B677B0">
                  <w:pPr>
                    <w:pStyle w:val="7"/>
                    <w:spacing w:line="240" w:lineRule="auto"/>
                    <w:ind w:left="0" w:firstLine="0"/>
                    <w:jc w:val="center"/>
                    <w:rPr>
                      <w:b/>
                      <w:bCs/>
                      <w:color w:val="auto"/>
                      <w:sz w:val="21"/>
                      <w:szCs w:val="21"/>
                    </w:rPr>
                  </w:pPr>
                  <w:r>
                    <w:rPr>
                      <w:b/>
                      <w:bCs/>
                      <w:color w:val="auto"/>
                      <w:sz w:val="21"/>
                      <w:szCs w:val="21"/>
                    </w:rPr>
                    <w:t>mg/L</w:t>
                  </w:r>
                </w:p>
              </w:tc>
              <w:tc>
                <w:tcPr>
                  <w:tcW w:w="341" w:type="pct"/>
                  <w:tcBorders>
                    <w:tl2br w:val="nil"/>
                    <w:tr2bl w:val="nil"/>
                  </w:tcBorders>
                  <w:vAlign w:val="center"/>
                </w:tcPr>
                <w:p w14:paraId="5F2AF25D">
                  <w:pPr>
                    <w:pStyle w:val="7"/>
                    <w:spacing w:line="240" w:lineRule="auto"/>
                    <w:ind w:left="0" w:firstLine="0"/>
                    <w:jc w:val="center"/>
                    <w:rPr>
                      <w:b/>
                      <w:bCs/>
                      <w:color w:val="auto"/>
                      <w:sz w:val="21"/>
                      <w:szCs w:val="21"/>
                    </w:rPr>
                  </w:pPr>
                  <w:r>
                    <w:rPr>
                      <w:b/>
                      <w:bCs/>
                      <w:color w:val="auto"/>
                      <w:sz w:val="21"/>
                      <w:szCs w:val="21"/>
                    </w:rPr>
                    <w:t>t/a</w:t>
                  </w:r>
                </w:p>
              </w:tc>
              <w:tc>
                <w:tcPr>
                  <w:tcW w:w="292" w:type="pct"/>
                  <w:vMerge w:val="continue"/>
                  <w:tcBorders>
                    <w:tl2br w:val="nil"/>
                    <w:tr2bl w:val="nil"/>
                  </w:tcBorders>
                  <w:vAlign w:val="center"/>
                </w:tcPr>
                <w:p w14:paraId="4C9485E7">
                  <w:pPr>
                    <w:pStyle w:val="7"/>
                    <w:spacing w:line="240" w:lineRule="auto"/>
                    <w:ind w:left="0" w:firstLine="0"/>
                    <w:jc w:val="center"/>
                    <w:rPr>
                      <w:b/>
                      <w:bCs/>
                      <w:color w:val="auto"/>
                      <w:sz w:val="21"/>
                      <w:szCs w:val="21"/>
                    </w:rPr>
                  </w:pPr>
                </w:p>
              </w:tc>
            </w:tr>
            <w:tr w14:paraId="7ACC0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32" w:type="pct"/>
                  <w:vMerge w:val="restart"/>
                  <w:tcBorders>
                    <w:tl2br w:val="nil"/>
                    <w:tr2bl w:val="nil"/>
                  </w:tcBorders>
                  <w:vAlign w:val="center"/>
                </w:tcPr>
                <w:p w14:paraId="1064A691">
                  <w:pPr>
                    <w:pStyle w:val="7"/>
                    <w:spacing w:line="240" w:lineRule="auto"/>
                    <w:ind w:left="0" w:firstLine="0"/>
                    <w:jc w:val="center"/>
                    <w:rPr>
                      <w:color w:val="auto"/>
                      <w:sz w:val="21"/>
                      <w:szCs w:val="21"/>
                    </w:rPr>
                  </w:pPr>
                  <w:r>
                    <w:rPr>
                      <w:color w:val="auto"/>
                      <w:sz w:val="21"/>
                      <w:szCs w:val="21"/>
                    </w:rPr>
                    <w:t>员工生活</w:t>
                  </w:r>
                </w:p>
              </w:tc>
              <w:tc>
                <w:tcPr>
                  <w:tcW w:w="336" w:type="pct"/>
                  <w:vMerge w:val="restart"/>
                  <w:tcBorders>
                    <w:tl2br w:val="nil"/>
                    <w:tr2bl w:val="nil"/>
                  </w:tcBorders>
                  <w:vAlign w:val="center"/>
                </w:tcPr>
                <w:p w14:paraId="433B356A">
                  <w:pPr>
                    <w:pStyle w:val="7"/>
                    <w:spacing w:line="240" w:lineRule="auto"/>
                    <w:ind w:left="0" w:firstLine="0"/>
                    <w:jc w:val="center"/>
                    <w:rPr>
                      <w:color w:val="auto"/>
                      <w:sz w:val="21"/>
                      <w:szCs w:val="21"/>
                    </w:rPr>
                  </w:pPr>
                  <w:r>
                    <w:rPr>
                      <w:color w:val="auto"/>
                      <w:sz w:val="21"/>
                      <w:szCs w:val="21"/>
                    </w:rPr>
                    <w:t>生活污水</w:t>
                  </w:r>
                </w:p>
              </w:tc>
              <w:tc>
                <w:tcPr>
                  <w:tcW w:w="439" w:type="pct"/>
                  <w:tcBorders>
                    <w:tl2br w:val="nil"/>
                    <w:tr2bl w:val="nil"/>
                  </w:tcBorders>
                  <w:vAlign w:val="center"/>
                </w:tcPr>
                <w:p w14:paraId="20BD12E8">
                  <w:pPr>
                    <w:pStyle w:val="7"/>
                    <w:spacing w:line="240" w:lineRule="auto"/>
                    <w:ind w:left="0" w:firstLine="0"/>
                    <w:jc w:val="center"/>
                    <w:rPr>
                      <w:color w:val="auto"/>
                      <w:sz w:val="21"/>
                      <w:szCs w:val="21"/>
                    </w:rPr>
                  </w:pPr>
                  <w:r>
                    <w:rPr>
                      <w:color w:val="auto"/>
                      <w:sz w:val="21"/>
                      <w:szCs w:val="21"/>
                    </w:rPr>
                    <w:t>pH</w:t>
                  </w:r>
                </w:p>
              </w:tc>
              <w:tc>
                <w:tcPr>
                  <w:tcW w:w="396" w:type="pct"/>
                  <w:vMerge w:val="restart"/>
                  <w:tcBorders>
                    <w:tl2br w:val="nil"/>
                    <w:tr2bl w:val="nil"/>
                  </w:tcBorders>
                  <w:vAlign w:val="center"/>
                </w:tcPr>
                <w:p w14:paraId="3A90DDFE">
                  <w:pPr>
                    <w:pStyle w:val="7"/>
                    <w:spacing w:line="240" w:lineRule="auto"/>
                    <w:ind w:left="0" w:firstLine="0"/>
                    <w:jc w:val="center"/>
                    <w:rPr>
                      <w:rFonts w:hint="default" w:eastAsia="宋体"/>
                      <w:color w:val="auto"/>
                      <w:sz w:val="21"/>
                      <w:szCs w:val="21"/>
                      <w:lang w:val="en-US" w:eastAsia="zh-CN"/>
                    </w:rPr>
                  </w:pPr>
                  <w:r>
                    <w:rPr>
                      <w:rFonts w:hint="eastAsia"/>
                      <w:color w:val="auto"/>
                      <w:sz w:val="21"/>
                      <w:szCs w:val="21"/>
                      <w:lang w:val="en-US" w:eastAsia="zh-CN"/>
                    </w:rPr>
                    <w:t>161.2</w:t>
                  </w:r>
                </w:p>
              </w:tc>
              <w:tc>
                <w:tcPr>
                  <w:tcW w:w="438" w:type="pct"/>
                  <w:tcBorders>
                    <w:tl2br w:val="nil"/>
                    <w:tr2bl w:val="nil"/>
                  </w:tcBorders>
                  <w:vAlign w:val="center"/>
                </w:tcPr>
                <w:p w14:paraId="25A10016">
                  <w:pPr>
                    <w:pStyle w:val="7"/>
                    <w:spacing w:line="240" w:lineRule="auto"/>
                    <w:ind w:left="0" w:firstLine="0"/>
                    <w:jc w:val="center"/>
                    <w:rPr>
                      <w:color w:val="auto"/>
                      <w:sz w:val="21"/>
                      <w:szCs w:val="21"/>
                    </w:rPr>
                  </w:pPr>
                  <w:r>
                    <w:rPr>
                      <w:color w:val="auto"/>
                      <w:sz w:val="21"/>
                      <w:szCs w:val="21"/>
                    </w:rPr>
                    <w:t>6~9</w:t>
                  </w:r>
                </w:p>
              </w:tc>
              <w:tc>
                <w:tcPr>
                  <w:tcW w:w="352" w:type="pct"/>
                  <w:tcBorders>
                    <w:tl2br w:val="nil"/>
                    <w:tr2bl w:val="nil"/>
                  </w:tcBorders>
                  <w:vAlign w:val="center"/>
                </w:tcPr>
                <w:p w14:paraId="7F68FDE0">
                  <w:pPr>
                    <w:pStyle w:val="7"/>
                    <w:spacing w:line="240" w:lineRule="auto"/>
                    <w:ind w:left="0" w:firstLine="0"/>
                    <w:jc w:val="center"/>
                    <w:rPr>
                      <w:color w:val="auto"/>
                      <w:sz w:val="21"/>
                      <w:szCs w:val="21"/>
                    </w:rPr>
                  </w:pPr>
                  <w:r>
                    <w:rPr>
                      <w:color w:val="auto"/>
                      <w:sz w:val="21"/>
                      <w:szCs w:val="21"/>
                    </w:rPr>
                    <w:t>/</w:t>
                  </w:r>
                </w:p>
              </w:tc>
              <w:tc>
                <w:tcPr>
                  <w:tcW w:w="295" w:type="pct"/>
                  <w:vMerge w:val="restart"/>
                  <w:tcBorders>
                    <w:tl2br w:val="nil"/>
                    <w:tr2bl w:val="nil"/>
                  </w:tcBorders>
                  <w:vAlign w:val="center"/>
                </w:tcPr>
                <w:p w14:paraId="3DD91730">
                  <w:pPr>
                    <w:pStyle w:val="7"/>
                    <w:spacing w:line="240" w:lineRule="auto"/>
                    <w:ind w:left="0" w:firstLine="0"/>
                    <w:jc w:val="center"/>
                    <w:rPr>
                      <w:rFonts w:hint="default" w:eastAsia="宋体"/>
                      <w:color w:val="auto"/>
                      <w:sz w:val="21"/>
                      <w:szCs w:val="21"/>
                      <w:lang w:val="en-US" w:eastAsia="zh-CN"/>
                    </w:rPr>
                  </w:pPr>
                  <w:r>
                    <w:rPr>
                      <w:rFonts w:hint="eastAsia"/>
                      <w:color w:val="auto"/>
                      <w:sz w:val="21"/>
                      <w:szCs w:val="21"/>
                      <w:lang w:val="en-US" w:eastAsia="zh-CN"/>
                    </w:rPr>
                    <w:t>15</w:t>
                  </w:r>
                </w:p>
              </w:tc>
              <w:tc>
                <w:tcPr>
                  <w:tcW w:w="390" w:type="pct"/>
                  <w:vMerge w:val="restart"/>
                  <w:tcBorders>
                    <w:tl2br w:val="nil"/>
                    <w:tr2bl w:val="nil"/>
                  </w:tcBorders>
                  <w:vAlign w:val="center"/>
                </w:tcPr>
                <w:p w14:paraId="176C42C5">
                  <w:pPr>
                    <w:pStyle w:val="7"/>
                    <w:spacing w:line="240" w:lineRule="auto"/>
                    <w:ind w:left="0" w:firstLine="0"/>
                    <w:jc w:val="center"/>
                    <w:rPr>
                      <w:rFonts w:hint="default" w:eastAsia="宋体"/>
                      <w:color w:val="auto"/>
                      <w:sz w:val="21"/>
                      <w:szCs w:val="21"/>
                      <w:lang w:val="en-US" w:eastAsia="zh-CN"/>
                    </w:rPr>
                  </w:pPr>
                  <w:r>
                    <w:rPr>
                      <w:rFonts w:hint="eastAsia"/>
                      <w:color w:val="auto"/>
                      <w:sz w:val="21"/>
                      <w:szCs w:val="21"/>
                      <w:lang w:val="en-US" w:eastAsia="zh-CN"/>
                    </w:rPr>
                    <w:t>化粪池</w:t>
                  </w:r>
                </w:p>
              </w:tc>
              <w:tc>
                <w:tcPr>
                  <w:tcW w:w="315" w:type="pct"/>
                  <w:tcBorders>
                    <w:tl2br w:val="nil"/>
                    <w:tr2bl w:val="nil"/>
                  </w:tcBorders>
                  <w:vAlign w:val="center"/>
                </w:tcPr>
                <w:p w14:paraId="02037664">
                  <w:pPr>
                    <w:pStyle w:val="7"/>
                    <w:spacing w:line="240" w:lineRule="auto"/>
                    <w:ind w:left="0" w:firstLine="0"/>
                    <w:jc w:val="center"/>
                    <w:rPr>
                      <w:color w:val="auto"/>
                      <w:sz w:val="21"/>
                      <w:szCs w:val="21"/>
                    </w:rPr>
                  </w:pPr>
                  <w:r>
                    <w:rPr>
                      <w:color w:val="auto"/>
                      <w:sz w:val="21"/>
                      <w:szCs w:val="21"/>
                    </w:rPr>
                    <w:t>/</w:t>
                  </w:r>
                </w:p>
              </w:tc>
              <w:tc>
                <w:tcPr>
                  <w:tcW w:w="337" w:type="pct"/>
                  <w:vMerge w:val="restart"/>
                  <w:tcBorders>
                    <w:tl2br w:val="nil"/>
                    <w:tr2bl w:val="nil"/>
                  </w:tcBorders>
                  <w:vAlign w:val="center"/>
                </w:tcPr>
                <w:p w14:paraId="409099B1">
                  <w:pPr>
                    <w:pStyle w:val="7"/>
                    <w:spacing w:line="240" w:lineRule="auto"/>
                    <w:ind w:left="0" w:firstLine="0"/>
                    <w:jc w:val="center"/>
                    <w:rPr>
                      <w:color w:val="auto"/>
                      <w:sz w:val="21"/>
                      <w:szCs w:val="21"/>
                    </w:rPr>
                  </w:pPr>
                  <w:r>
                    <w:rPr>
                      <w:color w:val="auto"/>
                      <w:sz w:val="21"/>
                      <w:szCs w:val="21"/>
                    </w:rPr>
                    <w:t>是</w:t>
                  </w:r>
                </w:p>
              </w:tc>
              <w:tc>
                <w:tcPr>
                  <w:tcW w:w="998" w:type="dxa"/>
                  <w:vMerge w:val="restart"/>
                  <w:tcBorders>
                    <w:tl2br w:val="nil"/>
                    <w:tr2bl w:val="nil"/>
                  </w:tcBorders>
                  <w:vAlign w:val="center"/>
                </w:tcPr>
                <w:p w14:paraId="56D8FF4C">
                  <w:pPr>
                    <w:pStyle w:val="7"/>
                    <w:spacing w:line="240" w:lineRule="auto"/>
                    <w:ind w:left="0" w:leftChars="0" w:firstLine="0" w:firstLineChars="0"/>
                    <w:jc w:val="center"/>
                    <w:rPr>
                      <w:b/>
                      <w:bCs/>
                      <w:color w:val="auto"/>
                      <w:sz w:val="21"/>
                      <w:szCs w:val="21"/>
                    </w:rPr>
                  </w:pPr>
                  <w:r>
                    <w:rPr>
                      <w:rFonts w:hint="eastAsia"/>
                      <w:color w:val="auto"/>
                      <w:sz w:val="21"/>
                      <w:szCs w:val="21"/>
                      <w:lang w:val="en-US" w:eastAsia="zh-CN"/>
                    </w:rPr>
                    <w:t>161.2</w:t>
                  </w:r>
                </w:p>
              </w:tc>
              <w:tc>
                <w:tcPr>
                  <w:tcW w:w="438" w:type="pct"/>
                  <w:tcBorders>
                    <w:tl2br w:val="nil"/>
                    <w:tr2bl w:val="nil"/>
                  </w:tcBorders>
                  <w:vAlign w:val="center"/>
                </w:tcPr>
                <w:p w14:paraId="27860BED">
                  <w:pPr>
                    <w:pStyle w:val="7"/>
                    <w:spacing w:line="240" w:lineRule="auto"/>
                    <w:ind w:left="0" w:leftChars="0" w:firstLine="0" w:firstLineChars="0"/>
                    <w:jc w:val="center"/>
                    <w:rPr>
                      <w:color w:val="auto"/>
                      <w:sz w:val="21"/>
                      <w:szCs w:val="21"/>
                    </w:rPr>
                  </w:pPr>
                  <w:r>
                    <w:rPr>
                      <w:color w:val="auto"/>
                      <w:sz w:val="21"/>
                      <w:szCs w:val="21"/>
                    </w:rPr>
                    <w:t>6~9</w:t>
                  </w:r>
                </w:p>
              </w:tc>
              <w:tc>
                <w:tcPr>
                  <w:tcW w:w="341" w:type="pct"/>
                  <w:tcBorders>
                    <w:tl2br w:val="nil"/>
                    <w:tr2bl w:val="nil"/>
                  </w:tcBorders>
                  <w:vAlign w:val="center"/>
                </w:tcPr>
                <w:p w14:paraId="6F5F3DA9">
                  <w:pPr>
                    <w:pStyle w:val="7"/>
                    <w:spacing w:line="240" w:lineRule="auto"/>
                    <w:ind w:left="0" w:leftChars="0" w:firstLine="0" w:firstLineChars="0"/>
                    <w:jc w:val="center"/>
                    <w:rPr>
                      <w:color w:val="auto"/>
                      <w:sz w:val="21"/>
                      <w:szCs w:val="21"/>
                    </w:rPr>
                  </w:pPr>
                  <w:r>
                    <w:rPr>
                      <w:color w:val="auto"/>
                      <w:sz w:val="21"/>
                      <w:szCs w:val="21"/>
                    </w:rPr>
                    <w:t>/</w:t>
                  </w:r>
                </w:p>
              </w:tc>
              <w:tc>
                <w:tcPr>
                  <w:tcW w:w="292" w:type="pct"/>
                  <w:vMerge w:val="restart"/>
                  <w:tcBorders>
                    <w:tl2br w:val="nil"/>
                    <w:tr2bl w:val="nil"/>
                  </w:tcBorders>
                  <w:vAlign w:val="center"/>
                </w:tcPr>
                <w:p w14:paraId="7EE40394">
                  <w:pPr>
                    <w:pStyle w:val="7"/>
                    <w:spacing w:line="240" w:lineRule="auto"/>
                    <w:ind w:left="0" w:leftChars="0" w:firstLine="0" w:firstLineChars="0"/>
                    <w:jc w:val="center"/>
                    <w:rPr>
                      <w:rFonts w:hint="default" w:eastAsia="宋体"/>
                      <w:color w:val="auto"/>
                      <w:sz w:val="21"/>
                      <w:szCs w:val="21"/>
                      <w:lang w:val="en-US" w:eastAsia="zh-CN"/>
                    </w:rPr>
                  </w:pPr>
                  <w:r>
                    <w:rPr>
                      <w:rFonts w:hint="eastAsia"/>
                      <w:color w:val="auto"/>
                      <w:sz w:val="21"/>
                      <w:szCs w:val="21"/>
                      <w:lang w:val="en-US" w:eastAsia="zh-CN"/>
                    </w:rPr>
                    <w:t>用于周边林地施肥</w:t>
                  </w:r>
                </w:p>
              </w:tc>
            </w:tr>
            <w:tr w14:paraId="1E057C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32" w:type="pct"/>
                  <w:vMerge w:val="continue"/>
                  <w:tcBorders>
                    <w:tl2br w:val="nil"/>
                    <w:tr2bl w:val="nil"/>
                  </w:tcBorders>
                  <w:vAlign w:val="center"/>
                </w:tcPr>
                <w:p w14:paraId="600F997D">
                  <w:pPr>
                    <w:pStyle w:val="7"/>
                    <w:spacing w:line="240" w:lineRule="auto"/>
                    <w:ind w:left="0" w:firstLine="0"/>
                    <w:jc w:val="center"/>
                    <w:rPr>
                      <w:color w:val="auto"/>
                      <w:sz w:val="21"/>
                      <w:szCs w:val="21"/>
                    </w:rPr>
                  </w:pPr>
                </w:p>
              </w:tc>
              <w:tc>
                <w:tcPr>
                  <w:tcW w:w="336" w:type="pct"/>
                  <w:vMerge w:val="continue"/>
                  <w:tcBorders>
                    <w:tl2br w:val="nil"/>
                    <w:tr2bl w:val="nil"/>
                  </w:tcBorders>
                  <w:vAlign w:val="center"/>
                </w:tcPr>
                <w:p w14:paraId="695340D8">
                  <w:pPr>
                    <w:pStyle w:val="7"/>
                    <w:spacing w:line="240" w:lineRule="auto"/>
                    <w:ind w:left="0" w:firstLine="0"/>
                    <w:jc w:val="center"/>
                    <w:rPr>
                      <w:color w:val="auto"/>
                      <w:sz w:val="21"/>
                      <w:szCs w:val="21"/>
                    </w:rPr>
                  </w:pPr>
                </w:p>
              </w:tc>
              <w:tc>
                <w:tcPr>
                  <w:tcW w:w="439" w:type="pct"/>
                  <w:tcBorders>
                    <w:tl2br w:val="nil"/>
                    <w:tr2bl w:val="nil"/>
                  </w:tcBorders>
                  <w:vAlign w:val="center"/>
                </w:tcPr>
                <w:p w14:paraId="3686ACC5">
                  <w:pPr>
                    <w:pStyle w:val="7"/>
                    <w:spacing w:line="240" w:lineRule="auto"/>
                    <w:ind w:left="0" w:firstLine="0"/>
                    <w:jc w:val="center"/>
                    <w:rPr>
                      <w:color w:val="auto"/>
                      <w:sz w:val="21"/>
                      <w:szCs w:val="21"/>
                    </w:rPr>
                  </w:pPr>
                  <w:r>
                    <w:rPr>
                      <w:color w:val="auto"/>
                      <w:sz w:val="21"/>
                      <w:szCs w:val="21"/>
                    </w:rPr>
                    <w:t>COD</w:t>
                  </w:r>
                  <w:r>
                    <w:rPr>
                      <w:color w:val="auto"/>
                      <w:sz w:val="21"/>
                      <w:szCs w:val="21"/>
                      <w:vertAlign w:val="subscript"/>
                    </w:rPr>
                    <w:t>Cr</w:t>
                  </w:r>
                </w:p>
              </w:tc>
              <w:tc>
                <w:tcPr>
                  <w:tcW w:w="396" w:type="pct"/>
                  <w:vMerge w:val="continue"/>
                  <w:tcBorders>
                    <w:tl2br w:val="nil"/>
                    <w:tr2bl w:val="nil"/>
                  </w:tcBorders>
                  <w:vAlign w:val="center"/>
                </w:tcPr>
                <w:p w14:paraId="274A2DA4">
                  <w:pPr>
                    <w:pStyle w:val="7"/>
                    <w:spacing w:line="240" w:lineRule="auto"/>
                    <w:ind w:left="0" w:firstLine="0"/>
                    <w:jc w:val="center"/>
                    <w:rPr>
                      <w:color w:val="auto"/>
                      <w:sz w:val="21"/>
                      <w:szCs w:val="21"/>
                    </w:rPr>
                  </w:pPr>
                </w:p>
              </w:tc>
              <w:tc>
                <w:tcPr>
                  <w:tcW w:w="438" w:type="pct"/>
                  <w:tcBorders>
                    <w:tl2br w:val="nil"/>
                    <w:tr2bl w:val="nil"/>
                  </w:tcBorders>
                  <w:vAlign w:val="center"/>
                </w:tcPr>
                <w:p w14:paraId="22E1BD6E">
                  <w:pPr>
                    <w:pStyle w:val="7"/>
                    <w:spacing w:line="240" w:lineRule="auto"/>
                    <w:ind w:left="0" w:firstLine="0"/>
                    <w:jc w:val="center"/>
                    <w:rPr>
                      <w:color w:val="auto"/>
                      <w:sz w:val="21"/>
                      <w:szCs w:val="21"/>
                    </w:rPr>
                  </w:pPr>
                  <w:r>
                    <w:rPr>
                      <w:color w:val="auto"/>
                      <w:sz w:val="21"/>
                      <w:szCs w:val="21"/>
                    </w:rPr>
                    <w:t>250</w:t>
                  </w:r>
                </w:p>
              </w:tc>
              <w:tc>
                <w:tcPr>
                  <w:tcW w:w="352" w:type="pct"/>
                  <w:tcBorders>
                    <w:tl2br w:val="nil"/>
                    <w:tr2bl w:val="nil"/>
                  </w:tcBorders>
                  <w:vAlign w:val="center"/>
                </w:tcPr>
                <w:p w14:paraId="5077C10E">
                  <w:pPr>
                    <w:widowControl/>
                    <w:jc w:val="center"/>
                    <w:rPr>
                      <w:rFonts w:hint="default"/>
                      <w:color w:val="auto"/>
                      <w:sz w:val="21"/>
                      <w:szCs w:val="21"/>
                      <w:lang w:val="en-US"/>
                    </w:rPr>
                  </w:pPr>
                  <w:r>
                    <w:rPr>
                      <w:rFonts w:hint="eastAsia" w:cs="Times New Roman"/>
                      <w:color w:val="auto"/>
                      <w:sz w:val="21"/>
                      <w:szCs w:val="21"/>
                      <w:lang w:val="en-US" w:eastAsia="zh-CN"/>
                    </w:rPr>
                    <w:t>0.04</w:t>
                  </w:r>
                </w:p>
              </w:tc>
              <w:tc>
                <w:tcPr>
                  <w:tcW w:w="295" w:type="pct"/>
                  <w:vMerge w:val="continue"/>
                  <w:tcBorders>
                    <w:tl2br w:val="nil"/>
                    <w:tr2bl w:val="nil"/>
                  </w:tcBorders>
                  <w:vAlign w:val="center"/>
                </w:tcPr>
                <w:p w14:paraId="0352FF06">
                  <w:pPr>
                    <w:pStyle w:val="7"/>
                    <w:spacing w:line="240" w:lineRule="auto"/>
                    <w:ind w:left="0" w:firstLine="0"/>
                    <w:jc w:val="center"/>
                    <w:rPr>
                      <w:color w:val="auto"/>
                      <w:sz w:val="21"/>
                      <w:szCs w:val="21"/>
                    </w:rPr>
                  </w:pPr>
                </w:p>
              </w:tc>
              <w:tc>
                <w:tcPr>
                  <w:tcW w:w="390" w:type="pct"/>
                  <w:vMerge w:val="continue"/>
                  <w:tcBorders>
                    <w:tl2br w:val="nil"/>
                    <w:tr2bl w:val="nil"/>
                  </w:tcBorders>
                  <w:vAlign w:val="center"/>
                </w:tcPr>
                <w:p w14:paraId="563FB9E6">
                  <w:pPr>
                    <w:pStyle w:val="7"/>
                    <w:spacing w:line="240" w:lineRule="auto"/>
                    <w:ind w:left="0" w:firstLine="0"/>
                    <w:jc w:val="center"/>
                    <w:rPr>
                      <w:color w:val="auto"/>
                      <w:sz w:val="21"/>
                      <w:szCs w:val="21"/>
                    </w:rPr>
                  </w:pPr>
                </w:p>
              </w:tc>
              <w:tc>
                <w:tcPr>
                  <w:tcW w:w="315" w:type="pct"/>
                  <w:tcBorders>
                    <w:tl2br w:val="nil"/>
                    <w:tr2bl w:val="nil"/>
                  </w:tcBorders>
                  <w:vAlign w:val="center"/>
                </w:tcPr>
                <w:p w14:paraId="74EC1710">
                  <w:pPr>
                    <w:widowControl w:val="0"/>
                    <w:autoSpaceDE w:val="0"/>
                    <w:autoSpaceDN w:val="0"/>
                    <w:adjustRightInd w:val="0"/>
                    <w:spacing w:line="240" w:lineRule="auto"/>
                    <w:ind w:left="0" w:leftChars="0" w:firstLine="0" w:firstLineChars="0"/>
                    <w:jc w:val="center"/>
                    <w:textAlignment w:val="baseline"/>
                    <w:rPr>
                      <w:rFonts w:hint="default" w:eastAsia="宋体"/>
                      <w:color w:val="auto"/>
                      <w:sz w:val="21"/>
                      <w:szCs w:val="21"/>
                      <w:lang w:val="en-US" w:eastAsia="zh-CN"/>
                    </w:rPr>
                  </w:pPr>
                  <w:r>
                    <w:rPr>
                      <w:rFonts w:ascii="Times New Roman" w:hAnsi="Times New Roman" w:eastAsia="宋体" w:cs="Times New Roman"/>
                      <w:color w:val="auto"/>
                      <w:kern w:val="0"/>
                      <w:sz w:val="21"/>
                      <w:szCs w:val="21"/>
                      <w:lang w:val="en-US" w:eastAsia="zh-CN" w:bidi="ar-SA"/>
                    </w:rPr>
                    <w:t>20</w:t>
                  </w:r>
                </w:p>
              </w:tc>
              <w:tc>
                <w:tcPr>
                  <w:tcW w:w="337" w:type="pct"/>
                  <w:vMerge w:val="continue"/>
                  <w:tcBorders>
                    <w:tl2br w:val="nil"/>
                    <w:tr2bl w:val="nil"/>
                  </w:tcBorders>
                  <w:vAlign w:val="center"/>
                </w:tcPr>
                <w:p w14:paraId="355F08CA">
                  <w:pPr>
                    <w:pStyle w:val="7"/>
                    <w:spacing w:line="240" w:lineRule="auto"/>
                    <w:ind w:left="0" w:firstLine="0"/>
                    <w:jc w:val="center"/>
                    <w:rPr>
                      <w:color w:val="auto"/>
                      <w:sz w:val="21"/>
                      <w:szCs w:val="21"/>
                    </w:rPr>
                  </w:pPr>
                </w:p>
              </w:tc>
              <w:tc>
                <w:tcPr>
                  <w:tcW w:w="396" w:type="pct"/>
                  <w:vMerge w:val="continue"/>
                  <w:tcBorders>
                    <w:tl2br w:val="nil"/>
                    <w:tr2bl w:val="nil"/>
                  </w:tcBorders>
                  <w:vAlign w:val="center"/>
                </w:tcPr>
                <w:p w14:paraId="0C3A3892">
                  <w:pPr>
                    <w:pStyle w:val="7"/>
                    <w:spacing w:line="240" w:lineRule="auto"/>
                    <w:ind w:left="0" w:leftChars="0" w:firstLine="0" w:firstLineChars="0"/>
                    <w:jc w:val="center"/>
                    <w:rPr>
                      <w:color w:val="auto"/>
                      <w:sz w:val="21"/>
                      <w:szCs w:val="21"/>
                    </w:rPr>
                  </w:pPr>
                </w:p>
              </w:tc>
              <w:tc>
                <w:tcPr>
                  <w:tcW w:w="438" w:type="pct"/>
                  <w:tcBorders>
                    <w:tl2br w:val="nil"/>
                    <w:tr2bl w:val="nil"/>
                  </w:tcBorders>
                  <w:vAlign w:val="center"/>
                </w:tcPr>
                <w:p w14:paraId="3A26A2CD">
                  <w:pPr>
                    <w:widowControl w:val="0"/>
                    <w:autoSpaceDE w:val="0"/>
                    <w:autoSpaceDN w:val="0"/>
                    <w:adjustRightInd w:val="0"/>
                    <w:spacing w:line="240" w:lineRule="auto"/>
                    <w:ind w:left="0" w:leftChars="0" w:firstLine="0" w:firstLineChars="0"/>
                    <w:jc w:val="center"/>
                    <w:textAlignment w:val="baseline"/>
                    <w:rPr>
                      <w:rFonts w:hint="default" w:eastAsia="宋体"/>
                      <w:color w:val="auto"/>
                      <w:sz w:val="21"/>
                      <w:szCs w:val="21"/>
                      <w:lang w:val="en-US" w:eastAsia="zh-CN"/>
                    </w:rPr>
                  </w:pPr>
                  <w:r>
                    <w:rPr>
                      <w:rFonts w:ascii="Times New Roman" w:hAnsi="Times New Roman" w:eastAsia="宋体" w:cs="Times New Roman"/>
                      <w:color w:val="auto"/>
                      <w:kern w:val="0"/>
                      <w:sz w:val="21"/>
                      <w:szCs w:val="21"/>
                      <w:lang w:val="en-US" w:eastAsia="zh-CN" w:bidi="ar-SA"/>
                    </w:rPr>
                    <w:t>200</w:t>
                  </w:r>
                </w:p>
              </w:tc>
              <w:tc>
                <w:tcPr>
                  <w:tcW w:w="341" w:type="pct"/>
                  <w:tcBorders>
                    <w:tl2br w:val="nil"/>
                    <w:tr2bl w:val="nil"/>
                  </w:tcBorders>
                  <w:vAlign w:val="center"/>
                </w:tcPr>
                <w:p w14:paraId="7A1BDE03">
                  <w:pPr>
                    <w:jc w:val="center"/>
                    <w:rPr>
                      <w:rFonts w:hint="default" w:eastAsia="宋体"/>
                      <w:color w:val="auto"/>
                      <w:sz w:val="21"/>
                      <w:szCs w:val="21"/>
                      <w:lang w:val="en-US" w:eastAsia="zh-CN"/>
                    </w:rPr>
                  </w:pPr>
                  <w:r>
                    <w:rPr>
                      <w:rFonts w:hint="eastAsia"/>
                      <w:color w:val="auto"/>
                      <w:szCs w:val="21"/>
                      <w:lang w:val="en-US" w:eastAsia="zh-CN"/>
                    </w:rPr>
                    <w:t>0.032</w:t>
                  </w:r>
                </w:p>
              </w:tc>
              <w:tc>
                <w:tcPr>
                  <w:tcW w:w="292" w:type="pct"/>
                  <w:vMerge w:val="continue"/>
                  <w:tcBorders>
                    <w:tl2br w:val="nil"/>
                    <w:tr2bl w:val="nil"/>
                  </w:tcBorders>
                  <w:vAlign w:val="center"/>
                </w:tcPr>
                <w:p w14:paraId="2AAB7418">
                  <w:pPr>
                    <w:pStyle w:val="7"/>
                    <w:spacing w:line="240" w:lineRule="auto"/>
                    <w:ind w:left="0" w:leftChars="0" w:firstLine="0" w:firstLineChars="0"/>
                    <w:jc w:val="center"/>
                    <w:rPr>
                      <w:rFonts w:hint="default" w:eastAsia="宋体"/>
                      <w:color w:val="auto"/>
                      <w:sz w:val="21"/>
                      <w:szCs w:val="21"/>
                      <w:lang w:val="en-US" w:eastAsia="zh-CN"/>
                    </w:rPr>
                  </w:pPr>
                </w:p>
              </w:tc>
            </w:tr>
            <w:tr w14:paraId="0C5F50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32" w:type="pct"/>
                  <w:vMerge w:val="continue"/>
                  <w:tcBorders>
                    <w:tl2br w:val="nil"/>
                    <w:tr2bl w:val="nil"/>
                  </w:tcBorders>
                  <w:vAlign w:val="center"/>
                </w:tcPr>
                <w:p w14:paraId="23BB7785">
                  <w:pPr>
                    <w:pStyle w:val="7"/>
                    <w:spacing w:line="240" w:lineRule="auto"/>
                    <w:ind w:left="0" w:firstLine="0"/>
                    <w:jc w:val="center"/>
                    <w:rPr>
                      <w:color w:val="auto"/>
                      <w:sz w:val="21"/>
                      <w:szCs w:val="21"/>
                    </w:rPr>
                  </w:pPr>
                </w:p>
              </w:tc>
              <w:tc>
                <w:tcPr>
                  <w:tcW w:w="336" w:type="pct"/>
                  <w:vMerge w:val="continue"/>
                  <w:tcBorders>
                    <w:tl2br w:val="nil"/>
                    <w:tr2bl w:val="nil"/>
                  </w:tcBorders>
                  <w:vAlign w:val="center"/>
                </w:tcPr>
                <w:p w14:paraId="05B511A4">
                  <w:pPr>
                    <w:pStyle w:val="7"/>
                    <w:spacing w:line="240" w:lineRule="auto"/>
                    <w:ind w:left="0" w:firstLine="0"/>
                    <w:jc w:val="center"/>
                    <w:rPr>
                      <w:color w:val="auto"/>
                      <w:sz w:val="21"/>
                      <w:szCs w:val="21"/>
                    </w:rPr>
                  </w:pPr>
                </w:p>
              </w:tc>
              <w:tc>
                <w:tcPr>
                  <w:tcW w:w="439" w:type="pct"/>
                  <w:tcBorders>
                    <w:tl2br w:val="nil"/>
                    <w:tr2bl w:val="nil"/>
                  </w:tcBorders>
                  <w:vAlign w:val="center"/>
                </w:tcPr>
                <w:p w14:paraId="6F347632">
                  <w:pPr>
                    <w:pStyle w:val="7"/>
                    <w:spacing w:line="240" w:lineRule="auto"/>
                    <w:ind w:left="0" w:firstLine="0"/>
                    <w:jc w:val="center"/>
                    <w:rPr>
                      <w:color w:val="auto"/>
                      <w:sz w:val="21"/>
                      <w:szCs w:val="21"/>
                    </w:rPr>
                  </w:pPr>
                  <w:r>
                    <w:rPr>
                      <w:color w:val="auto"/>
                      <w:sz w:val="21"/>
                      <w:szCs w:val="21"/>
                    </w:rPr>
                    <w:t>BOD</w:t>
                  </w:r>
                  <w:r>
                    <w:rPr>
                      <w:color w:val="auto"/>
                      <w:sz w:val="21"/>
                      <w:szCs w:val="21"/>
                      <w:vertAlign w:val="subscript"/>
                    </w:rPr>
                    <w:t>5</w:t>
                  </w:r>
                </w:p>
              </w:tc>
              <w:tc>
                <w:tcPr>
                  <w:tcW w:w="396" w:type="pct"/>
                  <w:vMerge w:val="continue"/>
                  <w:tcBorders>
                    <w:tl2br w:val="nil"/>
                    <w:tr2bl w:val="nil"/>
                  </w:tcBorders>
                  <w:vAlign w:val="center"/>
                </w:tcPr>
                <w:p w14:paraId="414183AC">
                  <w:pPr>
                    <w:pStyle w:val="7"/>
                    <w:spacing w:line="240" w:lineRule="auto"/>
                    <w:ind w:left="0" w:firstLine="0"/>
                    <w:jc w:val="center"/>
                    <w:rPr>
                      <w:color w:val="auto"/>
                      <w:sz w:val="21"/>
                      <w:szCs w:val="21"/>
                    </w:rPr>
                  </w:pPr>
                </w:p>
              </w:tc>
              <w:tc>
                <w:tcPr>
                  <w:tcW w:w="438" w:type="pct"/>
                  <w:tcBorders>
                    <w:tl2br w:val="nil"/>
                    <w:tr2bl w:val="nil"/>
                  </w:tcBorders>
                  <w:vAlign w:val="center"/>
                </w:tcPr>
                <w:p w14:paraId="72D8971B">
                  <w:pPr>
                    <w:pStyle w:val="7"/>
                    <w:spacing w:line="240" w:lineRule="auto"/>
                    <w:ind w:left="0" w:firstLine="0"/>
                    <w:jc w:val="center"/>
                    <w:rPr>
                      <w:color w:val="auto"/>
                      <w:sz w:val="21"/>
                      <w:szCs w:val="21"/>
                    </w:rPr>
                  </w:pPr>
                  <w:r>
                    <w:rPr>
                      <w:color w:val="auto"/>
                      <w:sz w:val="21"/>
                      <w:szCs w:val="21"/>
                    </w:rPr>
                    <w:t>150</w:t>
                  </w:r>
                </w:p>
              </w:tc>
              <w:tc>
                <w:tcPr>
                  <w:tcW w:w="352" w:type="pct"/>
                  <w:tcBorders>
                    <w:tl2br w:val="nil"/>
                    <w:tr2bl w:val="nil"/>
                  </w:tcBorders>
                  <w:vAlign w:val="center"/>
                </w:tcPr>
                <w:p w14:paraId="482EA83E">
                  <w:pPr>
                    <w:widowControl/>
                    <w:jc w:val="center"/>
                    <w:rPr>
                      <w:rFonts w:hint="default" w:eastAsia="宋体"/>
                      <w:color w:val="auto"/>
                      <w:sz w:val="21"/>
                      <w:szCs w:val="21"/>
                      <w:lang w:val="en-US" w:eastAsia="zh-CN"/>
                    </w:rPr>
                  </w:pPr>
                  <w:r>
                    <w:rPr>
                      <w:rFonts w:hint="eastAsia"/>
                      <w:color w:val="auto"/>
                      <w:sz w:val="21"/>
                      <w:szCs w:val="21"/>
                      <w:lang w:val="en-US" w:eastAsia="zh-CN"/>
                    </w:rPr>
                    <w:t>0.024</w:t>
                  </w:r>
                </w:p>
              </w:tc>
              <w:tc>
                <w:tcPr>
                  <w:tcW w:w="295" w:type="pct"/>
                  <w:vMerge w:val="continue"/>
                  <w:tcBorders>
                    <w:tl2br w:val="nil"/>
                    <w:tr2bl w:val="nil"/>
                  </w:tcBorders>
                  <w:vAlign w:val="center"/>
                </w:tcPr>
                <w:p w14:paraId="57924E7C">
                  <w:pPr>
                    <w:pStyle w:val="7"/>
                    <w:spacing w:line="240" w:lineRule="auto"/>
                    <w:ind w:left="0" w:firstLine="0"/>
                    <w:jc w:val="center"/>
                    <w:rPr>
                      <w:color w:val="auto"/>
                      <w:sz w:val="21"/>
                      <w:szCs w:val="21"/>
                    </w:rPr>
                  </w:pPr>
                </w:p>
              </w:tc>
              <w:tc>
                <w:tcPr>
                  <w:tcW w:w="390" w:type="pct"/>
                  <w:vMerge w:val="continue"/>
                  <w:tcBorders>
                    <w:tl2br w:val="nil"/>
                    <w:tr2bl w:val="nil"/>
                  </w:tcBorders>
                  <w:vAlign w:val="center"/>
                </w:tcPr>
                <w:p w14:paraId="4A6EDC87">
                  <w:pPr>
                    <w:pStyle w:val="7"/>
                    <w:spacing w:line="240" w:lineRule="auto"/>
                    <w:ind w:left="0" w:firstLine="0"/>
                    <w:jc w:val="center"/>
                    <w:rPr>
                      <w:color w:val="auto"/>
                      <w:sz w:val="21"/>
                      <w:szCs w:val="21"/>
                    </w:rPr>
                  </w:pPr>
                </w:p>
              </w:tc>
              <w:tc>
                <w:tcPr>
                  <w:tcW w:w="315" w:type="pct"/>
                  <w:tcBorders>
                    <w:tl2br w:val="nil"/>
                    <w:tr2bl w:val="nil"/>
                  </w:tcBorders>
                  <w:vAlign w:val="center"/>
                </w:tcPr>
                <w:p w14:paraId="7FBE1E91">
                  <w:pPr>
                    <w:widowControl w:val="0"/>
                    <w:autoSpaceDE w:val="0"/>
                    <w:autoSpaceDN w:val="0"/>
                    <w:adjustRightInd w:val="0"/>
                    <w:spacing w:line="240" w:lineRule="auto"/>
                    <w:ind w:left="0" w:leftChars="0" w:firstLine="0" w:firstLineChars="0"/>
                    <w:jc w:val="center"/>
                    <w:textAlignment w:val="baseline"/>
                    <w:rPr>
                      <w:rFonts w:hint="default" w:eastAsia="宋体"/>
                      <w:color w:val="auto"/>
                      <w:sz w:val="21"/>
                      <w:szCs w:val="21"/>
                      <w:lang w:val="en-US" w:eastAsia="zh-CN"/>
                    </w:rPr>
                  </w:pPr>
                  <w:r>
                    <w:rPr>
                      <w:rFonts w:ascii="Times New Roman" w:hAnsi="Times New Roman" w:eastAsia="宋体" w:cs="Times New Roman"/>
                      <w:color w:val="auto"/>
                      <w:kern w:val="0"/>
                      <w:sz w:val="21"/>
                      <w:szCs w:val="21"/>
                      <w:lang w:val="en-US" w:eastAsia="zh-CN" w:bidi="ar-SA"/>
                    </w:rPr>
                    <w:t>20</w:t>
                  </w:r>
                </w:p>
              </w:tc>
              <w:tc>
                <w:tcPr>
                  <w:tcW w:w="337" w:type="pct"/>
                  <w:vMerge w:val="continue"/>
                  <w:tcBorders>
                    <w:tl2br w:val="nil"/>
                    <w:tr2bl w:val="nil"/>
                  </w:tcBorders>
                  <w:vAlign w:val="center"/>
                </w:tcPr>
                <w:p w14:paraId="2FBA75BF">
                  <w:pPr>
                    <w:pStyle w:val="7"/>
                    <w:spacing w:line="240" w:lineRule="auto"/>
                    <w:ind w:left="0" w:firstLine="0"/>
                    <w:jc w:val="center"/>
                    <w:rPr>
                      <w:color w:val="auto"/>
                      <w:sz w:val="21"/>
                      <w:szCs w:val="21"/>
                    </w:rPr>
                  </w:pPr>
                </w:p>
              </w:tc>
              <w:tc>
                <w:tcPr>
                  <w:tcW w:w="396" w:type="pct"/>
                  <w:vMerge w:val="continue"/>
                  <w:tcBorders>
                    <w:tl2br w:val="nil"/>
                    <w:tr2bl w:val="nil"/>
                  </w:tcBorders>
                  <w:vAlign w:val="center"/>
                </w:tcPr>
                <w:p w14:paraId="60040C16">
                  <w:pPr>
                    <w:pStyle w:val="7"/>
                    <w:spacing w:line="240" w:lineRule="auto"/>
                    <w:ind w:left="0" w:leftChars="0" w:firstLine="0" w:firstLineChars="0"/>
                    <w:jc w:val="center"/>
                    <w:rPr>
                      <w:color w:val="auto"/>
                      <w:sz w:val="21"/>
                      <w:szCs w:val="21"/>
                    </w:rPr>
                  </w:pPr>
                </w:p>
              </w:tc>
              <w:tc>
                <w:tcPr>
                  <w:tcW w:w="438" w:type="pct"/>
                  <w:tcBorders>
                    <w:tl2br w:val="nil"/>
                    <w:tr2bl w:val="nil"/>
                  </w:tcBorders>
                  <w:vAlign w:val="center"/>
                </w:tcPr>
                <w:p w14:paraId="2630EC1B">
                  <w:pPr>
                    <w:widowControl w:val="0"/>
                    <w:autoSpaceDE w:val="0"/>
                    <w:autoSpaceDN w:val="0"/>
                    <w:adjustRightInd w:val="0"/>
                    <w:spacing w:line="240" w:lineRule="auto"/>
                    <w:ind w:left="0" w:leftChars="0" w:firstLine="0" w:firstLineChars="0"/>
                    <w:jc w:val="center"/>
                    <w:textAlignment w:val="baseline"/>
                    <w:rPr>
                      <w:rFonts w:hint="default" w:eastAsia="宋体"/>
                      <w:color w:val="auto"/>
                      <w:sz w:val="21"/>
                      <w:szCs w:val="21"/>
                      <w:lang w:val="en-US" w:eastAsia="zh-CN"/>
                    </w:rPr>
                  </w:pPr>
                  <w:r>
                    <w:rPr>
                      <w:rFonts w:ascii="Times New Roman" w:hAnsi="Times New Roman" w:eastAsia="宋体" w:cs="Times New Roman"/>
                      <w:color w:val="auto"/>
                      <w:kern w:val="0"/>
                      <w:sz w:val="21"/>
                      <w:szCs w:val="21"/>
                      <w:lang w:val="en-US" w:eastAsia="zh-CN" w:bidi="ar-SA"/>
                    </w:rPr>
                    <w:t>120</w:t>
                  </w:r>
                </w:p>
              </w:tc>
              <w:tc>
                <w:tcPr>
                  <w:tcW w:w="341" w:type="pct"/>
                  <w:tcBorders>
                    <w:tl2br w:val="nil"/>
                    <w:tr2bl w:val="nil"/>
                  </w:tcBorders>
                  <w:vAlign w:val="center"/>
                </w:tcPr>
                <w:p w14:paraId="3EF9B170">
                  <w:pPr>
                    <w:jc w:val="center"/>
                    <w:rPr>
                      <w:rFonts w:hint="default" w:eastAsia="宋体"/>
                      <w:color w:val="auto"/>
                      <w:sz w:val="21"/>
                      <w:szCs w:val="21"/>
                      <w:lang w:val="en-US" w:eastAsia="zh-CN"/>
                    </w:rPr>
                  </w:pPr>
                  <w:r>
                    <w:rPr>
                      <w:rFonts w:hint="eastAsia"/>
                      <w:color w:val="auto"/>
                      <w:sz w:val="21"/>
                      <w:szCs w:val="21"/>
                      <w:lang w:val="en-US" w:eastAsia="zh-CN"/>
                    </w:rPr>
                    <w:t>0.019</w:t>
                  </w:r>
                </w:p>
              </w:tc>
              <w:tc>
                <w:tcPr>
                  <w:tcW w:w="292" w:type="pct"/>
                  <w:vMerge w:val="continue"/>
                  <w:tcBorders>
                    <w:tl2br w:val="nil"/>
                    <w:tr2bl w:val="nil"/>
                  </w:tcBorders>
                  <w:vAlign w:val="center"/>
                </w:tcPr>
                <w:p w14:paraId="18BACCAF">
                  <w:pPr>
                    <w:pStyle w:val="7"/>
                    <w:spacing w:line="240" w:lineRule="auto"/>
                    <w:ind w:left="0" w:leftChars="0" w:firstLine="0" w:firstLineChars="0"/>
                    <w:jc w:val="center"/>
                    <w:rPr>
                      <w:rFonts w:hint="default" w:eastAsia="宋体"/>
                      <w:color w:val="auto"/>
                      <w:sz w:val="21"/>
                      <w:szCs w:val="21"/>
                      <w:lang w:val="en-US" w:eastAsia="zh-CN"/>
                    </w:rPr>
                  </w:pPr>
                </w:p>
              </w:tc>
            </w:tr>
            <w:tr w14:paraId="435CD2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32" w:type="pct"/>
                  <w:vMerge w:val="continue"/>
                  <w:tcBorders>
                    <w:tl2br w:val="nil"/>
                    <w:tr2bl w:val="nil"/>
                  </w:tcBorders>
                  <w:vAlign w:val="center"/>
                </w:tcPr>
                <w:p w14:paraId="6149836E">
                  <w:pPr>
                    <w:pStyle w:val="7"/>
                    <w:spacing w:line="240" w:lineRule="auto"/>
                    <w:ind w:left="0" w:firstLine="0"/>
                    <w:jc w:val="center"/>
                    <w:rPr>
                      <w:color w:val="auto"/>
                      <w:sz w:val="21"/>
                      <w:szCs w:val="21"/>
                    </w:rPr>
                  </w:pPr>
                </w:p>
              </w:tc>
              <w:tc>
                <w:tcPr>
                  <w:tcW w:w="336" w:type="pct"/>
                  <w:vMerge w:val="continue"/>
                  <w:tcBorders>
                    <w:tl2br w:val="nil"/>
                    <w:tr2bl w:val="nil"/>
                  </w:tcBorders>
                  <w:vAlign w:val="center"/>
                </w:tcPr>
                <w:p w14:paraId="5D3FC42B">
                  <w:pPr>
                    <w:pStyle w:val="7"/>
                    <w:spacing w:line="240" w:lineRule="auto"/>
                    <w:ind w:left="0" w:firstLine="0"/>
                    <w:jc w:val="center"/>
                    <w:rPr>
                      <w:color w:val="auto"/>
                      <w:sz w:val="21"/>
                      <w:szCs w:val="21"/>
                    </w:rPr>
                  </w:pPr>
                </w:p>
              </w:tc>
              <w:tc>
                <w:tcPr>
                  <w:tcW w:w="439" w:type="pct"/>
                  <w:tcBorders>
                    <w:tl2br w:val="nil"/>
                    <w:tr2bl w:val="nil"/>
                  </w:tcBorders>
                  <w:vAlign w:val="center"/>
                </w:tcPr>
                <w:p w14:paraId="5D279A0D">
                  <w:pPr>
                    <w:pStyle w:val="7"/>
                    <w:spacing w:line="240" w:lineRule="auto"/>
                    <w:ind w:left="0" w:firstLine="0"/>
                    <w:jc w:val="center"/>
                    <w:rPr>
                      <w:color w:val="auto"/>
                      <w:sz w:val="21"/>
                      <w:szCs w:val="21"/>
                    </w:rPr>
                  </w:pPr>
                  <w:r>
                    <w:rPr>
                      <w:color w:val="auto"/>
                      <w:sz w:val="21"/>
                      <w:szCs w:val="21"/>
                    </w:rPr>
                    <w:t>SS</w:t>
                  </w:r>
                </w:p>
              </w:tc>
              <w:tc>
                <w:tcPr>
                  <w:tcW w:w="396" w:type="pct"/>
                  <w:vMerge w:val="continue"/>
                  <w:tcBorders>
                    <w:tl2br w:val="nil"/>
                    <w:tr2bl w:val="nil"/>
                  </w:tcBorders>
                  <w:vAlign w:val="center"/>
                </w:tcPr>
                <w:p w14:paraId="31DE59FE">
                  <w:pPr>
                    <w:pStyle w:val="7"/>
                    <w:spacing w:line="240" w:lineRule="auto"/>
                    <w:ind w:left="0" w:firstLine="0"/>
                    <w:jc w:val="center"/>
                    <w:rPr>
                      <w:color w:val="auto"/>
                      <w:sz w:val="21"/>
                      <w:szCs w:val="21"/>
                    </w:rPr>
                  </w:pPr>
                </w:p>
              </w:tc>
              <w:tc>
                <w:tcPr>
                  <w:tcW w:w="438" w:type="pct"/>
                  <w:tcBorders>
                    <w:tl2br w:val="nil"/>
                    <w:tr2bl w:val="nil"/>
                  </w:tcBorders>
                  <w:vAlign w:val="center"/>
                </w:tcPr>
                <w:p w14:paraId="53FC0B62">
                  <w:pPr>
                    <w:pStyle w:val="7"/>
                    <w:spacing w:line="240" w:lineRule="auto"/>
                    <w:ind w:left="0" w:firstLine="0"/>
                    <w:jc w:val="center"/>
                    <w:rPr>
                      <w:color w:val="auto"/>
                      <w:sz w:val="21"/>
                      <w:szCs w:val="21"/>
                    </w:rPr>
                  </w:pPr>
                  <w:r>
                    <w:rPr>
                      <w:color w:val="auto"/>
                      <w:sz w:val="21"/>
                      <w:szCs w:val="21"/>
                    </w:rPr>
                    <w:t>150</w:t>
                  </w:r>
                </w:p>
              </w:tc>
              <w:tc>
                <w:tcPr>
                  <w:tcW w:w="352" w:type="pct"/>
                  <w:tcBorders>
                    <w:tl2br w:val="nil"/>
                    <w:tr2bl w:val="nil"/>
                  </w:tcBorders>
                  <w:vAlign w:val="center"/>
                </w:tcPr>
                <w:p w14:paraId="1C02E67E">
                  <w:pPr>
                    <w:widowControl/>
                    <w:jc w:val="center"/>
                    <w:rPr>
                      <w:rFonts w:hint="default" w:eastAsia="宋体"/>
                      <w:color w:val="auto"/>
                      <w:sz w:val="21"/>
                      <w:szCs w:val="21"/>
                      <w:lang w:val="en-US" w:eastAsia="zh-CN"/>
                    </w:rPr>
                  </w:pPr>
                  <w:r>
                    <w:rPr>
                      <w:rFonts w:hint="eastAsia"/>
                      <w:color w:val="auto"/>
                      <w:sz w:val="21"/>
                      <w:szCs w:val="21"/>
                      <w:lang w:val="en-US" w:eastAsia="zh-CN"/>
                    </w:rPr>
                    <w:t>0.024</w:t>
                  </w:r>
                </w:p>
              </w:tc>
              <w:tc>
                <w:tcPr>
                  <w:tcW w:w="295" w:type="pct"/>
                  <w:vMerge w:val="continue"/>
                  <w:tcBorders>
                    <w:tl2br w:val="nil"/>
                    <w:tr2bl w:val="nil"/>
                  </w:tcBorders>
                  <w:vAlign w:val="center"/>
                </w:tcPr>
                <w:p w14:paraId="01D829C6">
                  <w:pPr>
                    <w:pStyle w:val="7"/>
                    <w:spacing w:line="240" w:lineRule="auto"/>
                    <w:ind w:left="0" w:firstLine="0"/>
                    <w:jc w:val="center"/>
                    <w:rPr>
                      <w:color w:val="auto"/>
                      <w:sz w:val="21"/>
                      <w:szCs w:val="21"/>
                    </w:rPr>
                  </w:pPr>
                </w:p>
              </w:tc>
              <w:tc>
                <w:tcPr>
                  <w:tcW w:w="390" w:type="pct"/>
                  <w:vMerge w:val="continue"/>
                  <w:tcBorders>
                    <w:tl2br w:val="nil"/>
                    <w:tr2bl w:val="nil"/>
                  </w:tcBorders>
                  <w:vAlign w:val="center"/>
                </w:tcPr>
                <w:p w14:paraId="26DE2BDB">
                  <w:pPr>
                    <w:pStyle w:val="7"/>
                    <w:spacing w:line="240" w:lineRule="auto"/>
                    <w:ind w:left="0" w:firstLine="0"/>
                    <w:jc w:val="center"/>
                    <w:rPr>
                      <w:color w:val="auto"/>
                      <w:sz w:val="21"/>
                      <w:szCs w:val="21"/>
                    </w:rPr>
                  </w:pPr>
                </w:p>
              </w:tc>
              <w:tc>
                <w:tcPr>
                  <w:tcW w:w="315" w:type="pct"/>
                  <w:tcBorders>
                    <w:tl2br w:val="nil"/>
                    <w:tr2bl w:val="nil"/>
                  </w:tcBorders>
                  <w:vAlign w:val="center"/>
                </w:tcPr>
                <w:p w14:paraId="460F832B">
                  <w:pPr>
                    <w:widowControl w:val="0"/>
                    <w:autoSpaceDE w:val="0"/>
                    <w:autoSpaceDN w:val="0"/>
                    <w:adjustRightInd w:val="0"/>
                    <w:spacing w:line="240" w:lineRule="auto"/>
                    <w:ind w:left="0" w:leftChars="0" w:firstLine="0" w:firstLineChars="0"/>
                    <w:jc w:val="center"/>
                    <w:textAlignment w:val="baseline"/>
                    <w:rPr>
                      <w:rFonts w:hint="default" w:eastAsia="宋体"/>
                      <w:color w:val="auto"/>
                      <w:sz w:val="21"/>
                      <w:szCs w:val="21"/>
                      <w:lang w:val="en-US" w:eastAsia="zh-CN"/>
                    </w:rPr>
                  </w:pPr>
                  <w:r>
                    <w:rPr>
                      <w:rFonts w:ascii="Times New Roman" w:hAnsi="Times New Roman" w:eastAsia="宋体" w:cs="Times New Roman"/>
                      <w:color w:val="auto"/>
                      <w:kern w:val="0"/>
                      <w:sz w:val="21"/>
                      <w:szCs w:val="21"/>
                      <w:lang w:val="en-US" w:eastAsia="zh-CN" w:bidi="ar-SA"/>
                    </w:rPr>
                    <w:t>30</w:t>
                  </w:r>
                </w:p>
              </w:tc>
              <w:tc>
                <w:tcPr>
                  <w:tcW w:w="337" w:type="pct"/>
                  <w:vMerge w:val="continue"/>
                  <w:tcBorders>
                    <w:tl2br w:val="nil"/>
                    <w:tr2bl w:val="nil"/>
                  </w:tcBorders>
                  <w:vAlign w:val="center"/>
                </w:tcPr>
                <w:p w14:paraId="63931C55">
                  <w:pPr>
                    <w:pStyle w:val="7"/>
                    <w:spacing w:line="240" w:lineRule="auto"/>
                    <w:ind w:left="0" w:firstLine="0"/>
                    <w:jc w:val="center"/>
                    <w:rPr>
                      <w:color w:val="auto"/>
                      <w:sz w:val="21"/>
                      <w:szCs w:val="21"/>
                    </w:rPr>
                  </w:pPr>
                </w:p>
              </w:tc>
              <w:tc>
                <w:tcPr>
                  <w:tcW w:w="396" w:type="pct"/>
                  <w:vMerge w:val="continue"/>
                  <w:tcBorders>
                    <w:tl2br w:val="nil"/>
                    <w:tr2bl w:val="nil"/>
                  </w:tcBorders>
                  <w:vAlign w:val="center"/>
                </w:tcPr>
                <w:p w14:paraId="5CE23E67">
                  <w:pPr>
                    <w:pStyle w:val="7"/>
                    <w:spacing w:line="240" w:lineRule="auto"/>
                    <w:ind w:left="0" w:leftChars="0" w:firstLine="0" w:firstLineChars="0"/>
                    <w:jc w:val="center"/>
                    <w:rPr>
                      <w:color w:val="auto"/>
                      <w:sz w:val="21"/>
                      <w:szCs w:val="21"/>
                    </w:rPr>
                  </w:pPr>
                </w:p>
              </w:tc>
              <w:tc>
                <w:tcPr>
                  <w:tcW w:w="438" w:type="pct"/>
                  <w:tcBorders>
                    <w:tl2br w:val="nil"/>
                    <w:tr2bl w:val="nil"/>
                  </w:tcBorders>
                  <w:vAlign w:val="center"/>
                </w:tcPr>
                <w:p w14:paraId="274D5949">
                  <w:pPr>
                    <w:widowControl w:val="0"/>
                    <w:autoSpaceDE w:val="0"/>
                    <w:autoSpaceDN w:val="0"/>
                    <w:adjustRightInd w:val="0"/>
                    <w:spacing w:line="240" w:lineRule="auto"/>
                    <w:ind w:left="0" w:leftChars="0" w:firstLine="0" w:firstLineChars="0"/>
                    <w:jc w:val="center"/>
                    <w:textAlignment w:val="baseline"/>
                    <w:rPr>
                      <w:rFonts w:hint="default" w:eastAsia="宋体"/>
                      <w:color w:val="auto"/>
                      <w:sz w:val="21"/>
                      <w:szCs w:val="21"/>
                      <w:lang w:val="en-US" w:eastAsia="zh-CN"/>
                    </w:rPr>
                  </w:pPr>
                  <w:r>
                    <w:rPr>
                      <w:rFonts w:ascii="Times New Roman" w:hAnsi="Times New Roman" w:eastAsia="宋体" w:cs="Times New Roman"/>
                      <w:color w:val="auto"/>
                      <w:kern w:val="0"/>
                      <w:sz w:val="21"/>
                      <w:szCs w:val="21"/>
                      <w:lang w:val="en-US" w:eastAsia="zh-CN" w:bidi="ar-SA"/>
                    </w:rPr>
                    <w:t>105</w:t>
                  </w:r>
                </w:p>
              </w:tc>
              <w:tc>
                <w:tcPr>
                  <w:tcW w:w="341" w:type="pct"/>
                  <w:tcBorders>
                    <w:tl2br w:val="nil"/>
                    <w:tr2bl w:val="nil"/>
                  </w:tcBorders>
                  <w:vAlign w:val="center"/>
                </w:tcPr>
                <w:p w14:paraId="3A4F05CA">
                  <w:pPr>
                    <w:jc w:val="center"/>
                    <w:rPr>
                      <w:rFonts w:hint="default" w:eastAsia="宋体"/>
                      <w:color w:val="auto"/>
                      <w:sz w:val="21"/>
                      <w:szCs w:val="21"/>
                      <w:lang w:val="en-US" w:eastAsia="zh-CN"/>
                    </w:rPr>
                  </w:pPr>
                  <w:r>
                    <w:rPr>
                      <w:color w:val="auto"/>
                      <w:szCs w:val="21"/>
                    </w:rPr>
                    <w:t>0.</w:t>
                  </w:r>
                  <w:r>
                    <w:rPr>
                      <w:rFonts w:hint="eastAsia"/>
                      <w:color w:val="auto"/>
                      <w:szCs w:val="21"/>
                      <w:lang w:val="en-US" w:eastAsia="zh-CN"/>
                    </w:rPr>
                    <w:t>017</w:t>
                  </w:r>
                </w:p>
              </w:tc>
              <w:tc>
                <w:tcPr>
                  <w:tcW w:w="292" w:type="pct"/>
                  <w:vMerge w:val="continue"/>
                  <w:tcBorders>
                    <w:tl2br w:val="nil"/>
                    <w:tr2bl w:val="nil"/>
                  </w:tcBorders>
                  <w:vAlign w:val="center"/>
                </w:tcPr>
                <w:p w14:paraId="4FE0A732">
                  <w:pPr>
                    <w:pStyle w:val="7"/>
                    <w:spacing w:line="240" w:lineRule="auto"/>
                    <w:ind w:left="0" w:leftChars="0" w:firstLine="0" w:firstLineChars="0"/>
                    <w:jc w:val="center"/>
                    <w:rPr>
                      <w:rFonts w:hint="default" w:eastAsia="宋体"/>
                      <w:color w:val="auto"/>
                      <w:sz w:val="21"/>
                      <w:szCs w:val="21"/>
                      <w:lang w:val="en-US" w:eastAsia="zh-CN"/>
                    </w:rPr>
                  </w:pPr>
                </w:p>
              </w:tc>
            </w:tr>
            <w:tr w14:paraId="28D6A5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232" w:type="pct"/>
                  <w:vMerge w:val="continue"/>
                  <w:tcBorders>
                    <w:tl2br w:val="nil"/>
                    <w:tr2bl w:val="nil"/>
                  </w:tcBorders>
                  <w:vAlign w:val="center"/>
                </w:tcPr>
                <w:p w14:paraId="2AEF33A8">
                  <w:pPr>
                    <w:pStyle w:val="7"/>
                    <w:spacing w:line="240" w:lineRule="auto"/>
                    <w:ind w:left="0" w:firstLine="0"/>
                    <w:jc w:val="center"/>
                    <w:rPr>
                      <w:color w:val="auto"/>
                      <w:sz w:val="21"/>
                      <w:szCs w:val="21"/>
                    </w:rPr>
                  </w:pPr>
                </w:p>
              </w:tc>
              <w:tc>
                <w:tcPr>
                  <w:tcW w:w="336" w:type="pct"/>
                  <w:vMerge w:val="continue"/>
                  <w:tcBorders>
                    <w:tl2br w:val="nil"/>
                    <w:tr2bl w:val="nil"/>
                  </w:tcBorders>
                  <w:vAlign w:val="center"/>
                </w:tcPr>
                <w:p w14:paraId="781AE1FB">
                  <w:pPr>
                    <w:pStyle w:val="7"/>
                    <w:spacing w:line="240" w:lineRule="auto"/>
                    <w:ind w:left="0" w:firstLine="0"/>
                    <w:jc w:val="center"/>
                    <w:rPr>
                      <w:color w:val="auto"/>
                      <w:sz w:val="21"/>
                      <w:szCs w:val="21"/>
                    </w:rPr>
                  </w:pPr>
                </w:p>
              </w:tc>
              <w:tc>
                <w:tcPr>
                  <w:tcW w:w="439" w:type="pct"/>
                  <w:tcBorders>
                    <w:tl2br w:val="nil"/>
                    <w:tr2bl w:val="nil"/>
                  </w:tcBorders>
                  <w:vAlign w:val="center"/>
                </w:tcPr>
                <w:p w14:paraId="2F4C9E42">
                  <w:pPr>
                    <w:pStyle w:val="7"/>
                    <w:spacing w:line="240" w:lineRule="auto"/>
                    <w:ind w:left="0" w:firstLine="0"/>
                    <w:jc w:val="center"/>
                    <w:rPr>
                      <w:color w:val="auto"/>
                      <w:sz w:val="21"/>
                      <w:szCs w:val="21"/>
                    </w:rPr>
                  </w:pPr>
                  <w:r>
                    <w:rPr>
                      <w:color w:val="auto"/>
                      <w:sz w:val="21"/>
                      <w:szCs w:val="21"/>
                    </w:rPr>
                    <w:t>NH</w:t>
                  </w:r>
                  <w:r>
                    <w:rPr>
                      <w:color w:val="auto"/>
                      <w:sz w:val="21"/>
                      <w:szCs w:val="21"/>
                      <w:vertAlign w:val="subscript"/>
                    </w:rPr>
                    <w:t>3</w:t>
                  </w:r>
                  <w:r>
                    <w:rPr>
                      <w:color w:val="auto"/>
                      <w:sz w:val="21"/>
                      <w:szCs w:val="21"/>
                    </w:rPr>
                    <w:t>-N</w:t>
                  </w:r>
                </w:p>
              </w:tc>
              <w:tc>
                <w:tcPr>
                  <w:tcW w:w="396" w:type="pct"/>
                  <w:vMerge w:val="continue"/>
                  <w:tcBorders>
                    <w:tl2br w:val="nil"/>
                    <w:tr2bl w:val="nil"/>
                  </w:tcBorders>
                  <w:vAlign w:val="center"/>
                </w:tcPr>
                <w:p w14:paraId="3AC804F4">
                  <w:pPr>
                    <w:pStyle w:val="7"/>
                    <w:spacing w:line="240" w:lineRule="auto"/>
                    <w:ind w:left="0" w:firstLine="0"/>
                    <w:jc w:val="center"/>
                    <w:rPr>
                      <w:color w:val="auto"/>
                      <w:sz w:val="21"/>
                      <w:szCs w:val="21"/>
                    </w:rPr>
                  </w:pPr>
                </w:p>
              </w:tc>
              <w:tc>
                <w:tcPr>
                  <w:tcW w:w="438" w:type="pct"/>
                  <w:tcBorders>
                    <w:tl2br w:val="nil"/>
                    <w:tr2bl w:val="nil"/>
                  </w:tcBorders>
                  <w:vAlign w:val="center"/>
                </w:tcPr>
                <w:p w14:paraId="025CE1B0">
                  <w:pPr>
                    <w:pStyle w:val="7"/>
                    <w:spacing w:line="240" w:lineRule="auto"/>
                    <w:ind w:left="0" w:firstLine="0"/>
                    <w:jc w:val="center"/>
                    <w:rPr>
                      <w:color w:val="auto"/>
                      <w:sz w:val="21"/>
                      <w:szCs w:val="21"/>
                    </w:rPr>
                  </w:pPr>
                  <w:r>
                    <w:rPr>
                      <w:color w:val="auto"/>
                      <w:sz w:val="21"/>
                      <w:szCs w:val="21"/>
                    </w:rPr>
                    <w:t>30</w:t>
                  </w:r>
                </w:p>
              </w:tc>
              <w:tc>
                <w:tcPr>
                  <w:tcW w:w="352" w:type="pct"/>
                  <w:tcBorders>
                    <w:tl2br w:val="nil"/>
                    <w:tr2bl w:val="nil"/>
                  </w:tcBorders>
                  <w:vAlign w:val="center"/>
                </w:tcPr>
                <w:p w14:paraId="68CC7653">
                  <w:pPr>
                    <w:widowControl/>
                    <w:jc w:val="center"/>
                    <w:rPr>
                      <w:rFonts w:hint="default" w:eastAsia="宋体"/>
                      <w:color w:val="auto"/>
                      <w:sz w:val="21"/>
                      <w:szCs w:val="21"/>
                      <w:lang w:val="en-US" w:eastAsia="zh-CN"/>
                    </w:rPr>
                  </w:pPr>
                  <w:r>
                    <w:rPr>
                      <w:rFonts w:hint="default" w:ascii="Times New Roman" w:hAnsi="Times New Roman" w:cs="Times New Roman"/>
                      <w:color w:val="auto"/>
                      <w:sz w:val="21"/>
                      <w:szCs w:val="21"/>
                    </w:rPr>
                    <w:t>0.</w:t>
                  </w:r>
                  <w:r>
                    <w:rPr>
                      <w:rFonts w:hint="eastAsia" w:cs="Times New Roman"/>
                      <w:color w:val="auto"/>
                      <w:sz w:val="21"/>
                      <w:szCs w:val="21"/>
                      <w:lang w:val="en-US" w:eastAsia="zh-CN"/>
                    </w:rPr>
                    <w:t>005</w:t>
                  </w:r>
                </w:p>
              </w:tc>
              <w:tc>
                <w:tcPr>
                  <w:tcW w:w="295" w:type="pct"/>
                  <w:vMerge w:val="continue"/>
                  <w:tcBorders>
                    <w:tl2br w:val="nil"/>
                    <w:tr2bl w:val="nil"/>
                  </w:tcBorders>
                  <w:vAlign w:val="center"/>
                </w:tcPr>
                <w:p w14:paraId="4862EEA7">
                  <w:pPr>
                    <w:pStyle w:val="7"/>
                    <w:spacing w:line="240" w:lineRule="auto"/>
                    <w:ind w:left="0" w:firstLine="0"/>
                    <w:jc w:val="center"/>
                    <w:rPr>
                      <w:color w:val="auto"/>
                      <w:sz w:val="21"/>
                      <w:szCs w:val="21"/>
                    </w:rPr>
                  </w:pPr>
                </w:p>
              </w:tc>
              <w:tc>
                <w:tcPr>
                  <w:tcW w:w="390" w:type="pct"/>
                  <w:vMerge w:val="continue"/>
                  <w:tcBorders>
                    <w:tl2br w:val="nil"/>
                    <w:tr2bl w:val="nil"/>
                  </w:tcBorders>
                  <w:vAlign w:val="center"/>
                </w:tcPr>
                <w:p w14:paraId="40EF9CE9">
                  <w:pPr>
                    <w:pStyle w:val="7"/>
                    <w:spacing w:line="240" w:lineRule="auto"/>
                    <w:ind w:left="0" w:firstLine="0"/>
                    <w:jc w:val="center"/>
                    <w:rPr>
                      <w:color w:val="auto"/>
                      <w:sz w:val="21"/>
                      <w:szCs w:val="21"/>
                    </w:rPr>
                  </w:pPr>
                </w:p>
              </w:tc>
              <w:tc>
                <w:tcPr>
                  <w:tcW w:w="315" w:type="pct"/>
                  <w:tcBorders>
                    <w:tl2br w:val="nil"/>
                    <w:tr2bl w:val="nil"/>
                  </w:tcBorders>
                  <w:vAlign w:val="center"/>
                </w:tcPr>
                <w:p w14:paraId="0365C39F">
                  <w:pPr>
                    <w:widowControl w:val="0"/>
                    <w:autoSpaceDE w:val="0"/>
                    <w:autoSpaceDN w:val="0"/>
                    <w:adjustRightInd w:val="0"/>
                    <w:spacing w:line="240" w:lineRule="auto"/>
                    <w:ind w:left="0" w:leftChars="0" w:firstLine="0" w:firstLineChars="0"/>
                    <w:jc w:val="center"/>
                    <w:textAlignment w:val="baseline"/>
                    <w:rPr>
                      <w:rFonts w:hint="default" w:eastAsia="宋体"/>
                      <w:color w:val="auto"/>
                      <w:sz w:val="21"/>
                      <w:szCs w:val="21"/>
                      <w:lang w:val="en-US" w:eastAsia="zh-CN"/>
                    </w:rPr>
                  </w:pPr>
                  <w:r>
                    <w:rPr>
                      <w:rFonts w:ascii="Times New Roman" w:hAnsi="Times New Roman" w:eastAsia="宋体" w:cs="Times New Roman"/>
                      <w:color w:val="auto"/>
                      <w:kern w:val="0"/>
                      <w:sz w:val="21"/>
                      <w:szCs w:val="21"/>
                      <w:lang w:val="en-US" w:eastAsia="zh-CN" w:bidi="ar-SA"/>
                    </w:rPr>
                    <w:t>30</w:t>
                  </w:r>
                </w:p>
              </w:tc>
              <w:tc>
                <w:tcPr>
                  <w:tcW w:w="337" w:type="pct"/>
                  <w:vMerge w:val="continue"/>
                  <w:tcBorders>
                    <w:tl2br w:val="nil"/>
                    <w:tr2bl w:val="nil"/>
                  </w:tcBorders>
                  <w:vAlign w:val="center"/>
                </w:tcPr>
                <w:p w14:paraId="2DD41556">
                  <w:pPr>
                    <w:pStyle w:val="7"/>
                    <w:spacing w:line="240" w:lineRule="auto"/>
                    <w:ind w:left="0" w:firstLine="0"/>
                    <w:jc w:val="center"/>
                    <w:rPr>
                      <w:color w:val="auto"/>
                      <w:sz w:val="21"/>
                      <w:szCs w:val="21"/>
                    </w:rPr>
                  </w:pPr>
                </w:p>
              </w:tc>
              <w:tc>
                <w:tcPr>
                  <w:tcW w:w="396" w:type="pct"/>
                  <w:vMerge w:val="continue"/>
                  <w:tcBorders>
                    <w:tl2br w:val="nil"/>
                    <w:tr2bl w:val="nil"/>
                  </w:tcBorders>
                  <w:vAlign w:val="center"/>
                </w:tcPr>
                <w:p w14:paraId="5358746A">
                  <w:pPr>
                    <w:pStyle w:val="7"/>
                    <w:spacing w:line="240" w:lineRule="auto"/>
                    <w:ind w:left="0" w:leftChars="0" w:firstLine="0" w:firstLineChars="0"/>
                    <w:jc w:val="center"/>
                    <w:rPr>
                      <w:color w:val="auto"/>
                      <w:sz w:val="21"/>
                      <w:szCs w:val="21"/>
                    </w:rPr>
                  </w:pPr>
                </w:p>
              </w:tc>
              <w:tc>
                <w:tcPr>
                  <w:tcW w:w="438" w:type="pct"/>
                  <w:tcBorders>
                    <w:tl2br w:val="nil"/>
                    <w:tr2bl w:val="nil"/>
                  </w:tcBorders>
                  <w:vAlign w:val="center"/>
                </w:tcPr>
                <w:p w14:paraId="03537AC6">
                  <w:pPr>
                    <w:widowControl w:val="0"/>
                    <w:autoSpaceDE w:val="0"/>
                    <w:autoSpaceDN w:val="0"/>
                    <w:adjustRightInd w:val="0"/>
                    <w:spacing w:line="240" w:lineRule="auto"/>
                    <w:ind w:left="0" w:leftChars="0" w:firstLine="0" w:firstLineChars="0"/>
                    <w:jc w:val="center"/>
                    <w:textAlignment w:val="baseline"/>
                    <w:rPr>
                      <w:rFonts w:hint="default" w:eastAsia="宋体"/>
                      <w:color w:val="auto"/>
                      <w:sz w:val="21"/>
                      <w:szCs w:val="21"/>
                      <w:lang w:val="en-US" w:eastAsia="zh-CN"/>
                    </w:rPr>
                  </w:pPr>
                  <w:r>
                    <w:rPr>
                      <w:rFonts w:ascii="Times New Roman" w:hAnsi="Times New Roman" w:eastAsia="宋体" w:cs="Times New Roman"/>
                      <w:color w:val="auto"/>
                      <w:kern w:val="0"/>
                      <w:sz w:val="21"/>
                      <w:szCs w:val="21"/>
                      <w:lang w:val="en-US" w:eastAsia="zh-CN" w:bidi="ar-SA"/>
                    </w:rPr>
                    <w:t>21</w:t>
                  </w:r>
                </w:p>
              </w:tc>
              <w:tc>
                <w:tcPr>
                  <w:tcW w:w="341" w:type="pct"/>
                  <w:tcBorders>
                    <w:tl2br w:val="nil"/>
                    <w:tr2bl w:val="nil"/>
                  </w:tcBorders>
                  <w:vAlign w:val="center"/>
                </w:tcPr>
                <w:p w14:paraId="1E714972">
                  <w:pPr>
                    <w:jc w:val="center"/>
                    <w:rPr>
                      <w:rFonts w:hint="default" w:eastAsia="宋体"/>
                      <w:color w:val="auto"/>
                      <w:sz w:val="21"/>
                      <w:szCs w:val="21"/>
                      <w:lang w:val="en-US" w:eastAsia="zh-CN"/>
                    </w:rPr>
                  </w:pPr>
                  <w:r>
                    <w:rPr>
                      <w:color w:val="auto"/>
                      <w:szCs w:val="21"/>
                    </w:rPr>
                    <w:t>0.</w:t>
                  </w:r>
                  <w:r>
                    <w:rPr>
                      <w:rFonts w:hint="eastAsia"/>
                      <w:color w:val="auto"/>
                      <w:szCs w:val="21"/>
                      <w:lang w:val="en-US" w:eastAsia="zh-CN"/>
                    </w:rPr>
                    <w:t>003</w:t>
                  </w:r>
                </w:p>
              </w:tc>
              <w:tc>
                <w:tcPr>
                  <w:tcW w:w="292" w:type="pct"/>
                  <w:vMerge w:val="continue"/>
                  <w:tcBorders>
                    <w:tl2br w:val="nil"/>
                    <w:tr2bl w:val="nil"/>
                  </w:tcBorders>
                  <w:vAlign w:val="center"/>
                </w:tcPr>
                <w:p w14:paraId="15166BC8">
                  <w:pPr>
                    <w:pStyle w:val="7"/>
                    <w:spacing w:line="240" w:lineRule="auto"/>
                    <w:ind w:left="0" w:leftChars="0" w:firstLine="0" w:firstLineChars="0"/>
                    <w:jc w:val="center"/>
                    <w:rPr>
                      <w:rFonts w:hint="default" w:eastAsia="宋体"/>
                      <w:color w:val="auto"/>
                      <w:sz w:val="21"/>
                      <w:szCs w:val="21"/>
                      <w:lang w:val="en-US" w:eastAsia="zh-CN"/>
                    </w:rPr>
                  </w:pPr>
                </w:p>
              </w:tc>
            </w:tr>
            <w:tr w14:paraId="0BDD9B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32" w:type="pct"/>
                  <w:vMerge w:val="continue"/>
                  <w:tcBorders>
                    <w:tl2br w:val="nil"/>
                    <w:tr2bl w:val="nil"/>
                  </w:tcBorders>
                  <w:vAlign w:val="center"/>
                </w:tcPr>
                <w:p w14:paraId="52D51D94">
                  <w:pPr>
                    <w:pStyle w:val="7"/>
                    <w:spacing w:line="240" w:lineRule="auto"/>
                    <w:ind w:left="0" w:firstLine="0"/>
                    <w:jc w:val="center"/>
                    <w:rPr>
                      <w:color w:val="auto"/>
                      <w:sz w:val="21"/>
                      <w:szCs w:val="21"/>
                    </w:rPr>
                  </w:pPr>
                </w:p>
              </w:tc>
              <w:tc>
                <w:tcPr>
                  <w:tcW w:w="336" w:type="pct"/>
                  <w:vMerge w:val="continue"/>
                  <w:tcBorders>
                    <w:tl2br w:val="nil"/>
                    <w:tr2bl w:val="nil"/>
                  </w:tcBorders>
                  <w:vAlign w:val="center"/>
                </w:tcPr>
                <w:p w14:paraId="20683F3B">
                  <w:pPr>
                    <w:pStyle w:val="7"/>
                    <w:spacing w:line="240" w:lineRule="auto"/>
                    <w:ind w:left="0" w:firstLine="0"/>
                    <w:jc w:val="center"/>
                    <w:rPr>
                      <w:color w:val="auto"/>
                      <w:sz w:val="21"/>
                      <w:szCs w:val="21"/>
                    </w:rPr>
                  </w:pPr>
                </w:p>
              </w:tc>
              <w:tc>
                <w:tcPr>
                  <w:tcW w:w="439" w:type="pct"/>
                  <w:tcBorders>
                    <w:tl2br w:val="nil"/>
                    <w:tr2bl w:val="nil"/>
                  </w:tcBorders>
                  <w:vAlign w:val="center"/>
                </w:tcPr>
                <w:p w14:paraId="0BA41BE5">
                  <w:pPr>
                    <w:pStyle w:val="7"/>
                    <w:spacing w:line="240" w:lineRule="auto"/>
                    <w:ind w:left="0" w:firstLine="0"/>
                    <w:jc w:val="center"/>
                    <w:rPr>
                      <w:rFonts w:hint="default" w:eastAsia="宋体"/>
                      <w:color w:val="auto"/>
                      <w:sz w:val="21"/>
                      <w:szCs w:val="21"/>
                      <w:lang w:val="en-US" w:eastAsia="zh-CN"/>
                    </w:rPr>
                  </w:pPr>
                  <w:r>
                    <w:rPr>
                      <w:rFonts w:hint="eastAsia"/>
                      <w:color w:val="auto"/>
                      <w:sz w:val="21"/>
                      <w:szCs w:val="21"/>
                      <w:lang w:val="en-US" w:eastAsia="zh-CN"/>
                    </w:rPr>
                    <w:t>TP</w:t>
                  </w:r>
                </w:p>
              </w:tc>
              <w:tc>
                <w:tcPr>
                  <w:tcW w:w="396" w:type="pct"/>
                  <w:vMerge w:val="continue"/>
                  <w:tcBorders>
                    <w:tl2br w:val="nil"/>
                    <w:tr2bl w:val="nil"/>
                  </w:tcBorders>
                  <w:vAlign w:val="center"/>
                </w:tcPr>
                <w:p w14:paraId="34798E02">
                  <w:pPr>
                    <w:pStyle w:val="7"/>
                    <w:spacing w:line="240" w:lineRule="auto"/>
                    <w:ind w:left="0" w:firstLine="0"/>
                    <w:jc w:val="center"/>
                    <w:rPr>
                      <w:color w:val="auto"/>
                      <w:sz w:val="21"/>
                      <w:szCs w:val="21"/>
                    </w:rPr>
                  </w:pPr>
                </w:p>
              </w:tc>
              <w:tc>
                <w:tcPr>
                  <w:tcW w:w="438" w:type="pct"/>
                  <w:tcBorders>
                    <w:tl2br w:val="nil"/>
                    <w:tr2bl w:val="nil"/>
                  </w:tcBorders>
                  <w:vAlign w:val="center"/>
                </w:tcPr>
                <w:p w14:paraId="14929D08">
                  <w:pPr>
                    <w:pStyle w:val="7"/>
                    <w:spacing w:line="240" w:lineRule="auto"/>
                    <w:ind w:left="0" w:firstLine="0"/>
                    <w:jc w:val="center"/>
                    <w:rPr>
                      <w:rFonts w:hint="default" w:eastAsia="宋体"/>
                      <w:color w:val="auto"/>
                      <w:sz w:val="21"/>
                      <w:szCs w:val="21"/>
                      <w:lang w:val="en-US" w:eastAsia="zh-CN"/>
                    </w:rPr>
                  </w:pPr>
                  <w:r>
                    <w:rPr>
                      <w:rFonts w:hint="eastAsia"/>
                      <w:color w:val="auto"/>
                      <w:sz w:val="21"/>
                      <w:szCs w:val="21"/>
                      <w:lang w:val="en-US" w:eastAsia="zh-CN"/>
                    </w:rPr>
                    <w:t>6</w:t>
                  </w:r>
                </w:p>
              </w:tc>
              <w:tc>
                <w:tcPr>
                  <w:tcW w:w="352" w:type="pct"/>
                  <w:tcBorders>
                    <w:tl2br w:val="nil"/>
                    <w:tr2bl w:val="nil"/>
                  </w:tcBorders>
                  <w:vAlign w:val="center"/>
                </w:tcPr>
                <w:p w14:paraId="59583003">
                  <w:pPr>
                    <w:jc w:val="center"/>
                    <w:rPr>
                      <w:rFonts w:hint="default" w:eastAsia="宋体"/>
                      <w:color w:val="auto"/>
                      <w:sz w:val="21"/>
                      <w:szCs w:val="21"/>
                      <w:lang w:val="en-US" w:eastAsia="zh-CN"/>
                    </w:rPr>
                  </w:pPr>
                  <w:r>
                    <w:rPr>
                      <w:rFonts w:hint="eastAsia"/>
                      <w:color w:val="auto"/>
                      <w:sz w:val="21"/>
                      <w:szCs w:val="21"/>
                      <w:lang w:val="en-US" w:eastAsia="zh-CN"/>
                    </w:rPr>
                    <w:t>0.001</w:t>
                  </w:r>
                </w:p>
              </w:tc>
              <w:tc>
                <w:tcPr>
                  <w:tcW w:w="295" w:type="pct"/>
                  <w:vMerge w:val="continue"/>
                  <w:tcBorders>
                    <w:tl2br w:val="nil"/>
                    <w:tr2bl w:val="nil"/>
                  </w:tcBorders>
                  <w:vAlign w:val="center"/>
                </w:tcPr>
                <w:p w14:paraId="36B02AF9">
                  <w:pPr>
                    <w:pStyle w:val="7"/>
                    <w:spacing w:line="240" w:lineRule="auto"/>
                    <w:ind w:left="0" w:firstLine="0"/>
                    <w:jc w:val="center"/>
                    <w:rPr>
                      <w:color w:val="auto"/>
                      <w:sz w:val="21"/>
                      <w:szCs w:val="21"/>
                    </w:rPr>
                  </w:pPr>
                </w:p>
              </w:tc>
              <w:tc>
                <w:tcPr>
                  <w:tcW w:w="390" w:type="pct"/>
                  <w:vMerge w:val="continue"/>
                  <w:tcBorders>
                    <w:tl2br w:val="nil"/>
                    <w:tr2bl w:val="nil"/>
                  </w:tcBorders>
                  <w:vAlign w:val="center"/>
                </w:tcPr>
                <w:p w14:paraId="49FA571D">
                  <w:pPr>
                    <w:pStyle w:val="7"/>
                    <w:spacing w:line="240" w:lineRule="auto"/>
                    <w:ind w:left="0" w:firstLine="0"/>
                    <w:jc w:val="center"/>
                    <w:rPr>
                      <w:color w:val="auto"/>
                      <w:sz w:val="21"/>
                      <w:szCs w:val="21"/>
                    </w:rPr>
                  </w:pPr>
                </w:p>
              </w:tc>
              <w:tc>
                <w:tcPr>
                  <w:tcW w:w="315" w:type="pct"/>
                  <w:tcBorders>
                    <w:tl2br w:val="nil"/>
                    <w:tr2bl w:val="nil"/>
                  </w:tcBorders>
                  <w:vAlign w:val="center"/>
                </w:tcPr>
                <w:p w14:paraId="10B05E3F">
                  <w:pPr>
                    <w:widowControl w:val="0"/>
                    <w:autoSpaceDE w:val="0"/>
                    <w:autoSpaceDN w:val="0"/>
                    <w:adjustRightInd w:val="0"/>
                    <w:spacing w:line="240" w:lineRule="auto"/>
                    <w:ind w:left="0" w:leftChars="0" w:firstLine="0" w:firstLineChars="0"/>
                    <w:jc w:val="center"/>
                    <w:textAlignment w:val="baseline"/>
                    <w:rPr>
                      <w:rFonts w:hint="default" w:eastAsia="宋体"/>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20</w:t>
                  </w:r>
                </w:p>
              </w:tc>
              <w:tc>
                <w:tcPr>
                  <w:tcW w:w="337" w:type="pct"/>
                  <w:vMerge w:val="continue"/>
                  <w:tcBorders>
                    <w:tl2br w:val="nil"/>
                    <w:tr2bl w:val="nil"/>
                  </w:tcBorders>
                  <w:vAlign w:val="center"/>
                </w:tcPr>
                <w:p w14:paraId="10826657">
                  <w:pPr>
                    <w:pStyle w:val="7"/>
                    <w:spacing w:line="240" w:lineRule="auto"/>
                    <w:ind w:left="0" w:firstLine="0"/>
                    <w:jc w:val="center"/>
                    <w:rPr>
                      <w:color w:val="auto"/>
                      <w:sz w:val="21"/>
                      <w:szCs w:val="21"/>
                    </w:rPr>
                  </w:pPr>
                </w:p>
              </w:tc>
              <w:tc>
                <w:tcPr>
                  <w:tcW w:w="396" w:type="pct"/>
                  <w:vMerge w:val="continue"/>
                  <w:tcBorders>
                    <w:tl2br w:val="nil"/>
                    <w:tr2bl w:val="nil"/>
                  </w:tcBorders>
                  <w:vAlign w:val="center"/>
                </w:tcPr>
                <w:p w14:paraId="762D0907">
                  <w:pPr>
                    <w:pStyle w:val="7"/>
                    <w:spacing w:line="240" w:lineRule="auto"/>
                    <w:ind w:left="0" w:leftChars="0" w:firstLine="0" w:firstLineChars="0"/>
                    <w:jc w:val="center"/>
                    <w:rPr>
                      <w:color w:val="auto"/>
                      <w:sz w:val="21"/>
                      <w:szCs w:val="21"/>
                    </w:rPr>
                  </w:pPr>
                </w:p>
              </w:tc>
              <w:tc>
                <w:tcPr>
                  <w:tcW w:w="438" w:type="pct"/>
                  <w:tcBorders>
                    <w:tl2br w:val="nil"/>
                    <w:tr2bl w:val="nil"/>
                  </w:tcBorders>
                  <w:vAlign w:val="center"/>
                </w:tcPr>
                <w:p w14:paraId="745240A4">
                  <w:pPr>
                    <w:widowControl w:val="0"/>
                    <w:autoSpaceDE w:val="0"/>
                    <w:autoSpaceDN w:val="0"/>
                    <w:adjustRightInd w:val="0"/>
                    <w:spacing w:line="240" w:lineRule="auto"/>
                    <w:ind w:left="0" w:leftChars="0" w:firstLine="0" w:firstLineChars="0"/>
                    <w:jc w:val="center"/>
                    <w:textAlignment w:val="baseline"/>
                    <w:rPr>
                      <w:rFonts w:hint="default" w:eastAsia="宋体"/>
                      <w:color w:val="auto"/>
                      <w:sz w:val="21"/>
                      <w:szCs w:val="21"/>
                      <w:lang w:val="en-US" w:eastAsia="zh-CN"/>
                    </w:rPr>
                  </w:pPr>
                  <w:r>
                    <w:rPr>
                      <w:rFonts w:hint="eastAsia" w:cs="Times New Roman"/>
                      <w:color w:val="auto"/>
                      <w:kern w:val="0"/>
                      <w:sz w:val="21"/>
                      <w:szCs w:val="21"/>
                      <w:lang w:val="en-US" w:eastAsia="zh-CN" w:bidi="ar-SA"/>
                    </w:rPr>
                    <w:t>4.8</w:t>
                  </w:r>
                </w:p>
              </w:tc>
              <w:tc>
                <w:tcPr>
                  <w:tcW w:w="341" w:type="pct"/>
                  <w:tcBorders>
                    <w:tl2br w:val="nil"/>
                    <w:tr2bl w:val="nil"/>
                  </w:tcBorders>
                  <w:vAlign w:val="center"/>
                </w:tcPr>
                <w:p w14:paraId="25D7533E">
                  <w:pPr>
                    <w:jc w:val="center"/>
                    <w:rPr>
                      <w:rFonts w:hint="default" w:eastAsia="宋体"/>
                      <w:color w:val="auto"/>
                      <w:sz w:val="21"/>
                      <w:szCs w:val="21"/>
                      <w:lang w:val="en-US" w:eastAsia="zh-CN"/>
                    </w:rPr>
                  </w:pPr>
                  <w:r>
                    <w:rPr>
                      <w:rFonts w:hint="eastAsia" w:ascii="Times New Roman" w:eastAsia="宋体"/>
                      <w:color w:val="auto"/>
                      <w:szCs w:val="21"/>
                      <w:lang w:val="en-US" w:eastAsia="zh-CN"/>
                    </w:rPr>
                    <w:t>0.</w:t>
                  </w:r>
                  <w:r>
                    <w:rPr>
                      <w:rFonts w:hint="eastAsia" w:eastAsia="宋体"/>
                      <w:color w:val="auto"/>
                      <w:szCs w:val="21"/>
                      <w:lang w:val="en-US" w:eastAsia="zh-CN"/>
                    </w:rPr>
                    <w:t>0</w:t>
                  </w:r>
                  <w:r>
                    <w:rPr>
                      <w:rFonts w:hint="eastAsia"/>
                      <w:color w:val="auto"/>
                      <w:szCs w:val="21"/>
                      <w:lang w:val="en-US" w:eastAsia="zh-CN"/>
                    </w:rPr>
                    <w:t>01</w:t>
                  </w:r>
                </w:p>
              </w:tc>
              <w:tc>
                <w:tcPr>
                  <w:tcW w:w="292" w:type="pct"/>
                  <w:vMerge w:val="continue"/>
                  <w:tcBorders>
                    <w:tl2br w:val="nil"/>
                    <w:tr2bl w:val="nil"/>
                  </w:tcBorders>
                  <w:vAlign w:val="center"/>
                </w:tcPr>
                <w:p w14:paraId="07D69D5D">
                  <w:pPr>
                    <w:pStyle w:val="7"/>
                    <w:spacing w:line="240" w:lineRule="auto"/>
                    <w:ind w:left="0" w:leftChars="0" w:firstLine="0" w:firstLineChars="0"/>
                    <w:jc w:val="center"/>
                    <w:rPr>
                      <w:rFonts w:hint="eastAsia" w:eastAsia="宋体"/>
                      <w:color w:val="auto"/>
                      <w:sz w:val="21"/>
                      <w:szCs w:val="21"/>
                      <w:lang w:val="en-US" w:eastAsia="zh-CN"/>
                    </w:rPr>
                  </w:pPr>
                </w:p>
              </w:tc>
            </w:tr>
            <w:tr w14:paraId="4A6967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32" w:type="pct"/>
                  <w:vMerge w:val="continue"/>
                  <w:tcBorders>
                    <w:tl2br w:val="nil"/>
                    <w:tr2bl w:val="nil"/>
                  </w:tcBorders>
                  <w:vAlign w:val="center"/>
                </w:tcPr>
                <w:p w14:paraId="01CB044C">
                  <w:pPr>
                    <w:pStyle w:val="7"/>
                    <w:spacing w:line="240" w:lineRule="auto"/>
                    <w:ind w:left="0" w:firstLine="0"/>
                    <w:jc w:val="center"/>
                    <w:rPr>
                      <w:color w:val="auto"/>
                      <w:sz w:val="21"/>
                      <w:szCs w:val="21"/>
                    </w:rPr>
                  </w:pPr>
                </w:p>
              </w:tc>
              <w:tc>
                <w:tcPr>
                  <w:tcW w:w="336" w:type="pct"/>
                  <w:vMerge w:val="continue"/>
                  <w:tcBorders>
                    <w:tl2br w:val="nil"/>
                    <w:tr2bl w:val="nil"/>
                  </w:tcBorders>
                  <w:vAlign w:val="center"/>
                </w:tcPr>
                <w:p w14:paraId="3E1B016E">
                  <w:pPr>
                    <w:pStyle w:val="7"/>
                    <w:spacing w:line="240" w:lineRule="auto"/>
                    <w:ind w:left="0" w:firstLine="0"/>
                    <w:jc w:val="center"/>
                    <w:rPr>
                      <w:color w:val="auto"/>
                      <w:sz w:val="21"/>
                      <w:szCs w:val="21"/>
                    </w:rPr>
                  </w:pPr>
                </w:p>
              </w:tc>
              <w:tc>
                <w:tcPr>
                  <w:tcW w:w="439" w:type="pct"/>
                  <w:tcBorders>
                    <w:tl2br w:val="nil"/>
                    <w:tr2bl w:val="nil"/>
                  </w:tcBorders>
                  <w:vAlign w:val="center"/>
                </w:tcPr>
                <w:p w14:paraId="426C7817">
                  <w:pPr>
                    <w:pStyle w:val="7"/>
                    <w:spacing w:line="240" w:lineRule="auto"/>
                    <w:ind w:left="0" w:firstLine="0"/>
                    <w:jc w:val="center"/>
                    <w:rPr>
                      <w:rFonts w:hint="eastAsia" w:eastAsia="宋体"/>
                      <w:color w:val="auto"/>
                      <w:sz w:val="21"/>
                      <w:szCs w:val="21"/>
                      <w:lang w:val="en-US" w:eastAsia="zh-CN"/>
                    </w:rPr>
                  </w:pPr>
                  <w:r>
                    <w:rPr>
                      <w:rFonts w:hint="eastAsia"/>
                      <w:color w:val="auto"/>
                      <w:sz w:val="21"/>
                      <w:szCs w:val="21"/>
                      <w:lang w:val="en-US" w:eastAsia="zh-CN"/>
                    </w:rPr>
                    <w:t>动植物油</w:t>
                  </w:r>
                </w:p>
              </w:tc>
              <w:tc>
                <w:tcPr>
                  <w:tcW w:w="396" w:type="pct"/>
                  <w:vMerge w:val="continue"/>
                  <w:tcBorders>
                    <w:tl2br w:val="nil"/>
                    <w:tr2bl w:val="nil"/>
                  </w:tcBorders>
                  <w:vAlign w:val="center"/>
                </w:tcPr>
                <w:p w14:paraId="536C781D">
                  <w:pPr>
                    <w:pStyle w:val="7"/>
                    <w:spacing w:line="240" w:lineRule="auto"/>
                    <w:ind w:left="0" w:firstLine="0"/>
                    <w:jc w:val="center"/>
                    <w:rPr>
                      <w:color w:val="auto"/>
                      <w:sz w:val="21"/>
                      <w:szCs w:val="21"/>
                    </w:rPr>
                  </w:pPr>
                </w:p>
              </w:tc>
              <w:tc>
                <w:tcPr>
                  <w:tcW w:w="438" w:type="pct"/>
                  <w:tcBorders>
                    <w:tl2br w:val="nil"/>
                    <w:tr2bl w:val="nil"/>
                  </w:tcBorders>
                  <w:vAlign w:val="center"/>
                </w:tcPr>
                <w:p w14:paraId="0367175A">
                  <w:pPr>
                    <w:pStyle w:val="7"/>
                    <w:spacing w:line="240" w:lineRule="auto"/>
                    <w:ind w:left="0" w:firstLine="0"/>
                    <w:jc w:val="center"/>
                    <w:rPr>
                      <w:rFonts w:hint="default" w:eastAsia="宋体"/>
                      <w:color w:val="auto"/>
                      <w:sz w:val="21"/>
                      <w:szCs w:val="21"/>
                      <w:lang w:val="en-US" w:eastAsia="zh-CN"/>
                    </w:rPr>
                  </w:pPr>
                  <w:r>
                    <w:rPr>
                      <w:rFonts w:hint="eastAsia"/>
                      <w:color w:val="auto"/>
                      <w:sz w:val="21"/>
                      <w:szCs w:val="21"/>
                      <w:lang w:val="en-US" w:eastAsia="zh-CN"/>
                    </w:rPr>
                    <w:t>25</w:t>
                  </w:r>
                </w:p>
              </w:tc>
              <w:tc>
                <w:tcPr>
                  <w:tcW w:w="352" w:type="pct"/>
                  <w:tcBorders>
                    <w:tl2br w:val="nil"/>
                    <w:tr2bl w:val="nil"/>
                  </w:tcBorders>
                  <w:vAlign w:val="center"/>
                </w:tcPr>
                <w:p w14:paraId="5A4E4801">
                  <w:pPr>
                    <w:jc w:val="center"/>
                    <w:rPr>
                      <w:rFonts w:hint="default" w:eastAsia="宋体"/>
                      <w:color w:val="auto"/>
                      <w:sz w:val="21"/>
                      <w:szCs w:val="21"/>
                      <w:lang w:val="en-US" w:eastAsia="zh-CN"/>
                    </w:rPr>
                  </w:pPr>
                  <w:r>
                    <w:rPr>
                      <w:rFonts w:hint="eastAsia"/>
                      <w:color w:val="auto"/>
                      <w:sz w:val="21"/>
                      <w:szCs w:val="21"/>
                      <w:lang w:val="en-US" w:eastAsia="zh-CN"/>
                    </w:rPr>
                    <w:t>0.004</w:t>
                  </w:r>
                </w:p>
              </w:tc>
              <w:tc>
                <w:tcPr>
                  <w:tcW w:w="295" w:type="pct"/>
                  <w:vMerge w:val="continue"/>
                  <w:tcBorders>
                    <w:tl2br w:val="nil"/>
                    <w:tr2bl w:val="nil"/>
                  </w:tcBorders>
                  <w:vAlign w:val="center"/>
                </w:tcPr>
                <w:p w14:paraId="59F9449D">
                  <w:pPr>
                    <w:pStyle w:val="7"/>
                    <w:spacing w:line="240" w:lineRule="auto"/>
                    <w:ind w:left="0" w:firstLine="0"/>
                    <w:jc w:val="center"/>
                    <w:rPr>
                      <w:color w:val="auto"/>
                      <w:sz w:val="21"/>
                      <w:szCs w:val="21"/>
                    </w:rPr>
                  </w:pPr>
                </w:p>
              </w:tc>
              <w:tc>
                <w:tcPr>
                  <w:tcW w:w="390" w:type="pct"/>
                  <w:vMerge w:val="continue"/>
                  <w:tcBorders>
                    <w:tl2br w:val="nil"/>
                    <w:tr2bl w:val="nil"/>
                  </w:tcBorders>
                  <w:vAlign w:val="center"/>
                </w:tcPr>
                <w:p w14:paraId="3E470ACA">
                  <w:pPr>
                    <w:pStyle w:val="7"/>
                    <w:spacing w:line="240" w:lineRule="auto"/>
                    <w:ind w:left="0" w:firstLine="0"/>
                    <w:jc w:val="center"/>
                    <w:rPr>
                      <w:color w:val="auto"/>
                      <w:sz w:val="21"/>
                      <w:szCs w:val="21"/>
                    </w:rPr>
                  </w:pPr>
                </w:p>
              </w:tc>
              <w:tc>
                <w:tcPr>
                  <w:tcW w:w="315" w:type="pct"/>
                  <w:tcBorders>
                    <w:tl2br w:val="nil"/>
                    <w:tr2bl w:val="nil"/>
                  </w:tcBorders>
                  <w:vAlign w:val="center"/>
                </w:tcPr>
                <w:p w14:paraId="27664A44">
                  <w:pPr>
                    <w:widowControl w:val="0"/>
                    <w:autoSpaceDE w:val="0"/>
                    <w:autoSpaceDN w:val="0"/>
                    <w:adjustRightInd w:val="0"/>
                    <w:spacing w:line="240" w:lineRule="auto"/>
                    <w:ind w:left="0" w:leftChars="0" w:firstLine="0" w:firstLineChars="0"/>
                    <w:jc w:val="center"/>
                    <w:textAlignment w:val="baseline"/>
                    <w:rPr>
                      <w:rFonts w:hint="default" w:eastAsia="宋体"/>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20</w:t>
                  </w:r>
                </w:p>
              </w:tc>
              <w:tc>
                <w:tcPr>
                  <w:tcW w:w="337" w:type="pct"/>
                  <w:vMerge w:val="continue"/>
                  <w:tcBorders>
                    <w:tl2br w:val="nil"/>
                    <w:tr2bl w:val="nil"/>
                  </w:tcBorders>
                  <w:vAlign w:val="center"/>
                </w:tcPr>
                <w:p w14:paraId="03C51994">
                  <w:pPr>
                    <w:pStyle w:val="7"/>
                    <w:spacing w:line="240" w:lineRule="auto"/>
                    <w:ind w:left="0" w:firstLine="0"/>
                    <w:jc w:val="center"/>
                    <w:rPr>
                      <w:color w:val="auto"/>
                      <w:sz w:val="21"/>
                      <w:szCs w:val="21"/>
                    </w:rPr>
                  </w:pPr>
                </w:p>
              </w:tc>
              <w:tc>
                <w:tcPr>
                  <w:tcW w:w="396" w:type="pct"/>
                  <w:vMerge w:val="continue"/>
                  <w:tcBorders>
                    <w:tl2br w:val="nil"/>
                    <w:tr2bl w:val="nil"/>
                  </w:tcBorders>
                  <w:vAlign w:val="center"/>
                </w:tcPr>
                <w:p w14:paraId="5554C2A1">
                  <w:pPr>
                    <w:pStyle w:val="7"/>
                    <w:spacing w:line="240" w:lineRule="auto"/>
                    <w:ind w:left="0" w:leftChars="0" w:firstLine="0" w:firstLineChars="0"/>
                    <w:jc w:val="center"/>
                    <w:rPr>
                      <w:color w:val="auto"/>
                      <w:sz w:val="21"/>
                      <w:szCs w:val="21"/>
                    </w:rPr>
                  </w:pPr>
                </w:p>
              </w:tc>
              <w:tc>
                <w:tcPr>
                  <w:tcW w:w="438" w:type="pct"/>
                  <w:tcBorders>
                    <w:tl2br w:val="nil"/>
                    <w:tr2bl w:val="nil"/>
                  </w:tcBorders>
                  <w:vAlign w:val="center"/>
                </w:tcPr>
                <w:p w14:paraId="40C9BB98">
                  <w:pPr>
                    <w:widowControl w:val="0"/>
                    <w:autoSpaceDE w:val="0"/>
                    <w:autoSpaceDN w:val="0"/>
                    <w:adjustRightInd w:val="0"/>
                    <w:spacing w:line="240" w:lineRule="auto"/>
                    <w:ind w:left="0" w:leftChars="0" w:firstLine="0" w:firstLineChars="0"/>
                    <w:jc w:val="center"/>
                    <w:textAlignment w:val="baseline"/>
                    <w:rPr>
                      <w:rFonts w:hint="default" w:eastAsia="宋体"/>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20</w:t>
                  </w:r>
                </w:p>
              </w:tc>
              <w:tc>
                <w:tcPr>
                  <w:tcW w:w="341" w:type="pct"/>
                  <w:tcBorders>
                    <w:tl2br w:val="nil"/>
                    <w:tr2bl w:val="nil"/>
                  </w:tcBorders>
                  <w:vAlign w:val="center"/>
                </w:tcPr>
                <w:p w14:paraId="7069026D">
                  <w:pPr>
                    <w:jc w:val="center"/>
                    <w:rPr>
                      <w:rFonts w:hint="default" w:eastAsia="宋体"/>
                      <w:color w:val="auto"/>
                      <w:sz w:val="21"/>
                      <w:szCs w:val="21"/>
                      <w:lang w:val="en-US" w:eastAsia="zh-CN"/>
                    </w:rPr>
                  </w:pPr>
                  <w:r>
                    <w:rPr>
                      <w:rFonts w:hint="eastAsia" w:ascii="Times New Roman" w:eastAsia="宋体"/>
                      <w:color w:val="auto"/>
                      <w:szCs w:val="21"/>
                      <w:lang w:val="en-US" w:eastAsia="zh-CN"/>
                    </w:rPr>
                    <w:t>0.</w:t>
                  </w:r>
                  <w:r>
                    <w:rPr>
                      <w:rFonts w:hint="eastAsia"/>
                      <w:color w:val="auto"/>
                      <w:szCs w:val="21"/>
                      <w:lang w:val="en-US" w:eastAsia="zh-CN"/>
                    </w:rPr>
                    <w:t>003</w:t>
                  </w:r>
                </w:p>
              </w:tc>
              <w:tc>
                <w:tcPr>
                  <w:tcW w:w="292" w:type="pct"/>
                  <w:vMerge w:val="continue"/>
                  <w:tcBorders>
                    <w:tl2br w:val="nil"/>
                    <w:tr2bl w:val="nil"/>
                  </w:tcBorders>
                  <w:vAlign w:val="center"/>
                </w:tcPr>
                <w:p w14:paraId="5A8D1028">
                  <w:pPr>
                    <w:pStyle w:val="7"/>
                    <w:spacing w:line="240" w:lineRule="auto"/>
                    <w:ind w:left="0" w:leftChars="0" w:firstLine="0" w:firstLineChars="0"/>
                    <w:jc w:val="center"/>
                    <w:rPr>
                      <w:rFonts w:hint="default" w:eastAsia="宋体"/>
                      <w:color w:val="auto"/>
                      <w:sz w:val="21"/>
                      <w:szCs w:val="21"/>
                      <w:lang w:val="en-US" w:eastAsia="zh-CN"/>
                    </w:rPr>
                  </w:pPr>
                </w:p>
              </w:tc>
            </w:tr>
          </w:tbl>
          <w:p w14:paraId="112BD273">
            <w:pPr>
              <w:pStyle w:val="27"/>
              <w:rPr>
                <w:color w:val="auto"/>
              </w:rPr>
            </w:pPr>
          </w:p>
        </w:tc>
      </w:tr>
    </w:tbl>
    <w:p w14:paraId="2C6FADEE">
      <w:pPr>
        <w:spacing w:line="360" w:lineRule="auto"/>
        <w:rPr>
          <w:color w:val="auto"/>
          <w:sz w:val="24"/>
        </w:rPr>
        <w:sectPr>
          <w:pgSz w:w="16840" w:h="11907" w:orient="landscape"/>
          <w:pgMar w:top="1531" w:right="1701" w:bottom="1531" w:left="2127" w:header="851" w:footer="851" w:gutter="0"/>
          <w:pgNumType w:fmt="decimal"/>
          <w:cols w:space="720" w:num="1"/>
          <w:docGrid w:linePitch="312" w:charSpace="0"/>
        </w:sectPr>
      </w:pPr>
    </w:p>
    <w:tbl>
      <w:tblPr>
        <w:tblStyle w:val="28"/>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7"/>
        <w:gridCol w:w="8554"/>
      </w:tblGrid>
      <w:tr w14:paraId="4DA18F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45" w:hRule="atLeast"/>
          <w:jc w:val="center"/>
        </w:trPr>
        <w:tc>
          <w:tcPr>
            <w:tcW w:w="427" w:type="dxa"/>
            <w:tcMar>
              <w:left w:w="28" w:type="dxa"/>
              <w:right w:w="28" w:type="dxa"/>
            </w:tcMar>
            <w:vAlign w:val="center"/>
          </w:tcPr>
          <w:p w14:paraId="74232779">
            <w:pPr>
              <w:pStyle w:val="24"/>
              <w:spacing w:before="0" w:beforeAutospacing="0" w:after="0" w:afterAutospacing="0"/>
              <w:jc w:val="center"/>
              <w:rPr>
                <w:rFonts w:ascii="Times New Roman" w:hAnsi="Times New Roman"/>
                <w:b/>
                <w:bCs/>
                <w:color w:val="auto"/>
                <w:sz w:val="21"/>
                <w:szCs w:val="21"/>
              </w:rPr>
            </w:pPr>
            <w:r>
              <w:rPr>
                <w:rFonts w:ascii="Times New Roman" w:hAnsi="Times New Roman"/>
                <w:b/>
                <w:bCs/>
                <w:color w:val="auto"/>
                <w:sz w:val="21"/>
                <w:szCs w:val="21"/>
              </w:rPr>
              <w:t>运营期</w:t>
            </w:r>
          </w:p>
          <w:p w14:paraId="1D1EFFC4">
            <w:pPr>
              <w:pStyle w:val="24"/>
              <w:spacing w:before="0" w:beforeAutospacing="0" w:after="0" w:afterAutospacing="0"/>
              <w:jc w:val="center"/>
              <w:rPr>
                <w:rFonts w:ascii="Times New Roman" w:hAnsi="Times New Roman"/>
                <w:b/>
                <w:bCs/>
                <w:color w:val="auto"/>
                <w:sz w:val="21"/>
                <w:szCs w:val="21"/>
              </w:rPr>
            </w:pPr>
            <w:r>
              <w:rPr>
                <w:rFonts w:ascii="Times New Roman" w:hAnsi="Times New Roman"/>
                <w:b/>
                <w:bCs/>
                <w:color w:val="auto"/>
                <w:sz w:val="21"/>
                <w:szCs w:val="21"/>
              </w:rPr>
              <w:t>环</w:t>
            </w:r>
          </w:p>
          <w:p w14:paraId="16AA1DC0">
            <w:pPr>
              <w:pStyle w:val="24"/>
              <w:spacing w:before="0" w:beforeAutospacing="0" w:after="0" w:afterAutospacing="0"/>
              <w:jc w:val="center"/>
              <w:rPr>
                <w:rFonts w:ascii="Times New Roman" w:hAnsi="Times New Roman"/>
                <w:b/>
                <w:bCs/>
                <w:color w:val="auto"/>
                <w:sz w:val="21"/>
                <w:szCs w:val="21"/>
              </w:rPr>
            </w:pPr>
            <w:r>
              <w:rPr>
                <w:rFonts w:ascii="Times New Roman" w:hAnsi="Times New Roman"/>
                <w:b/>
                <w:bCs/>
                <w:color w:val="auto"/>
                <w:sz w:val="21"/>
                <w:szCs w:val="21"/>
              </w:rPr>
              <w:t>境</w:t>
            </w:r>
          </w:p>
          <w:p w14:paraId="55A832C5">
            <w:pPr>
              <w:pStyle w:val="24"/>
              <w:spacing w:before="0" w:beforeAutospacing="0" w:after="0" w:afterAutospacing="0"/>
              <w:jc w:val="center"/>
              <w:rPr>
                <w:rFonts w:ascii="Times New Roman" w:hAnsi="Times New Roman"/>
                <w:b/>
                <w:bCs/>
                <w:color w:val="auto"/>
                <w:sz w:val="21"/>
                <w:szCs w:val="21"/>
              </w:rPr>
            </w:pPr>
            <w:r>
              <w:rPr>
                <w:rFonts w:ascii="Times New Roman" w:hAnsi="Times New Roman"/>
                <w:b/>
                <w:bCs/>
                <w:color w:val="auto"/>
                <w:sz w:val="21"/>
                <w:szCs w:val="21"/>
              </w:rPr>
              <w:t>保</w:t>
            </w:r>
          </w:p>
          <w:p w14:paraId="767C856F">
            <w:pPr>
              <w:pStyle w:val="24"/>
              <w:spacing w:before="0" w:beforeAutospacing="0" w:after="0" w:afterAutospacing="0"/>
              <w:jc w:val="center"/>
              <w:rPr>
                <w:rFonts w:ascii="Times New Roman" w:hAnsi="Times New Roman"/>
                <w:b/>
                <w:bCs/>
                <w:color w:val="auto"/>
                <w:sz w:val="21"/>
                <w:szCs w:val="21"/>
              </w:rPr>
            </w:pPr>
            <w:r>
              <w:rPr>
                <w:rFonts w:ascii="Times New Roman" w:hAnsi="Times New Roman"/>
                <w:b/>
                <w:bCs/>
                <w:color w:val="auto"/>
                <w:sz w:val="21"/>
                <w:szCs w:val="21"/>
              </w:rPr>
              <w:t>护</w:t>
            </w:r>
          </w:p>
          <w:p w14:paraId="3233B045">
            <w:pPr>
              <w:pStyle w:val="24"/>
              <w:spacing w:before="0" w:beforeAutospacing="0" w:after="0" w:afterAutospacing="0"/>
              <w:jc w:val="center"/>
              <w:rPr>
                <w:rFonts w:ascii="Times New Roman" w:hAnsi="Times New Roman"/>
                <w:b/>
                <w:bCs/>
                <w:color w:val="auto"/>
                <w:sz w:val="21"/>
                <w:szCs w:val="21"/>
              </w:rPr>
            </w:pPr>
            <w:r>
              <w:rPr>
                <w:rFonts w:ascii="Times New Roman" w:hAnsi="Times New Roman"/>
                <w:b/>
                <w:bCs/>
                <w:color w:val="auto"/>
                <w:sz w:val="21"/>
                <w:szCs w:val="21"/>
              </w:rPr>
              <w:t>措</w:t>
            </w:r>
          </w:p>
          <w:p w14:paraId="799DF3E8">
            <w:pPr>
              <w:adjustRightInd w:val="0"/>
              <w:snapToGrid w:val="0"/>
              <w:jc w:val="center"/>
              <w:rPr>
                <w:rFonts w:ascii="宋体" w:hAnsi="宋体" w:cs="宋体"/>
                <w:bCs/>
                <w:color w:val="auto"/>
                <w:szCs w:val="21"/>
              </w:rPr>
            </w:pPr>
            <w:r>
              <w:rPr>
                <w:b/>
                <w:bCs/>
                <w:color w:val="auto"/>
                <w:szCs w:val="21"/>
              </w:rPr>
              <w:t>施</w:t>
            </w:r>
          </w:p>
        </w:tc>
        <w:tc>
          <w:tcPr>
            <w:tcW w:w="8554" w:type="dxa"/>
            <w:vAlign w:val="center"/>
          </w:tcPr>
          <w:p w14:paraId="0A191456">
            <w:pPr>
              <w:spacing w:line="360" w:lineRule="auto"/>
              <w:ind w:firstLine="480"/>
              <w:rPr>
                <w:b/>
                <w:bCs/>
                <w:color w:val="auto"/>
                <w:sz w:val="24"/>
              </w:rPr>
            </w:pPr>
            <w:r>
              <w:rPr>
                <w:rFonts w:hint="eastAsia"/>
                <w:b/>
                <w:bCs/>
                <w:color w:val="auto"/>
                <w:sz w:val="24"/>
                <w:lang w:val="en-US" w:eastAsia="zh-CN"/>
              </w:rPr>
              <w:t>2、</w:t>
            </w:r>
            <w:r>
              <w:rPr>
                <w:b/>
                <w:bCs/>
                <w:color w:val="auto"/>
                <w:sz w:val="24"/>
              </w:rPr>
              <w:t>废水污染物源强核算过程</w:t>
            </w:r>
          </w:p>
          <w:p w14:paraId="1E7701E6">
            <w:pPr>
              <w:keepNext w:val="0"/>
              <w:keepLines w:val="0"/>
              <w:pageBreakBefore w:val="0"/>
              <w:widowControl w:val="0"/>
              <w:kinsoku/>
              <w:wordWrap/>
              <w:overflowPunct/>
              <w:topLinePunct w:val="0"/>
              <w:autoSpaceDE/>
              <w:autoSpaceDN/>
              <w:bidi w:val="0"/>
              <w:spacing w:line="360" w:lineRule="auto"/>
              <w:ind w:left="0" w:firstLine="480" w:firstLineChars="200"/>
              <w:textAlignment w:val="auto"/>
              <w:rPr>
                <w:color w:val="auto"/>
                <w:sz w:val="24"/>
              </w:rPr>
            </w:pPr>
            <w:r>
              <w:rPr>
                <w:color w:val="auto"/>
                <w:sz w:val="24"/>
              </w:rPr>
              <w:t>项目</w:t>
            </w:r>
            <w:r>
              <w:rPr>
                <w:rFonts w:hint="eastAsia"/>
                <w:color w:val="auto"/>
                <w:sz w:val="24"/>
              </w:rPr>
              <w:t>废水主要为生活污</w:t>
            </w:r>
            <w:r>
              <w:rPr>
                <w:rFonts w:hint="eastAsia"/>
                <w:color w:val="auto"/>
                <w:sz w:val="24"/>
                <w:lang w:val="en-US" w:eastAsia="zh-CN"/>
              </w:rPr>
              <w:t>水</w:t>
            </w:r>
            <w:r>
              <w:rPr>
                <w:rFonts w:hint="eastAsia"/>
                <w:color w:val="auto"/>
                <w:sz w:val="24"/>
              </w:rPr>
              <w:t>。</w:t>
            </w:r>
          </w:p>
          <w:p w14:paraId="2462D803">
            <w:pPr>
              <w:keepNext w:val="0"/>
              <w:keepLines w:val="0"/>
              <w:pageBreakBefore w:val="0"/>
              <w:widowControl w:val="0"/>
              <w:kinsoku/>
              <w:wordWrap/>
              <w:overflowPunct/>
              <w:topLinePunct w:val="0"/>
              <w:autoSpaceDE/>
              <w:autoSpaceDN/>
              <w:bidi w:val="0"/>
              <w:spacing w:line="360" w:lineRule="auto"/>
              <w:ind w:left="0" w:firstLine="480" w:firstLineChars="200"/>
              <w:textAlignment w:val="auto"/>
              <w:rPr>
                <w:color w:val="auto"/>
                <w:sz w:val="24"/>
              </w:rPr>
            </w:pPr>
            <w:r>
              <w:rPr>
                <w:color w:val="auto"/>
                <w:sz w:val="24"/>
                <w:highlight w:val="none"/>
              </w:rPr>
              <w:t>生活污水</w:t>
            </w:r>
            <w:r>
              <w:rPr>
                <w:color w:val="auto"/>
                <w:sz w:val="24"/>
              </w:rPr>
              <w:t>经化粪池预处理</w:t>
            </w:r>
            <w:r>
              <w:rPr>
                <w:rFonts w:hint="eastAsia"/>
                <w:color w:val="auto"/>
                <w:sz w:val="24"/>
              </w:rPr>
              <w:t>后用于周边</w:t>
            </w:r>
            <w:r>
              <w:rPr>
                <w:rFonts w:hint="eastAsia"/>
                <w:color w:val="auto"/>
                <w:sz w:val="24"/>
                <w:szCs w:val="24"/>
                <w:lang w:val="en-US" w:eastAsia="zh-CN"/>
              </w:rPr>
              <w:t>林地</w:t>
            </w:r>
            <w:r>
              <w:rPr>
                <w:rFonts w:hint="eastAsia"/>
                <w:color w:val="auto"/>
                <w:sz w:val="24"/>
                <w:lang w:val="en-US" w:eastAsia="zh-CN"/>
              </w:rPr>
              <w:t>施肥</w:t>
            </w:r>
            <w:r>
              <w:rPr>
                <w:rFonts w:hint="eastAsia"/>
                <w:color w:val="auto"/>
                <w:sz w:val="24"/>
              </w:rPr>
              <w:t>，不外排。</w:t>
            </w:r>
          </w:p>
          <w:p w14:paraId="0B40B3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ascii="Times New Roman" w:hAnsi="Times New Roman"/>
                <w:color w:val="auto"/>
                <w:sz w:val="24"/>
                <w:szCs w:val="24"/>
              </w:rPr>
            </w:pPr>
            <w:r>
              <w:rPr>
                <w:rFonts w:hint="default" w:ascii="Times New Roman" w:hAnsi="Times New Roman" w:cs="Times New Roman"/>
                <w:color w:val="auto"/>
                <w:sz w:val="24"/>
                <w:highlight w:val="none"/>
              </w:rPr>
              <w:t>项目劳动定员为</w:t>
            </w:r>
            <w:r>
              <w:rPr>
                <w:rFonts w:hint="default" w:ascii="Times New Roman" w:hAnsi="Times New Roman" w:cs="Times New Roman"/>
                <w:color w:val="auto"/>
                <w:sz w:val="24"/>
                <w:highlight w:val="none"/>
                <w:lang w:val="en-US" w:eastAsia="zh-CN"/>
              </w:rPr>
              <w:t>1</w:t>
            </w:r>
            <w:r>
              <w:rPr>
                <w:rFonts w:hint="eastAsia" w:cs="Times New Roman"/>
                <w:color w:val="auto"/>
                <w:sz w:val="24"/>
                <w:highlight w:val="none"/>
                <w:lang w:val="en-US" w:eastAsia="zh-CN"/>
              </w:rPr>
              <w:t>3</w:t>
            </w:r>
            <w:r>
              <w:rPr>
                <w:rFonts w:hint="default" w:ascii="Times New Roman" w:hAnsi="Times New Roman" w:cs="Times New Roman"/>
                <w:color w:val="auto"/>
                <w:sz w:val="24"/>
                <w:highlight w:val="none"/>
              </w:rPr>
              <w:t>人，项目年工</w:t>
            </w:r>
            <w:r>
              <w:rPr>
                <w:rFonts w:hint="default" w:ascii="Times New Roman" w:hAnsi="Times New Roman" w:cs="Times New Roman"/>
                <w:color w:val="auto"/>
                <w:sz w:val="24"/>
                <w:szCs w:val="24"/>
                <w:lang w:val="en-US" w:eastAsia="zh-CN"/>
              </w:rPr>
              <w:t>作3</w:t>
            </w:r>
            <w:r>
              <w:rPr>
                <w:rFonts w:hint="eastAsia" w:cs="Times New Roman"/>
                <w:color w:val="auto"/>
                <w:sz w:val="24"/>
                <w:szCs w:val="24"/>
                <w:lang w:val="en-US" w:eastAsia="zh-CN"/>
              </w:rPr>
              <w:t>1</w:t>
            </w:r>
            <w:r>
              <w:rPr>
                <w:rFonts w:hint="default" w:ascii="Times New Roman" w:hAnsi="Times New Roman" w:cs="Times New Roman"/>
                <w:color w:val="auto"/>
                <w:sz w:val="24"/>
                <w:szCs w:val="24"/>
                <w:lang w:val="en-US" w:eastAsia="zh-CN"/>
              </w:rPr>
              <w:t>0天</w:t>
            </w:r>
            <w:r>
              <w:rPr>
                <w:rFonts w:hint="eastAsia" w:cs="Times New Roman"/>
                <w:color w:val="auto"/>
                <w:sz w:val="24"/>
                <w:szCs w:val="24"/>
                <w:lang w:val="en-US" w:eastAsia="zh-CN"/>
              </w:rPr>
              <w:t>，</w:t>
            </w:r>
            <w:r>
              <w:rPr>
                <w:rFonts w:hint="eastAsia" w:cs="Times New Roman"/>
                <w:color w:val="auto"/>
                <w:sz w:val="24"/>
                <w:highlight w:val="none"/>
                <w:lang w:val="en-US" w:eastAsia="zh-CN"/>
              </w:rPr>
              <w:t>一班制</w:t>
            </w:r>
            <w:r>
              <w:rPr>
                <w:rFonts w:hint="default" w:ascii="Times New Roman" w:hAnsi="Times New Roman" w:cs="Times New Roman"/>
                <w:color w:val="auto"/>
                <w:sz w:val="24"/>
                <w:szCs w:val="24"/>
                <w:lang w:val="en-US" w:eastAsia="zh-CN"/>
              </w:rPr>
              <w:t>，厂内无住宿。参照</w:t>
            </w:r>
            <w:r>
              <w:rPr>
                <w:rFonts w:hint="eastAsia" w:cs="Times New Roman"/>
                <w:color w:val="auto"/>
                <w:sz w:val="24"/>
                <w:szCs w:val="24"/>
                <w:lang w:val="en-US" w:eastAsia="zh-CN"/>
              </w:rPr>
              <w:t>《</w:t>
            </w:r>
            <w:r>
              <w:rPr>
                <w:rFonts w:hint="default" w:ascii="Times New Roman" w:hAnsi="Times New Roman" w:cs="Times New Roman"/>
                <w:color w:val="auto"/>
                <w:sz w:val="24"/>
                <w:szCs w:val="24"/>
                <w:lang w:val="en-US" w:eastAsia="zh-CN"/>
              </w:rPr>
              <w:t>建筑给水排水设计标准</w:t>
            </w:r>
            <w:r>
              <w:rPr>
                <w:rFonts w:hint="eastAsia" w:cs="Times New Roman"/>
                <w:color w:val="auto"/>
                <w:sz w:val="24"/>
                <w:szCs w:val="24"/>
                <w:lang w:val="en-US" w:eastAsia="zh-CN"/>
              </w:rPr>
              <w:t>》</w:t>
            </w:r>
            <w:r>
              <w:rPr>
                <w:rFonts w:hint="default" w:ascii="Times New Roman" w:hAnsi="Times New Roman" w:cs="Times New Roman"/>
                <w:color w:val="auto"/>
                <w:sz w:val="24"/>
                <w:szCs w:val="24"/>
                <w:lang w:val="en-US" w:eastAsia="zh-CN"/>
              </w:rPr>
              <w:t>GB50015-2019</w:t>
            </w:r>
            <w:r>
              <w:rPr>
                <w:rFonts w:hint="eastAsia" w:cs="Times New Roman"/>
                <w:color w:val="auto"/>
                <w:sz w:val="24"/>
                <w:szCs w:val="24"/>
                <w:lang w:val="en-US" w:eastAsia="zh-CN"/>
              </w:rPr>
              <w:t>表3.2.2中办公用水定额，每人每班最高用水量为30~50L/天（本项目员工每日用水量按最大50L计）。</w:t>
            </w:r>
            <w:r>
              <w:rPr>
                <w:rFonts w:hint="default" w:ascii="Times New Roman" w:hAnsi="Times New Roman" w:cs="Times New Roman"/>
                <w:color w:val="auto"/>
                <w:sz w:val="24"/>
                <w:highlight w:val="none"/>
              </w:rPr>
              <w:t>故项目生活用水量为</w:t>
            </w:r>
            <w:r>
              <w:rPr>
                <w:rFonts w:hint="eastAsia" w:cs="Times New Roman"/>
                <w:color w:val="auto"/>
                <w:sz w:val="24"/>
                <w:highlight w:val="none"/>
                <w:lang w:val="en-US" w:eastAsia="zh-CN"/>
              </w:rPr>
              <w:t>201.5</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cs="Times New Roman"/>
                <w:color w:val="auto"/>
                <w:sz w:val="24"/>
                <w:highlight w:val="none"/>
                <w:lang w:val="en-US" w:eastAsia="zh-CN"/>
              </w:rPr>
              <w:t>0.65</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/d），排污系数按0.8计，则生活污水排放量为</w:t>
            </w:r>
            <w:r>
              <w:rPr>
                <w:rFonts w:hint="eastAsia" w:cs="Times New Roman"/>
                <w:color w:val="auto"/>
                <w:sz w:val="24"/>
                <w:highlight w:val="none"/>
                <w:lang w:val="en-US" w:eastAsia="zh-CN"/>
              </w:rPr>
              <w:t>161.2</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ascii="Times New Roman" w:hAnsi="Times New Roman" w:cs="Times New Roman"/>
                <w:color w:val="auto"/>
                <w:sz w:val="24"/>
                <w:highlight w:val="none"/>
                <w:lang w:val="en-US" w:eastAsia="zh-CN"/>
              </w:rPr>
              <w:t>0.</w:t>
            </w:r>
            <w:r>
              <w:rPr>
                <w:rFonts w:hint="eastAsia" w:cs="Times New Roman"/>
                <w:color w:val="auto"/>
                <w:sz w:val="24"/>
                <w:highlight w:val="none"/>
                <w:lang w:val="en-US" w:eastAsia="zh-CN"/>
              </w:rPr>
              <w:t>52</w:t>
            </w:r>
            <w:r>
              <w:rPr>
                <w:rFonts w:hint="default" w:ascii="Times New Roman" w:hAnsi="Times New Roman" w:cs="Times New Roman"/>
                <w:color w:val="auto"/>
                <w:sz w:val="24"/>
                <w:highlight w:val="none"/>
                <w:lang w:val="en-US" w:eastAsia="zh-CN"/>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/d）。</w:t>
            </w:r>
            <w:r>
              <w:rPr>
                <w:rFonts w:ascii="Times New Roman" w:hAnsi="Times New Roman"/>
                <w:color w:val="auto"/>
                <w:sz w:val="24"/>
                <w:szCs w:val="24"/>
              </w:rPr>
              <w:t>生活污水水质参考环境保护部环境工程评估中心编制的《社会区域类环境影响评价》（第三版），生活污水的产生浓度COD</w:t>
            </w:r>
            <w:r>
              <w:rPr>
                <w:rFonts w:ascii="Times New Roman" w:hAnsi="Times New Roman"/>
                <w:color w:val="auto"/>
                <w:sz w:val="24"/>
                <w:szCs w:val="24"/>
                <w:vertAlign w:val="subscript"/>
              </w:rPr>
              <w:t>Cr</w:t>
            </w:r>
            <w:r>
              <w:rPr>
                <w:rFonts w:ascii="Times New Roman" w:hAnsi="Times New Roman"/>
                <w:color w:val="auto"/>
                <w:sz w:val="24"/>
                <w:szCs w:val="24"/>
              </w:rPr>
              <w:t>为250mg/L、BOD</w:t>
            </w:r>
            <w:r>
              <w:rPr>
                <w:rFonts w:ascii="Times New Roman" w:hAnsi="Times New Roman"/>
                <w:color w:val="auto"/>
                <w:sz w:val="24"/>
                <w:szCs w:val="24"/>
                <w:vertAlign w:val="subscript"/>
              </w:rPr>
              <w:t>5</w:t>
            </w:r>
            <w:r>
              <w:rPr>
                <w:rFonts w:ascii="Times New Roman" w:hAnsi="Times New Roman"/>
                <w:color w:val="auto"/>
                <w:sz w:val="24"/>
                <w:szCs w:val="24"/>
              </w:rPr>
              <w:t>为150mg/L、SS为150mg/L、NH</w:t>
            </w:r>
            <w:r>
              <w:rPr>
                <w:rFonts w:ascii="Times New Roman" w:hAnsi="Times New Roman"/>
                <w:color w:val="auto"/>
                <w:sz w:val="24"/>
                <w:szCs w:val="24"/>
                <w:vertAlign w:val="subscript"/>
              </w:rPr>
              <w:t>3</w:t>
            </w:r>
            <w:r>
              <w:rPr>
                <w:rFonts w:ascii="Times New Roman" w:hAnsi="Times New Roman"/>
                <w:color w:val="auto"/>
                <w:sz w:val="24"/>
                <w:szCs w:val="24"/>
              </w:rPr>
              <w:t>-N为30mg/L</w:t>
            </w:r>
            <w:r>
              <w:rPr>
                <w:rFonts w:hint="eastAsia"/>
                <w:color w:val="auto"/>
                <w:sz w:val="24"/>
                <w:szCs w:val="24"/>
                <w:lang w:eastAsia="zh-CN"/>
              </w:rPr>
              <w:t>、</w:t>
            </w:r>
            <w:r>
              <w:rPr>
                <w:rFonts w:hint="eastAsia" w:ascii="Times New Roman" w:hAnsi="Times New Roman"/>
                <w:color w:val="auto"/>
                <w:sz w:val="24"/>
                <w:szCs w:val="24"/>
              </w:rPr>
              <w:t>TP为</w:t>
            </w:r>
            <w:r>
              <w:rPr>
                <w:rFonts w:hint="eastAsia"/>
                <w:color w:val="auto"/>
                <w:sz w:val="24"/>
                <w:szCs w:val="24"/>
                <w:lang w:val="en-US" w:eastAsia="zh-CN"/>
              </w:rPr>
              <w:t>6</w:t>
            </w:r>
            <w:r>
              <w:rPr>
                <w:rFonts w:ascii="Times New Roman" w:hAnsi="Times New Roman"/>
                <w:color w:val="auto"/>
                <w:sz w:val="24"/>
                <w:szCs w:val="24"/>
              </w:rPr>
              <w:t>mg/L</w:t>
            </w:r>
            <w:r>
              <w:rPr>
                <w:rFonts w:hint="eastAsia" w:ascii="Times New Roman" w:hAnsi="Times New Roman"/>
                <w:color w:val="auto"/>
                <w:sz w:val="24"/>
                <w:szCs w:val="24"/>
              </w:rPr>
              <w:t>、动植物油为25</w:t>
            </w:r>
            <w:r>
              <w:rPr>
                <w:rFonts w:ascii="Times New Roman" w:hAnsi="Times New Roman"/>
                <w:color w:val="auto"/>
                <w:sz w:val="24"/>
                <w:szCs w:val="24"/>
              </w:rPr>
              <w:t>mg/L。本项目生活污水产排情况见表4-</w:t>
            </w:r>
            <w:r>
              <w:rPr>
                <w:rFonts w:hint="eastAsia"/>
                <w:color w:val="auto"/>
                <w:sz w:val="24"/>
                <w:szCs w:val="24"/>
                <w:lang w:val="en-US" w:eastAsia="zh-CN"/>
              </w:rPr>
              <w:t>11</w:t>
            </w:r>
            <w:r>
              <w:rPr>
                <w:rFonts w:ascii="Times New Roman" w:hAnsi="Times New Roman"/>
                <w:color w:val="auto"/>
                <w:sz w:val="24"/>
                <w:szCs w:val="24"/>
              </w:rPr>
              <w:t>。</w:t>
            </w:r>
          </w:p>
          <w:p w14:paraId="457AED49">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b/>
                <w:bCs/>
                <w:color w:val="auto"/>
                <w:sz w:val="24"/>
              </w:rPr>
            </w:pPr>
            <w:r>
              <w:rPr>
                <w:rFonts w:hint="eastAsia"/>
                <w:b/>
                <w:bCs/>
                <w:color w:val="auto"/>
                <w:sz w:val="24"/>
                <w:lang w:val="en-US" w:eastAsia="zh-CN"/>
              </w:rPr>
              <w:t>3、</w:t>
            </w:r>
            <w:r>
              <w:rPr>
                <w:b/>
                <w:bCs/>
                <w:color w:val="auto"/>
                <w:sz w:val="24"/>
              </w:rPr>
              <w:t>废水治理设施技术可行性分析</w:t>
            </w:r>
          </w:p>
          <w:p w14:paraId="410CED84">
            <w:pPr>
              <w:spacing w:line="360" w:lineRule="auto"/>
              <w:ind w:firstLine="480" w:firstLineChars="200"/>
              <w:rPr>
                <w:rFonts w:hint="default" w:eastAsia="宋体"/>
                <w:color w:val="auto"/>
                <w:sz w:val="24"/>
                <w:lang w:val="en-US" w:eastAsia="zh-CN"/>
              </w:rPr>
            </w:pPr>
            <w:r>
              <w:rPr>
                <w:color w:val="auto"/>
                <w:sz w:val="24"/>
                <w:szCs w:val="24"/>
                <w:lang w:bidi="en-US"/>
              </w:rPr>
              <w:t>本</w:t>
            </w:r>
            <w:r>
              <w:rPr>
                <w:color w:val="auto"/>
                <w:sz w:val="24"/>
                <w:szCs w:val="24"/>
              </w:rPr>
              <w:t>项目</w:t>
            </w:r>
            <w:r>
              <w:rPr>
                <w:rFonts w:hint="eastAsia"/>
                <w:color w:val="auto"/>
                <w:sz w:val="24"/>
              </w:rPr>
              <w:t>生活污水</w:t>
            </w:r>
            <w:r>
              <w:rPr>
                <w:color w:val="auto"/>
                <w:sz w:val="24"/>
              </w:rPr>
              <w:t>经化粪池预处理</w:t>
            </w:r>
            <w:r>
              <w:rPr>
                <w:rFonts w:hint="eastAsia"/>
                <w:color w:val="auto"/>
                <w:sz w:val="24"/>
              </w:rPr>
              <w:t>后用于周边</w:t>
            </w:r>
            <w:r>
              <w:rPr>
                <w:rFonts w:hint="eastAsia"/>
                <w:color w:val="auto"/>
                <w:sz w:val="24"/>
                <w:szCs w:val="24"/>
                <w:lang w:val="en-US" w:eastAsia="zh-CN"/>
              </w:rPr>
              <w:t>林地</w:t>
            </w:r>
            <w:r>
              <w:rPr>
                <w:rFonts w:hint="eastAsia"/>
                <w:color w:val="auto"/>
                <w:sz w:val="24"/>
                <w:lang w:val="en-US" w:eastAsia="zh-CN"/>
              </w:rPr>
              <w:t>施肥</w:t>
            </w:r>
            <w:r>
              <w:rPr>
                <w:rFonts w:hint="eastAsia"/>
                <w:color w:val="auto"/>
                <w:sz w:val="24"/>
              </w:rPr>
              <w:t>，不外排</w:t>
            </w:r>
            <w:r>
              <w:rPr>
                <w:rFonts w:hint="eastAsia"/>
                <w:color w:val="auto"/>
                <w:sz w:val="24"/>
                <w:lang w:val="en-US" w:eastAsia="zh-CN"/>
              </w:rPr>
              <w:t>。</w:t>
            </w:r>
          </w:p>
          <w:p w14:paraId="6F1F858B">
            <w:pPr>
              <w:autoSpaceDE w:val="0"/>
              <w:autoSpaceDN w:val="0"/>
              <w:adjustRightInd w:val="0"/>
              <w:spacing w:line="360" w:lineRule="auto"/>
              <w:ind w:firstLine="480" w:firstLineChars="200"/>
              <w:jc w:val="left"/>
              <w:rPr>
                <w:rFonts w:hint="eastAsia"/>
                <w:color w:val="auto"/>
                <w:spacing w:val="6"/>
                <w:sz w:val="24"/>
                <w:szCs w:val="24"/>
                <w:lang w:eastAsia="zh-CN"/>
              </w:rPr>
            </w:pPr>
            <w:r>
              <w:rPr>
                <w:color w:val="auto"/>
                <w:sz w:val="24"/>
              </w:rPr>
              <w:t>根据《排污许可证申请与核发技术规范</w:t>
            </w:r>
            <w:r>
              <w:rPr>
                <w:rFonts w:hint="eastAsia"/>
                <w:color w:val="auto"/>
                <w:sz w:val="24"/>
                <w:lang w:val="en-US" w:eastAsia="zh-CN"/>
              </w:rPr>
              <w:t xml:space="preserve"> </w:t>
            </w:r>
            <w:r>
              <w:rPr>
                <w:color w:val="auto"/>
                <w:sz w:val="24"/>
              </w:rPr>
              <w:t>总则》（HJ942-2018）中4.5.3.1，生活污水防治工艺</w:t>
            </w:r>
            <w:r>
              <w:rPr>
                <w:rFonts w:hint="eastAsia"/>
                <w:color w:val="auto"/>
                <w:sz w:val="24"/>
                <w:lang w:val="en-US" w:eastAsia="zh-CN"/>
              </w:rPr>
              <w:t>主要</w:t>
            </w:r>
            <w:r>
              <w:rPr>
                <w:color w:val="auto"/>
                <w:sz w:val="24"/>
              </w:rPr>
              <w:t>为</w:t>
            </w:r>
            <w:r>
              <w:rPr>
                <w:rFonts w:hint="eastAsia"/>
                <w:color w:val="auto"/>
                <w:sz w:val="24"/>
              </w:rPr>
              <w:t>“</w:t>
            </w:r>
            <w:r>
              <w:rPr>
                <w:color w:val="auto"/>
                <w:sz w:val="24"/>
              </w:rPr>
              <w:t>过滤、沉淀</w:t>
            </w:r>
            <w:r>
              <w:rPr>
                <w:rFonts w:hint="eastAsia"/>
                <w:color w:val="auto"/>
                <w:sz w:val="24"/>
                <w:lang w:eastAsia="zh-CN"/>
              </w:rPr>
              <w:t>、</w:t>
            </w:r>
            <w:r>
              <w:rPr>
                <w:color w:val="auto"/>
                <w:sz w:val="24"/>
              </w:rPr>
              <w:t>活性污泥法、生物接触氧化、其他</w:t>
            </w:r>
            <w:r>
              <w:rPr>
                <w:rFonts w:hint="eastAsia"/>
                <w:color w:val="auto"/>
                <w:sz w:val="24"/>
              </w:rPr>
              <w:t>”</w:t>
            </w:r>
            <w:r>
              <w:rPr>
                <w:rFonts w:hint="eastAsia"/>
                <w:color w:val="auto"/>
                <w:sz w:val="24"/>
                <w:lang w:eastAsia="zh-CN"/>
              </w:rPr>
              <w:t>。</w:t>
            </w:r>
            <w:r>
              <w:rPr>
                <w:color w:val="auto"/>
                <w:sz w:val="24"/>
                <w:szCs w:val="24"/>
              </w:rPr>
              <w:t>化粪池是一种利用沉淀和厌氧发酵的原理，去除生活污水中悬浮性有机物的处理设施，</w:t>
            </w:r>
            <w:r>
              <w:rPr>
                <w:rFonts w:hint="eastAsia"/>
                <w:color w:val="auto"/>
                <w:sz w:val="24"/>
                <w:lang w:val="en-US" w:eastAsia="zh-CN"/>
              </w:rPr>
              <w:t>属于</w:t>
            </w:r>
            <w:r>
              <w:rPr>
                <w:color w:val="auto"/>
                <w:sz w:val="24"/>
              </w:rPr>
              <w:t>排污许可证申请与核发技术规范总则》（HJ942-2018）中</w:t>
            </w:r>
            <w:r>
              <w:rPr>
                <w:rFonts w:hint="eastAsia"/>
                <w:color w:val="auto"/>
                <w:sz w:val="24"/>
                <w:lang w:eastAsia="zh-CN"/>
              </w:rPr>
              <w:t>“</w:t>
            </w:r>
            <w:r>
              <w:rPr>
                <w:rFonts w:hint="eastAsia"/>
                <w:color w:val="auto"/>
                <w:sz w:val="24"/>
                <w:lang w:val="en-US" w:eastAsia="zh-CN"/>
              </w:rPr>
              <w:t>沉淀、其它”类工艺。</w:t>
            </w:r>
          </w:p>
          <w:p w14:paraId="5C5006D1">
            <w:pPr>
              <w:pStyle w:val="7"/>
              <w:keepNext w:val="0"/>
              <w:keepLines w:val="0"/>
              <w:pageBreakBefore w:val="0"/>
              <w:widowControl w:val="0"/>
              <w:kinsoku/>
              <w:wordWrap/>
              <w:overflowPunct/>
              <w:topLinePunct w:val="0"/>
              <w:autoSpaceDE w:val="0"/>
              <w:autoSpaceDN w:val="0"/>
              <w:bidi w:val="0"/>
              <w:adjustRightInd w:val="0"/>
              <w:snapToGrid/>
              <w:spacing w:line="360" w:lineRule="auto"/>
              <w:ind w:left="0" w:firstLine="480" w:firstLineChars="200"/>
              <w:jc w:val="both"/>
              <w:textAlignment w:val="baseline"/>
              <w:rPr>
                <w:rFonts w:hint="default" w:eastAsia="宋体"/>
                <w:b w:val="0"/>
                <w:bCs w:val="0"/>
                <w:color w:val="auto"/>
                <w:vertAlign w:val="baseline"/>
                <w:lang w:val="en-US" w:eastAsia="zh-CN"/>
              </w:rPr>
            </w:pPr>
            <w:r>
              <w:rPr>
                <w:rFonts w:hint="eastAsia"/>
                <w:b w:val="0"/>
                <w:bCs w:val="0"/>
                <w:color w:val="auto"/>
                <w:sz w:val="24"/>
                <w:lang w:val="en-US" w:eastAsia="zh-CN"/>
              </w:rPr>
              <w:t>根据工程分析，项目生活污水年产生量为201.5</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cs="Times New Roman"/>
                <w:color w:val="auto"/>
                <w:sz w:val="24"/>
                <w:highlight w:val="none"/>
                <w:lang w:val="en-US" w:eastAsia="zh-CN"/>
              </w:rPr>
              <w:t>0.65</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/d）</w:t>
            </w:r>
            <w:r>
              <w:rPr>
                <w:rFonts w:hint="eastAsia"/>
                <w:b w:val="0"/>
                <w:bCs w:val="0"/>
                <w:color w:val="auto"/>
                <w:sz w:val="24"/>
                <w:lang w:val="en-US" w:eastAsia="zh-CN"/>
              </w:rPr>
              <w:t>，项目设置一座面积为10m</w:t>
            </w:r>
            <w:r>
              <w:rPr>
                <w:rFonts w:hint="eastAsia"/>
                <w:b w:val="0"/>
                <w:bCs w:val="0"/>
                <w:color w:val="auto"/>
                <w:sz w:val="24"/>
                <w:vertAlign w:val="superscript"/>
                <w:lang w:val="en-US" w:eastAsia="zh-CN"/>
              </w:rPr>
              <w:t>2</w:t>
            </w:r>
            <w:r>
              <w:rPr>
                <w:rFonts w:hint="eastAsia"/>
                <w:b w:val="0"/>
                <w:bCs w:val="0"/>
                <w:color w:val="auto"/>
                <w:sz w:val="24"/>
                <w:vertAlign w:val="baseline"/>
                <w:lang w:val="en-US" w:eastAsia="zh-CN"/>
              </w:rPr>
              <w:t>，容积为3</w:t>
            </w:r>
            <w:r>
              <w:rPr>
                <w:rFonts w:hint="eastAsia"/>
                <w:b w:val="0"/>
                <w:bCs w:val="0"/>
                <w:color w:val="auto"/>
                <w:sz w:val="24"/>
                <w:lang w:val="en-US" w:eastAsia="zh-CN"/>
              </w:rPr>
              <w:t>0m</w:t>
            </w:r>
            <w:r>
              <w:rPr>
                <w:rFonts w:hint="eastAsia"/>
                <w:b w:val="0"/>
                <w:bCs w:val="0"/>
                <w:color w:val="auto"/>
                <w:sz w:val="24"/>
                <w:vertAlign w:val="superscript"/>
                <w:lang w:val="en-US" w:eastAsia="zh-CN"/>
              </w:rPr>
              <w:t>2</w:t>
            </w:r>
            <w:r>
              <w:rPr>
                <w:rFonts w:hint="eastAsia"/>
                <w:b w:val="0"/>
                <w:bCs w:val="0"/>
                <w:color w:val="auto"/>
                <w:sz w:val="24"/>
                <w:vertAlign w:val="baseline"/>
                <w:lang w:val="en-US" w:eastAsia="zh-CN"/>
              </w:rPr>
              <w:t>、处理能力为15m</w:t>
            </w:r>
            <w:r>
              <w:rPr>
                <w:rFonts w:hint="eastAsia"/>
                <w:b w:val="0"/>
                <w:bCs w:val="0"/>
                <w:color w:val="auto"/>
                <w:sz w:val="24"/>
                <w:vertAlign w:val="superscript"/>
                <w:lang w:val="en-US" w:eastAsia="zh-CN"/>
              </w:rPr>
              <w:t>3</w:t>
            </w:r>
            <w:r>
              <w:rPr>
                <w:rFonts w:hint="eastAsia"/>
                <w:b w:val="0"/>
                <w:bCs w:val="0"/>
                <w:color w:val="auto"/>
                <w:sz w:val="24"/>
                <w:vertAlign w:val="baseline"/>
                <w:lang w:val="en-US" w:eastAsia="zh-CN"/>
              </w:rPr>
              <w:t>/d的化粪池，雨季生活污水储存于化粪池内不用于施肥，高安市年平均降雨时长为132天，平均每3天降一次雨，因此项目化粪池可以满足日常处理需求、雨季雨水储存需求；根据表4-11分析，项目生活污水经化粪池预处理后浓度下降，不会对周边环境造成影响，</w:t>
            </w:r>
            <w:r>
              <w:rPr>
                <w:rFonts w:hint="eastAsia"/>
                <w:b w:val="0"/>
                <w:bCs w:val="0"/>
                <w:color w:val="auto"/>
                <w:sz w:val="24"/>
                <w:highlight w:val="none"/>
                <w:vertAlign w:val="baseline"/>
                <w:lang w:val="en-US" w:eastAsia="zh-CN"/>
              </w:rPr>
              <w:t>项目已取得了高安市蓝坊镇漆溪村民委员会的施肥许可，故项目生活污水经化粪池预处理后可用于高安市蓝坊镇漆溪村</w:t>
            </w:r>
            <w:r>
              <w:rPr>
                <w:rFonts w:hint="eastAsia"/>
                <w:color w:val="auto"/>
                <w:sz w:val="24"/>
                <w:szCs w:val="24"/>
                <w:lang w:val="en-US" w:eastAsia="zh-CN"/>
              </w:rPr>
              <w:t>林地</w:t>
            </w:r>
            <w:r>
              <w:rPr>
                <w:rFonts w:hint="eastAsia"/>
                <w:b w:val="0"/>
                <w:bCs w:val="0"/>
                <w:color w:val="auto"/>
                <w:sz w:val="24"/>
                <w:highlight w:val="none"/>
                <w:vertAlign w:val="baseline"/>
                <w:lang w:val="en-US" w:eastAsia="zh-CN"/>
              </w:rPr>
              <w:t>施肥是可行的。</w:t>
            </w:r>
          </w:p>
          <w:p w14:paraId="461E3930">
            <w:pPr>
              <w:widowControl/>
              <w:spacing w:line="360" w:lineRule="auto"/>
              <w:ind w:firstLine="480" w:firstLineChars="200"/>
              <w:rPr>
                <w:rFonts w:hint="eastAsia" w:eastAsia="宋体"/>
                <w:color w:val="FF0000"/>
                <w:lang w:val="en-US" w:eastAsia="zh-CN"/>
              </w:rPr>
            </w:pPr>
            <w:r>
              <w:rPr>
                <w:color w:val="FF0000"/>
                <w:sz w:val="24"/>
                <w:lang w:bidi="en-US"/>
              </w:rPr>
              <w:t>本</w:t>
            </w:r>
            <w:r>
              <w:rPr>
                <w:color w:val="FF0000"/>
                <w:sz w:val="24"/>
              </w:rPr>
              <w:t>项目生活污水</w:t>
            </w:r>
            <w:r>
              <w:rPr>
                <w:color w:val="FF0000"/>
                <w:kern w:val="0"/>
                <w:sz w:val="24"/>
                <w:lang w:bidi="ar"/>
              </w:rPr>
              <w:t>类同农村生活污水，近几年国家出台了一系列农村生活污染的防治政策，均是鼓励农村生活污水及性质相近废水在经初步处理后肥分利用，以促进农村氮磷循环平衡。因此本项目废水在</w:t>
            </w:r>
            <w:r>
              <w:rPr>
                <w:rFonts w:hint="eastAsia"/>
                <w:color w:val="FF0000"/>
                <w:kern w:val="0"/>
                <w:sz w:val="24"/>
                <w:lang w:val="en-US" w:eastAsia="zh-CN" w:bidi="ar"/>
              </w:rPr>
              <w:t>预</w:t>
            </w:r>
            <w:r>
              <w:rPr>
                <w:color w:val="FF0000"/>
                <w:kern w:val="0"/>
                <w:sz w:val="24"/>
                <w:lang w:bidi="ar"/>
              </w:rPr>
              <w:t>处理</w:t>
            </w:r>
            <w:r>
              <w:rPr>
                <w:rFonts w:hint="eastAsia"/>
                <w:color w:val="FF0000"/>
                <w:kern w:val="0"/>
                <w:sz w:val="24"/>
                <w:lang w:val="en-US" w:eastAsia="zh-CN" w:bidi="ar"/>
              </w:rPr>
              <w:t>后</w:t>
            </w:r>
            <w:r>
              <w:rPr>
                <w:color w:val="FF0000"/>
                <w:kern w:val="0"/>
                <w:sz w:val="24"/>
                <w:lang w:bidi="ar"/>
              </w:rPr>
              <w:t>进行</w:t>
            </w:r>
            <w:r>
              <w:rPr>
                <w:color w:val="FF0000"/>
                <w:sz w:val="24"/>
              </w:rPr>
              <w:t>周边</w:t>
            </w:r>
            <w:r>
              <w:rPr>
                <w:rFonts w:hint="eastAsia"/>
                <w:color w:val="FF0000"/>
                <w:sz w:val="24"/>
                <w:szCs w:val="24"/>
                <w:lang w:val="en-US" w:eastAsia="zh-CN"/>
              </w:rPr>
              <w:t>林地</w:t>
            </w:r>
            <w:r>
              <w:rPr>
                <w:color w:val="FF0000"/>
                <w:kern w:val="0"/>
                <w:sz w:val="24"/>
                <w:lang w:bidi="ar"/>
              </w:rPr>
              <w:t>利用，符合国家的政策。项目</w:t>
            </w:r>
            <w:r>
              <w:rPr>
                <w:color w:val="FF0000"/>
                <w:sz w:val="24"/>
              </w:rPr>
              <w:t>周边</w:t>
            </w:r>
            <w:r>
              <w:rPr>
                <w:rFonts w:hint="eastAsia"/>
                <w:color w:val="FF0000"/>
                <w:sz w:val="24"/>
                <w:lang w:val="en-US" w:eastAsia="zh-CN"/>
              </w:rPr>
              <w:t>林地可用于消纳污水的</w:t>
            </w:r>
            <w:r>
              <w:rPr>
                <w:color w:val="FF0000"/>
                <w:sz w:val="24"/>
              </w:rPr>
              <w:t>面积</w:t>
            </w:r>
            <w:r>
              <w:rPr>
                <w:rFonts w:hint="eastAsia"/>
                <w:color w:val="FF0000"/>
                <w:sz w:val="24"/>
                <w:lang w:val="en-US" w:eastAsia="zh-CN"/>
              </w:rPr>
              <w:t>为50亩，每亩林地对于生活污水的消纳量约为10~50m</w:t>
            </w:r>
            <w:r>
              <w:rPr>
                <w:rFonts w:hint="eastAsia"/>
                <w:color w:val="FF0000"/>
                <w:sz w:val="24"/>
                <w:vertAlign w:val="superscript"/>
                <w:lang w:val="en-US" w:eastAsia="zh-CN"/>
              </w:rPr>
              <w:t>3</w:t>
            </w:r>
            <w:r>
              <w:rPr>
                <w:rFonts w:hint="eastAsia"/>
                <w:color w:val="FF0000"/>
                <w:sz w:val="24"/>
                <w:vertAlign w:val="baseline"/>
                <w:lang w:val="en-US" w:eastAsia="zh-CN"/>
              </w:rPr>
              <w:t>/a（本次取10</w:t>
            </w:r>
            <w:r>
              <w:rPr>
                <w:rFonts w:hint="eastAsia"/>
                <w:color w:val="FF0000"/>
                <w:sz w:val="24"/>
                <w:lang w:val="en-US" w:eastAsia="zh-CN"/>
              </w:rPr>
              <w:t>m</w:t>
            </w:r>
            <w:r>
              <w:rPr>
                <w:rFonts w:hint="eastAsia"/>
                <w:color w:val="FF0000"/>
                <w:sz w:val="24"/>
                <w:vertAlign w:val="superscript"/>
                <w:lang w:val="en-US" w:eastAsia="zh-CN"/>
              </w:rPr>
              <w:t>3</w:t>
            </w:r>
            <w:r>
              <w:rPr>
                <w:rFonts w:hint="eastAsia"/>
                <w:color w:val="FF0000"/>
                <w:sz w:val="24"/>
                <w:vertAlign w:val="baseline"/>
                <w:lang w:val="en-US" w:eastAsia="zh-CN"/>
              </w:rPr>
              <w:t>），则项目</w:t>
            </w:r>
            <w:r>
              <w:rPr>
                <w:color w:val="FF0000"/>
                <w:sz w:val="24"/>
              </w:rPr>
              <w:t>周边</w:t>
            </w:r>
            <w:r>
              <w:rPr>
                <w:rFonts w:hint="eastAsia"/>
                <w:color w:val="FF0000"/>
                <w:sz w:val="24"/>
                <w:lang w:val="en-US" w:eastAsia="zh-CN"/>
              </w:rPr>
              <w:t>林地污水消纳量可达500m</w:t>
            </w:r>
            <w:r>
              <w:rPr>
                <w:rFonts w:hint="eastAsia"/>
                <w:color w:val="FF0000"/>
                <w:sz w:val="24"/>
                <w:vertAlign w:val="superscript"/>
                <w:lang w:val="en-US" w:eastAsia="zh-CN"/>
              </w:rPr>
              <w:t>3</w:t>
            </w:r>
            <w:r>
              <w:rPr>
                <w:rFonts w:hint="eastAsia"/>
                <w:color w:val="FF0000"/>
                <w:sz w:val="24"/>
                <w:vertAlign w:val="baseline"/>
                <w:lang w:val="en-US" w:eastAsia="zh-CN"/>
              </w:rPr>
              <w:t>/a，本项目</w:t>
            </w:r>
            <w:r>
              <w:rPr>
                <w:rFonts w:hint="eastAsia"/>
                <w:color w:val="FF0000"/>
                <w:sz w:val="24"/>
                <w:szCs w:val="24"/>
                <w:vertAlign w:val="baseline"/>
                <w:lang w:val="en-US" w:eastAsia="zh-CN"/>
              </w:rPr>
              <w:t>生活污水产生量为</w:t>
            </w:r>
            <w:r>
              <w:rPr>
                <w:rFonts w:hint="eastAsia"/>
                <w:color w:val="FF0000"/>
                <w:sz w:val="24"/>
                <w:szCs w:val="24"/>
                <w:lang w:val="en-US" w:eastAsia="zh-CN"/>
              </w:rPr>
              <w:t>161.2m</w:t>
            </w:r>
            <w:r>
              <w:rPr>
                <w:rFonts w:hint="eastAsia"/>
                <w:color w:val="FF0000"/>
                <w:sz w:val="24"/>
                <w:szCs w:val="24"/>
                <w:vertAlign w:val="superscript"/>
                <w:lang w:val="en-US" w:eastAsia="zh-CN"/>
              </w:rPr>
              <w:t>3</w:t>
            </w:r>
            <w:r>
              <w:rPr>
                <w:rFonts w:hint="eastAsia"/>
                <w:color w:val="FF0000"/>
                <w:sz w:val="24"/>
                <w:szCs w:val="24"/>
                <w:vertAlign w:val="baseline"/>
                <w:lang w:val="en-US" w:eastAsia="zh-CN"/>
              </w:rPr>
              <w:t>/</w:t>
            </w:r>
            <w:r>
              <w:rPr>
                <w:rFonts w:hint="eastAsia"/>
                <w:color w:val="FF0000"/>
                <w:sz w:val="24"/>
                <w:vertAlign w:val="baseline"/>
                <w:lang w:val="en-US" w:eastAsia="zh-CN"/>
              </w:rPr>
              <w:t>a，</w:t>
            </w:r>
            <w:r>
              <w:rPr>
                <w:color w:val="FF0000"/>
                <w:sz w:val="24"/>
              </w:rPr>
              <w:t>周边</w:t>
            </w:r>
            <w:r>
              <w:rPr>
                <w:rFonts w:hint="eastAsia"/>
                <w:color w:val="FF0000"/>
                <w:sz w:val="24"/>
                <w:lang w:val="en-US" w:eastAsia="zh-CN"/>
              </w:rPr>
              <w:t>林地</w:t>
            </w:r>
            <w:r>
              <w:rPr>
                <w:color w:val="FF0000"/>
                <w:sz w:val="24"/>
              </w:rPr>
              <w:t>能满足项目废水的消纳</w:t>
            </w:r>
            <w:r>
              <w:rPr>
                <w:color w:val="FF0000"/>
                <w:sz w:val="24"/>
                <w:lang w:bidi="ar"/>
              </w:rPr>
              <w:t>，因此项目废水用于</w:t>
            </w:r>
            <w:r>
              <w:rPr>
                <w:rFonts w:hint="eastAsia"/>
                <w:color w:val="FF0000"/>
                <w:sz w:val="24"/>
                <w:szCs w:val="24"/>
                <w:lang w:val="en-US" w:eastAsia="zh-CN"/>
              </w:rPr>
              <w:t>林地</w:t>
            </w:r>
            <w:r>
              <w:rPr>
                <w:rFonts w:hint="eastAsia"/>
                <w:color w:val="FF0000"/>
                <w:sz w:val="24"/>
                <w:lang w:val="en-US" w:eastAsia="zh-CN" w:bidi="ar"/>
              </w:rPr>
              <w:t>施肥</w:t>
            </w:r>
            <w:r>
              <w:rPr>
                <w:color w:val="FF0000"/>
                <w:sz w:val="24"/>
                <w:lang w:bidi="ar"/>
              </w:rPr>
              <w:t>可行</w:t>
            </w:r>
            <w:r>
              <w:rPr>
                <w:rFonts w:hint="eastAsia"/>
                <w:color w:val="FF0000"/>
                <w:sz w:val="24"/>
                <w:lang w:eastAsia="zh-CN" w:bidi="ar"/>
              </w:rPr>
              <w:t>。</w:t>
            </w:r>
          </w:p>
          <w:p w14:paraId="4405F4D9">
            <w:pPr>
              <w:pStyle w:val="7"/>
              <w:keepNext w:val="0"/>
              <w:keepLines w:val="0"/>
              <w:pageBreakBefore w:val="0"/>
              <w:widowControl w:val="0"/>
              <w:kinsoku/>
              <w:wordWrap/>
              <w:overflowPunct/>
              <w:topLinePunct w:val="0"/>
              <w:autoSpaceDE w:val="0"/>
              <w:autoSpaceDN w:val="0"/>
              <w:bidi w:val="0"/>
              <w:adjustRightInd w:val="0"/>
              <w:snapToGrid/>
              <w:spacing w:line="360" w:lineRule="auto"/>
              <w:ind w:left="0" w:firstLine="504" w:firstLineChars="200"/>
              <w:jc w:val="both"/>
              <w:textAlignment w:val="baseline"/>
              <w:rPr>
                <w:rFonts w:hint="default"/>
                <w:color w:val="auto"/>
                <w:spacing w:val="6"/>
                <w:sz w:val="24"/>
                <w:szCs w:val="24"/>
                <w:lang w:val="en-US" w:eastAsia="zh-CN"/>
              </w:rPr>
            </w:pPr>
            <w:r>
              <w:rPr>
                <w:rFonts w:hint="eastAsia"/>
                <w:color w:val="auto"/>
                <w:spacing w:val="6"/>
                <w:sz w:val="24"/>
                <w:szCs w:val="24"/>
                <w:lang w:val="en-US" w:eastAsia="zh-CN"/>
              </w:rPr>
              <w:t>综上所述，项目</w:t>
            </w:r>
            <w:r>
              <w:rPr>
                <w:rFonts w:hint="eastAsia"/>
                <w:color w:val="auto"/>
                <w:sz w:val="24"/>
              </w:rPr>
              <w:t>生活污水</w:t>
            </w:r>
            <w:r>
              <w:rPr>
                <w:color w:val="auto"/>
                <w:sz w:val="24"/>
              </w:rPr>
              <w:t>经化粪池预处理</w:t>
            </w:r>
            <w:r>
              <w:rPr>
                <w:rFonts w:hint="eastAsia"/>
                <w:color w:val="auto"/>
                <w:sz w:val="24"/>
              </w:rPr>
              <w:t>后用于周边</w:t>
            </w:r>
            <w:r>
              <w:rPr>
                <w:rFonts w:hint="eastAsia"/>
                <w:color w:val="auto"/>
                <w:sz w:val="24"/>
                <w:szCs w:val="24"/>
                <w:lang w:val="en-US" w:eastAsia="zh-CN"/>
              </w:rPr>
              <w:t>林地</w:t>
            </w:r>
            <w:r>
              <w:rPr>
                <w:rFonts w:hint="eastAsia"/>
                <w:color w:val="auto"/>
                <w:sz w:val="24"/>
                <w:lang w:val="en-US" w:eastAsia="zh-CN"/>
              </w:rPr>
              <w:t>施肥是可行的</w:t>
            </w:r>
            <w:r>
              <w:rPr>
                <w:rFonts w:hint="eastAsia"/>
                <w:color w:val="auto"/>
                <w:spacing w:val="6"/>
                <w:sz w:val="24"/>
                <w:szCs w:val="24"/>
                <w:lang w:val="en-US" w:eastAsia="zh-CN"/>
              </w:rPr>
              <w:t>。</w:t>
            </w:r>
          </w:p>
          <w:p w14:paraId="2360E6B1">
            <w:pPr>
              <w:pStyle w:val="96"/>
              <w:numPr>
                <w:ilvl w:val="0"/>
                <w:numId w:val="0"/>
              </w:numPr>
              <w:spacing w:line="360" w:lineRule="auto"/>
              <w:ind w:leftChars="200"/>
              <w:rPr>
                <w:rFonts w:ascii="Times New Roman" w:hAnsi="Times New Roman" w:cs="Times New Roman"/>
                <w:b/>
                <w:bCs/>
                <w:color w:val="auto"/>
                <w:sz w:val="24"/>
                <w:szCs w:val="24"/>
                <w:lang w:val="en-US" w:eastAsia="zh-CN" w:bidi="en-US"/>
              </w:rPr>
            </w:pPr>
            <w:r>
              <w:rPr>
                <w:rFonts w:hint="eastAsia" w:ascii="Times New Roman" w:hAnsi="Times New Roman" w:cs="Times New Roman"/>
                <w:b/>
                <w:bCs/>
                <w:color w:val="auto"/>
                <w:sz w:val="24"/>
                <w:szCs w:val="24"/>
                <w:lang w:val="en-US" w:eastAsia="zh-CN" w:bidi="en-US"/>
              </w:rPr>
              <w:t xml:space="preserve">4、 </w:t>
            </w:r>
            <w:r>
              <w:rPr>
                <w:rFonts w:ascii="Times New Roman" w:hAnsi="Times New Roman" w:cs="Times New Roman"/>
                <w:b/>
                <w:bCs/>
                <w:color w:val="auto"/>
                <w:sz w:val="24"/>
                <w:szCs w:val="24"/>
                <w:lang w:val="en-US" w:eastAsia="zh-CN" w:bidi="en-US"/>
              </w:rPr>
              <w:t>废水监测要求</w:t>
            </w:r>
          </w:p>
          <w:p w14:paraId="6450B420">
            <w:pPr>
              <w:pStyle w:val="56"/>
              <w:spacing w:line="360" w:lineRule="auto"/>
              <w:ind w:firstLine="480"/>
              <w:rPr>
                <w:rFonts w:hint="eastAsia"/>
                <w:color w:val="auto"/>
                <w:sz w:val="24"/>
                <w:szCs w:val="24"/>
                <w:lang w:bidi="en-US"/>
              </w:rPr>
            </w:pPr>
            <w:r>
              <w:rPr>
                <w:rFonts w:hint="eastAsia"/>
                <w:color w:val="auto"/>
                <w:sz w:val="24"/>
                <w:szCs w:val="24"/>
                <w:lang w:bidi="en-US"/>
              </w:rPr>
              <w:t>项目</w:t>
            </w:r>
            <w:r>
              <w:rPr>
                <w:rFonts w:hint="eastAsia"/>
                <w:color w:val="auto"/>
                <w:sz w:val="24"/>
              </w:rPr>
              <w:t>生活污水</w:t>
            </w:r>
            <w:r>
              <w:rPr>
                <w:color w:val="auto"/>
                <w:sz w:val="24"/>
              </w:rPr>
              <w:t>经化粪池预处理</w:t>
            </w:r>
            <w:r>
              <w:rPr>
                <w:rFonts w:hint="eastAsia"/>
                <w:color w:val="auto"/>
                <w:sz w:val="24"/>
              </w:rPr>
              <w:t>后用于周边</w:t>
            </w:r>
            <w:r>
              <w:rPr>
                <w:rFonts w:hint="eastAsia"/>
                <w:color w:val="auto"/>
                <w:sz w:val="24"/>
                <w:szCs w:val="24"/>
                <w:lang w:val="en-US" w:eastAsia="zh-CN"/>
              </w:rPr>
              <w:t>林地</w:t>
            </w:r>
            <w:r>
              <w:rPr>
                <w:rFonts w:hint="eastAsia"/>
                <w:color w:val="auto"/>
                <w:sz w:val="24"/>
                <w:lang w:val="en-US" w:eastAsia="zh-CN"/>
              </w:rPr>
              <w:t>施肥</w:t>
            </w:r>
            <w:r>
              <w:rPr>
                <w:rFonts w:hint="eastAsia"/>
                <w:color w:val="auto"/>
                <w:sz w:val="24"/>
              </w:rPr>
              <w:t>，不外排</w:t>
            </w:r>
            <w:r>
              <w:rPr>
                <w:rFonts w:hint="eastAsia"/>
                <w:color w:val="auto"/>
                <w:lang w:val="en-US" w:eastAsia="zh-CN" w:bidi="en-US"/>
              </w:rPr>
              <w:t>，故不设置废水监测计划</w:t>
            </w:r>
            <w:r>
              <w:rPr>
                <w:color w:val="auto"/>
                <w:lang w:bidi="en-US"/>
              </w:rPr>
              <w:t>。</w:t>
            </w:r>
          </w:p>
          <w:p w14:paraId="29942041">
            <w:pPr>
              <w:spacing w:line="360" w:lineRule="auto"/>
              <w:ind w:firstLine="482"/>
              <w:rPr>
                <w:b/>
                <w:bCs/>
                <w:color w:val="auto"/>
                <w:sz w:val="24"/>
              </w:rPr>
            </w:pPr>
            <w:r>
              <w:rPr>
                <w:rFonts w:hint="eastAsia"/>
                <w:b/>
                <w:bCs/>
                <w:color w:val="auto"/>
                <w:sz w:val="24"/>
                <w:lang w:val="en-US" w:eastAsia="zh-CN"/>
              </w:rPr>
              <w:t>三</w:t>
            </w:r>
            <w:r>
              <w:rPr>
                <w:b/>
                <w:bCs/>
                <w:color w:val="auto"/>
                <w:sz w:val="24"/>
              </w:rPr>
              <w:t>、噪声</w:t>
            </w:r>
          </w:p>
          <w:p w14:paraId="3F87A9D0">
            <w:pPr>
              <w:pStyle w:val="59"/>
              <w:adjustRightInd w:val="0"/>
              <w:snapToGrid w:val="0"/>
              <w:ind w:firstLine="482"/>
              <w:rPr>
                <w:b/>
                <w:bCs/>
                <w:color w:val="auto"/>
                <w:szCs w:val="24"/>
              </w:rPr>
            </w:pPr>
            <w:r>
              <w:rPr>
                <w:rFonts w:hint="eastAsia"/>
                <w:b/>
                <w:bCs/>
                <w:color w:val="auto"/>
                <w:szCs w:val="24"/>
                <w:lang w:val="en-US" w:eastAsia="zh-CN"/>
              </w:rPr>
              <w:t>1</w:t>
            </w:r>
            <w:r>
              <w:rPr>
                <w:rFonts w:hint="eastAsia"/>
                <w:b/>
                <w:bCs/>
                <w:color w:val="auto"/>
                <w:szCs w:val="24"/>
                <w:lang w:eastAsia="zh-CN"/>
              </w:rPr>
              <w:t>、</w:t>
            </w:r>
            <w:r>
              <w:rPr>
                <w:b/>
                <w:bCs/>
                <w:color w:val="auto"/>
                <w:szCs w:val="24"/>
              </w:rPr>
              <w:t>噪声污染源情况</w:t>
            </w:r>
          </w:p>
          <w:p w14:paraId="5865672A">
            <w:pPr>
              <w:spacing w:line="360" w:lineRule="auto"/>
              <w:ind w:firstLine="480"/>
              <w:jc w:val="left"/>
              <w:rPr>
                <w:color w:val="auto"/>
                <w:sz w:val="24"/>
              </w:rPr>
            </w:pPr>
            <w:r>
              <w:rPr>
                <w:color w:val="auto"/>
                <w:sz w:val="24"/>
              </w:rPr>
              <w:t>项目噪声源主要</w:t>
            </w:r>
            <w:r>
              <w:rPr>
                <w:rFonts w:hint="eastAsia"/>
                <w:color w:val="auto"/>
                <w:sz w:val="24"/>
                <w:lang w:val="en-US" w:eastAsia="zh-CN"/>
              </w:rPr>
              <w:t>来自印刷机</w:t>
            </w:r>
            <w:r>
              <w:rPr>
                <w:rFonts w:hint="eastAsia"/>
                <w:color w:val="auto"/>
                <w:sz w:val="24"/>
                <w:szCs w:val="24"/>
              </w:rPr>
              <w:t>、</w:t>
            </w:r>
            <w:r>
              <w:rPr>
                <w:rFonts w:hint="eastAsia"/>
                <w:color w:val="auto"/>
                <w:sz w:val="24"/>
                <w:szCs w:val="24"/>
                <w:lang w:val="en-US" w:eastAsia="zh-CN"/>
              </w:rPr>
              <w:t>分切机、</w:t>
            </w:r>
            <w:r>
              <w:rPr>
                <w:rFonts w:hint="eastAsia"/>
                <w:color w:val="auto"/>
                <w:sz w:val="24"/>
                <w:highlight w:val="none"/>
                <w:lang w:val="en-US" w:eastAsia="zh-CN"/>
              </w:rPr>
              <w:t>引风机</w:t>
            </w:r>
            <w:r>
              <w:rPr>
                <w:rFonts w:hint="eastAsia"/>
                <w:color w:val="auto"/>
                <w:sz w:val="24"/>
                <w:lang w:val="en-US" w:eastAsia="zh-CN"/>
              </w:rPr>
              <w:t>、切管机等</w:t>
            </w:r>
            <w:r>
              <w:rPr>
                <w:color w:val="auto"/>
                <w:sz w:val="24"/>
              </w:rPr>
              <w:t>设备</w:t>
            </w:r>
            <w:r>
              <w:rPr>
                <w:rFonts w:hint="eastAsia"/>
                <w:color w:val="auto"/>
                <w:sz w:val="24"/>
                <w:lang w:val="en-US" w:eastAsia="zh-CN"/>
              </w:rPr>
              <w:t>运行时产生的噪声</w:t>
            </w:r>
            <w:r>
              <w:rPr>
                <w:color w:val="auto"/>
                <w:sz w:val="24"/>
              </w:rPr>
              <w:t>，其等效声级值范围</w:t>
            </w:r>
            <w:r>
              <w:rPr>
                <w:rFonts w:hint="eastAsia"/>
                <w:color w:val="auto"/>
                <w:sz w:val="24"/>
                <w:lang w:val="en-US" w:eastAsia="zh-CN"/>
              </w:rPr>
              <w:t>75</w:t>
            </w:r>
            <w:r>
              <w:rPr>
                <w:color w:val="auto"/>
                <w:sz w:val="24"/>
              </w:rPr>
              <w:t>~</w:t>
            </w:r>
            <w:r>
              <w:rPr>
                <w:rFonts w:hint="eastAsia"/>
                <w:color w:val="auto"/>
                <w:sz w:val="24"/>
                <w:lang w:val="en-US" w:eastAsia="zh-CN"/>
              </w:rPr>
              <w:t>85</w:t>
            </w:r>
            <w:r>
              <w:rPr>
                <w:color w:val="auto"/>
                <w:sz w:val="24"/>
              </w:rPr>
              <w:t>dB（A）。通过采取选用满足同一功能的低噪声设备、对所用高噪声设备进行基础减振、安装消声器，以及合理布置噪声源等有效降噪措施后，噪声源强在</w:t>
            </w:r>
            <w:r>
              <w:rPr>
                <w:rFonts w:hint="eastAsia"/>
                <w:color w:val="auto"/>
                <w:sz w:val="24"/>
                <w:lang w:val="en-US" w:eastAsia="zh-CN"/>
              </w:rPr>
              <w:t>32</w:t>
            </w:r>
            <w:r>
              <w:rPr>
                <w:color w:val="auto"/>
                <w:sz w:val="24"/>
              </w:rPr>
              <w:t>~</w:t>
            </w:r>
            <w:r>
              <w:rPr>
                <w:rFonts w:hint="eastAsia"/>
                <w:color w:val="auto"/>
                <w:sz w:val="24"/>
                <w:lang w:val="en-US" w:eastAsia="zh-CN"/>
              </w:rPr>
              <w:t>46</w:t>
            </w:r>
            <w:r>
              <w:rPr>
                <w:color w:val="auto"/>
                <w:sz w:val="24"/>
              </w:rPr>
              <w:t>dB（A）。</w:t>
            </w:r>
          </w:p>
          <w:p w14:paraId="12DBC141">
            <w:pPr>
              <w:spacing w:line="360" w:lineRule="auto"/>
              <w:ind w:firstLine="480"/>
              <w:jc w:val="left"/>
              <w:rPr>
                <w:color w:val="auto"/>
                <w:sz w:val="24"/>
              </w:rPr>
            </w:pPr>
            <w:r>
              <w:rPr>
                <w:color w:val="auto"/>
                <w:sz w:val="24"/>
              </w:rPr>
              <w:t>本项目主要噪声源分布及相关参数见表4-</w:t>
            </w:r>
            <w:r>
              <w:rPr>
                <w:rFonts w:hint="eastAsia"/>
                <w:color w:val="auto"/>
                <w:sz w:val="24"/>
              </w:rPr>
              <w:t>1</w:t>
            </w:r>
            <w:r>
              <w:rPr>
                <w:rFonts w:hint="eastAsia"/>
                <w:color w:val="auto"/>
                <w:sz w:val="24"/>
                <w:lang w:val="en-US" w:eastAsia="zh-CN"/>
              </w:rPr>
              <w:t>2</w:t>
            </w:r>
            <w:r>
              <w:rPr>
                <w:color w:val="auto"/>
                <w:sz w:val="24"/>
              </w:rPr>
              <w:t>；本次以</w:t>
            </w:r>
            <w:r>
              <w:rPr>
                <w:rFonts w:hint="eastAsia"/>
                <w:color w:val="auto"/>
                <w:sz w:val="24"/>
                <w:lang w:val="en-US" w:eastAsia="zh-CN"/>
              </w:rPr>
              <w:t>生产区中心点</w:t>
            </w:r>
            <w:r>
              <w:rPr>
                <w:color w:val="auto"/>
                <w:sz w:val="24"/>
              </w:rPr>
              <w:t>为坐标原点</w:t>
            </w:r>
            <w:r>
              <w:rPr>
                <w:rFonts w:hint="eastAsia"/>
                <w:color w:val="auto"/>
                <w:sz w:val="24"/>
                <w:lang w:eastAsia="zh-CN"/>
              </w:rPr>
              <w:t>（</w:t>
            </w:r>
            <w:r>
              <w:rPr>
                <w:rFonts w:hint="eastAsia"/>
                <w:color w:val="auto"/>
                <w:sz w:val="24"/>
                <w:lang w:val="en-US" w:eastAsia="zh-CN"/>
              </w:rPr>
              <w:t>0，0</w:t>
            </w:r>
            <w:r>
              <w:rPr>
                <w:rFonts w:hint="eastAsia"/>
                <w:color w:val="auto"/>
                <w:sz w:val="24"/>
                <w:lang w:eastAsia="zh-CN"/>
              </w:rPr>
              <w:t>），</w:t>
            </w:r>
            <w:r>
              <w:rPr>
                <w:rFonts w:hint="eastAsia"/>
                <w:color w:val="auto"/>
                <w:sz w:val="24"/>
                <w:lang w:val="en-US" w:eastAsia="zh-CN"/>
              </w:rPr>
              <w:t>地理坐标为</w:t>
            </w:r>
            <w:r>
              <w:rPr>
                <w:rFonts w:hint="eastAsia"/>
                <w:color w:val="auto"/>
                <w:sz w:val="24"/>
                <w:lang w:eastAsia="zh-CN"/>
              </w:rPr>
              <w:t>（</w:t>
            </w:r>
            <w:r>
              <w:rPr>
                <w:color w:val="auto"/>
                <w:sz w:val="24"/>
              </w:rPr>
              <w:t>E</w:t>
            </w:r>
            <w:r>
              <w:rPr>
                <w:rFonts w:hint="eastAsia"/>
                <w:color w:val="auto"/>
                <w:sz w:val="24"/>
              </w:rPr>
              <w:t>115</w:t>
            </w:r>
            <w:r>
              <w:rPr>
                <w:color w:val="auto"/>
                <w:sz w:val="24"/>
              </w:rPr>
              <w:t>°</w:t>
            </w:r>
            <w:r>
              <w:rPr>
                <w:rFonts w:hint="eastAsia"/>
                <w:color w:val="auto"/>
                <w:sz w:val="24"/>
              </w:rPr>
              <w:t>25</w:t>
            </w:r>
            <w:r>
              <w:rPr>
                <w:color w:val="auto"/>
                <w:sz w:val="24"/>
              </w:rPr>
              <w:t>′</w:t>
            </w:r>
            <w:r>
              <w:rPr>
                <w:rFonts w:hint="eastAsia"/>
                <w:color w:val="auto"/>
                <w:sz w:val="24"/>
              </w:rPr>
              <w:t>32.382</w:t>
            </w:r>
            <w:r>
              <w:rPr>
                <w:color w:val="auto"/>
                <w:sz w:val="24"/>
              </w:rPr>
              <w:t>″</w:t>
            </w:r>
            <w:r>
              <w:rPr>
                <w:rFonts w:hint="eastAsia"/>
                <w:color w:val="auto"/>
                <w:sz w:val="24"/>
                <w:lang w:eastAsia="zh-CN"/>
              </w:rPr>
              <w:t>，</w:t>
            </w:r>
            <w:r>
              <w:rPr>
                <w:color w:val="auto"/>
                <w:sz w:val="24"/>
              </w:rPr>
              <w:t>N</w:t>
            </w:r>
            <w:r>
              <w:rPr>
                <w:rFonts w:hint="eastAsia"/>
                <w:color w:val="auto"/>
                <w:sz w:val="24"/>
              </w:rPr>
              <w:t>28</w:t>
            </w:r>
            <w:r>
              <w:rPr>
                <w:color w:val="auto"/>
                <w:sz w:val="24"/>
              </w:rPr>
              <w:t>°</w:t>
            </w:r>
            <w:r>
              <w:rPr>
                <w:rFonts w:hint="eastAsia"/>
                <w:color w:val="auto"/>
                <w:sz w:val="24"/>
              </w:rPr>
              <w:t>23</w:t>
            </w:r>
            <w:r>
              <w:rPr>
                <w:color w:val="auto"/>
                <w:sz w:val="24"/>
              </w:rPr>
              <w:t>′</w:t>
            </w:r>
            <w:r>
              <w:rPr>
                <w:rFonts w:hint="eastAsia"/>
                <w:color w:val="auto"/>
                <w:sz w:val="24"/>
              </w:rPr>
              <w:t>41.676</w:t>
            </w:r>
            <w:r>
              <w:rPr>
                <w:color w:val="auto"/>
                <w:sz w:val="24"/>
              </w:rPr>
              <w:t>″</w:t>
            </w:r>
            <w:r>
              <w:rPr>
                <w:rFonts w:hint="eastAsia"/>
                <w:color w:val="auto"/>
                <w:sz w:val="24"/>
                <w:lang w:eastAsia="zh-CN"/>
              </w:rPr>
              <w:t>）</w:t>
            </w:r>
            <w:r>
              <w:rPr>
                <w:color w:val="auto"/>
                <w:sz w:val="24"/>
              </w:rPr>
              <w:t>，厂界东侧围墙为X轴正方向，沿厂界北侧围墙为Y轴正方向。</w:t>
            </w:r>
          </w:p>
          <w:p w14:paraId="0B39B3DC">
            <w:pPr>
              <w:adjustRightInd w:val="0"/>
              <w:snapToGrid w:val="0"/>
              <w:spacing w:line="360" w:lineRule="auto"/>
              <w:jc w:val="center"/>
              <w:rPr>
                <w:color w:val="auto"/>
              </w:rPr>
            </w:pPr>
            <w:r>
              <w:rPr>
                <w:b/>
                <w:bCs/>
                <w:color w:val="auto"/>
                <w:sz w:val="24"/>
                <w:lang w:val="en-GB"/>
              </w:rPr>
              <w:t>表4-</w:t>
            </w:r>
            <w:r>
              <w:rPr>
                <w:rFonts w:hint="eastAsia"/>
                <w:b/>
                <w:bCs/>
                <w:color w:val="auto"/>
                <w:sz w:val="24"/>
                <w:lang w:val="en-US" w:eastAsia="zh-CN"/>
              </w:rPr>
              <w:t>12</w:t>
            </w:r>
            <w:r>
              <w:rPr>
                <w:b/>
                <w:bCs/>
                <w:color w:val="auto"/>
                <w:sz w:val="24"/>
              </w:rPr>
              <w:t xml:space="preserve">  项目主要噪声源强调查清单</w:t>
            </w:r>
            <w:r>
              <w:rPr>
                <w:b/>
                <w:bCs/>
                <w:color w:val="auto"/>
                <w:kern w:val="0"/>
                <w:sz w:val="24"/>
              </w:rPr>
              <w:t>（室内声源）</w:t>
            </w:r>
          </w:p>
        </w:tc>
      </w:tr>
    </w:tbl>
    <w:p w14:paraId="20F55E0C">
      <w:pPr>
        <w:spacing w:line="360" w:lineRule="auto"/>
        <w:ind w:firstLine="482"/>
        <w:rPr>
          <w:b/>
          <w:bCs/>
          <w:color w:val="auto"/>
          <w:sz w:val="24"/>
        </w:rPr>
        <w:sectPr>
          <w:pgSz w:w="11907" w:h="16840"/>
          <w:pgMar w:top="1701" w:right="1531" w:bottom="2127" w:left="1531" w:header="851" w:footer="851" w:gutter="0"/>
          <w:pgNumType w:fmt="decimal"/>
          <w:cols w:space="720" w:num="1"/>
          <w:docGrid w:linePitch="312" w:charSpace="0"/>
        </w:sectPr>
      </w:pPr>
    </w:p>
    <w:tbl>
      <w:tblPr>
        <w:tblStyle w:val="28"/>
        <w:tblW w:w="13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
        <w:gridCol w:w="12685"/>
      </w:tblGrid>
      <w:tr w14:paraId="09706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6" w:hRule="atLeast"/>
          <w:jc w:val="center"/>
        </w:trPr>
        <w:tc>
          <w:tcPr>
            <w:tcW w:w="414" w:type="dxa"/>
            <w:vAlign w:val="center"/>
          </w:tcPr>
          <w:p w14:paraId="47CB9D32">
            <w:pPr>
              <w:spacing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运营</w:t>
            </w:r>
          </w:p>
          <w:p w14:paraId="6962DB72">
            <w:pPr>
              <w:spacing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期环</w:t>
            </w:r>
          </w:p>
          <w:p w14:paraId="31FFB870">
            <w:pPr>
              <w:spacing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境影</w:t>
            </w:r>
          </w:p>
          <w:p w14:paraId="188A170A">
            <w:pPr>
              <w:spacing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响和</w:t>
            </w:r>
          </w:p>
          <w:p w14:paraId="7665952C">
            <w:pPr>
              <w:spacing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保护</w:t>
            </w:r>
          </w:p>
          <w:p w14:paraId="16FF10EE">
            <w:pPr>
              <w:spacing w:line="360" w:lineRule="auto"/>
              <w:jc w:val="center"/>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b/>
                <w:bCs/>
                <w:color w:val="auto"/>
                <w:szCs w:val="21"/>
              </w:rPr>
              <w:t>措施</w:t>
            </w:r>
          </w:p>
        </w:tc>
        <w:tc>
          <w:tcPr>
            <w:tcW w:w="12685" w:type="dxa"/>
          </w:tcPr>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6"/>
              <w:gridCol w:w="346"/>
              <w:gridCol w:w="481"/>
              <w:gridCol w:w="347"/>
              <w:gridCol w:w="616"/>
              <w:gridCol w:w="564"/>
              <w:gridCol w:w="601"/>
              <w:gridCol w:w="447"/>
              <w:gridCol w:w="447"/>
              <w:gridCol w:w="447"/>
              <w:gridCol w:w="384"/>
              <w:gridCol w:w="447"/>
              <w:gridCol w:w="447"/>
              <w:gridCol w:w="447"/>
              <w:gridCol w:w="454"/>
              <w:gridCol w:w="514"/>
              <w:gridCol w:w="514"/>
              <w:gridCol w:w="514"/>
              <w:gridCol w:w="519"/>
              <w:gridCol w:w="549"/>
              <w:gridCol w:w="601"/>
              <w:gridCol w:w="514"/>
              <w:gridCol w:w="514"/>
              <w:gridCol w:w="514"/>
              <w:gridCol w:w="516"/>
              <w:gridCol w:w="369"/>
            </w:tblGrid>
            <w:tr w14:paraId="68259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 w:type="pct"/>
                  <w:vMerge w:val="restart"/>
                  <w:vAlign w:val="center"/>
                </w:tcPr>
                <w:p w14:paraId="6B073A35">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序号</w:t>
                  </w:r>
                </w:p>
              </w:tc>
              <w:tc>
                <w:tcPr>
                  <w:tcW w:w="331" w:type="pct"/>
                  <w:gridSpan w:val="2"/>
                  <w:vMerge w:val="restart"/>
                  <w:vAlign w:val="center"/>
                </w:tcPr>
                <w:p w14:paraId="64D18B1A">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建筑物名称</w:t>
                  </w:r>
                </w:p>
              </w:tc>
              <w:tc>
                <w:tcPr>
                  <w:tcW w:w="139" w:type="pct"/>
                  <w:vMerge w:val="restart"/>
                  <w:vAlign w:val="center"/>
                </w:tcPr>
                <w:p w14:paraId="22713DB1">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声源名称</w:t>
                  </w:r>
                </w:p>
              </w:tc>
              <w:tc>
                <w:tcPr>
                  <w:tcW w:w="247" w:type="pct"/>
                  <w:vMerge w:val="restart"/>
                  <w:vAlign w:val="center"/>
                </w:tcPr>
                <w:p w14:paraId="29305E12">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数量（台）</w:t>
                  </w:r>
                </w:p>
              </w:tc>
              <w:tc>
                <w:tcPr>
                  <w:tcW w:w="226" w:type="pct"/>
                  <w:vMerge w:val="restart"/>
                  <w:vAlign w:val="center"/>
                </w:tcPr>
                <w:p w14:paraId="0E663586">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单台声功率级dB(A)</w:t>
                  </w:r>
                </w:p>
              </w:tc>
              <w:tc>
                <w:tcPr>
                  <w:tcW w:w="241" w:type="pct"/>
                  <w:vMerge w:val="restart"/>
                  <w:vAlign w:val="center"/>
                </w:tcPr>
                <w:p w14:paraId="3914C785">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叠加后声功率级/dB(A)</w:t>
                  </w:r>
                </w:p>
              </w:tc>
              <w:tc>
                <w:tcPr>
                  <w:tcW w:w="179" w:type="pct"/>
                  <w:vMerge w:val="restart"/>
                  <w:vAlign w:val="center"/>
                </w:tcPr>
                <w:p w14:paraId="68964329">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声源控制措施</w:t>
                  </w:r>
                </w:p>
              </w:tc>
              <w:tc>
                <w:tcPr>
                  <w:tcW w:w="512" w:type="pct"/>
                  <w:gridSpan w:val="3"/>
                  <w:vAlign w:val="center"/>
                </w:tcPr>
                <w:p w14:paraId="389548F5">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空间相对位置/m</w:t>
                  </w:r>
                </w:p>
              </w:tc>
              <w:tc>
                <w:tcPr>
                  <w:tcW w:w="720" w:type="pct"/>
                  <w:gridSpan w:val="4"/>
                  <w:vAlign w:val="center"/>
                </w:tcPr>
                <w:p w14:paraId="583F2AF0">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距室内边界距离/m</w:t>
                  </w:r>
                </w:p>
              </w:tc>
              <w:tc>
                <w:tcPr>
                  <w:tcW w:w="827" w:type="pct"/>
                  <w:gridSpan w:val="4"/>
                  <w:vAlign w:val="center"/>
                </w:tcPr>
                <w:p w14:paraId="4B20C632">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室内边界声级/dB(A)</w:t>
                  </w:r>
                </w:p>
              </w:tc>
              <w:tc>
                <w:tcPr>
                  <w:tcW w:w="220" w:type="pct"/>
                  <w:vMerge w:val="restart"/>
                  <w:vAlign w:val="center"/>
                </w:tcPr>
                <w:p w14:paraId="66ED3DED">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运行时段</w:t>
                  </w:r>
                </w:p>
              </w:tc>
              <w:tc>
                <w:tcPr>
                  <w:tcW w:w="241" w:type="pct"/>
                  <w:vMerge w:val="restart"/>
                  <w:vAlign w:val="center"/>
                </w:tcPr>
                <w:p w14:paraId="3A1F20A5">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建筑物插入损失/dB(A)</w:t>
                  </w:r>
                </w:p>
              </w:tc>
              <w:tc>
                <w:tcPr>
                  <w:tcW w:w="973" w:type="pct"/>
                  <w:gridSpan w:val="5"/>
                  <w:vAlign w:val="center"/>
                </w:tcPr>
                <w:p w14:paraId="15E2F07D">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建筑物外噪声声压级/dB(A)</w:t>
                  </w:r>
                </w:p>
              </w:tc>
            </w:tr>
            <w:tr w14:paraId="2A26E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 w:type="pct"/>
                  <w:vMerge w:val="continue"/>
                  <w:vAlign w:val="center"/>
                </w:tcPr>
                <w:p w14:paraId="4F1A0BE3">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p>
              </w:tc>
              <w:tc>
                <w:tcPr>
                  <w:tcW w:w="331" w:type="pct"/>
                  <w:gridSpan w:val="2"/>
                  <w:vMerge w:val="continue"/>
                  <w:vAlign w:val="center"/>
                </w:tcPr>
                <w:p w14:paraId="34B64217">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p>
              </w:tc>
              <w:tc>
                <w:tcPr>
                  <w:tcW w:w="139" w:type="pct"/>
                  <w:vMerge w:val="continue"/>
                  <w:vAlign w:val="center"/>
                </w:tcPr>
                <w:p w14:paraId="0E3357C1">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p>
              </w:tc>
              <w:tc>
                <w:tcPr>
                  <w:tcW w:w="247" w:type="pct"/>
                  <w:vMerge w:val="continue"/>
                  <w:vAlign w:val="center"/>
                </w:tcPr>
                <w:p w14:paraId="42DD9849">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p>
              </w:tc>
              <w:tc>
                <w:tcPr>
                  <w:tcW w:w="226" w:type="pct"/>
                  <w:vMerge w:val="continue"/>
                  <w:vAlign w:val="center"/>
                </w:tcPr>
                <w:p w14:paraId="31503222">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p>
              </w:tc>
              <w:tc>
                <w:tcPr>
                  <w:tcW w:w="241" w:type="pct"/>
                  <w:vMerge w:val="continue"/>
                  <w:vAlign w:val="center"/>
                </w:tcPr>
                <w:p w14:paraId="6E87FA80">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p>
              </w:tc>
              <w:tc>
                <w:tcPr>
                  <w:tcW w:w="179" w:type="pct"/>
                  <w:vMerge w:val="continue"/>
                  <w:vAlign w:val="center"/>
                </w:tcPr>
                <w:p w14:paraId="27D38B0C">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p>
              </w:tc>
              <w:tc>
                <w:tcPr>
                  <w:tcW w:w="179" w:type="pct"/>
                  <w:vAlign w:val="center"/>
                </w:tcPr>
                <w:p w14:paraId="7D3C62E4">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X</w:t>
                  </w:r>
                </w:p>
              </w:tc>
              <w:tc>
                <w:tcPr>
                  <w:tcW w:w="179" w:type="pct"/>
                  <w:vAlign w:val="center"/>
                </w:tcPr>
                <w:p w14:paraId="6605F502">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Y</w:t>
                  </w:r>
                </w:p>
              </w:tc>
              <w:tc>
                <w:tcPr>
                  <w:tcW w:w="154" w:type="pct"/>
                  <w:vAlign w:val="center"/>
                </w:tcPr>
                <w:p w14:paraId="74D64FAB">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Z</w:t>
                  </w:r>
                </w:p>
              </w:tc>
              <w:tc>
                <w:tcPr>
                  <w:tcW w:w="179" w:type="pct"/>
                  <w:vAlign w:val="center"/>
                </w:tcPr>
                <w:p w14:paraId="5224E46C">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东</w:t>
                  </w:r>
                </w:p>
              </w:tc>
              <w:tc>
                <w:tcPr>
                  <w:tcW w:w="179" w:type="pct"/>
                  <w:vAlign w:val="center"/>
                </w:tcPr>
                <w:p w14:paraId="49C805B5">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南</w:t>
                  </w:r>
                </w:p>
              </w:tc>
              <w:tc>
                <w:tcPr>
                  <w:tcW w:w="179" w:type="pct"/>
                  <w:vAlign w:val="center"/>
                </w:tcPr>
                <w:p w14:paraId="21D1CAC6">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西</w:t>
                  </w:r>
                </w:p>
              </w:tc>
              <w:tc>
                <w:tcPr>
                  <w:tcW w:w="182" w:type="pct"/>
                  <w:vAlign w:val="center"/>
                </w:tcPr>
                <w:p w14:paraId="4F30D80E">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北</w:t>
                  </w:r>
                </w:p>
              </w:tc>
              <w:tc>
                <w:tcPr>
                  <w:tcW w:w="206" w:type="pct"/>
                  <w:vAlign w:val="center"/>
                </w:tcPr>
                <w:p w14:paraId="79C207C1">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lang w:bidi="ar"/>
                    </w:rPr>
                  </w:pPr>
                  <w:r>
                    <w:rPr>
                      <w:rFonts w:hint="default" w:ascii="Times New Roman" w:hAnsi="Times New Roman" w:eastAsia="宋体" w:cs="Times New Roman"/>
                      <w:b/>
                      <w:bCs/>
                      <w:color w:val="auto"/>
                      <w:spacing w:val="0"/>
                      <w:szCs w:val="21"/>
                      <w:lang w:bidi="ar"/>
                    </w:rPr>
                    <w:t>东</w:t>
                  </w:r>
                </w:p>
              </w:tc>
              <w:tc>
                <w:tcPr>
                  <w:tcW w:w="206" w:type="pct"/>
                  <w:vAlign w:val="center"/>
                </w:tcPr>
                <w:p w14:paraId="36A8F13D">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lang w:bidi="ar"/>
                    </w:rPr>
                  </w:pPr>
                  <w:r>
                    <w:rPr>
                      <w:rFonts w:hint="default" w:ascii="Times New Roman" w:hAnsi="Times New Roman" w:eastAsia="宋体" w:cs="Times New Roman"/>
                      <w:b/>
                      <w:bCs/>
                      <w:color w:val="auto"/>
                      <w:spacing w:val="0"/>
                      <w:szCs w:val="21"/>
                      <w:lang w:bidi="ar"/>
                    </w:rPr>
                    <w:t>南</w:t>
                  </w:r>
                </w:p>
              </w:tc>
              <w:tc>
                <w:tcPr>
                  <w:tcW w:w="206" w:type="pct"/>
                  <w:vAlign w:val="center"/>
                </w:tcPr>
                <w:p w14:paraId="414149C3">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lang w:bidi="ar"/>
                    </w:rPr>
                  </w:pPr>
                  <w:r>
                    <w:rPr>
                      <w:rFonts w:hint="default" w:ascii="Times New Roman" w:hAnsi="Times New Roman" w:eastAsia="宋体" w:cs="Times New Roman"/>
                      <w:b/>
                      <w:bCs/>
                      <w:color w:val="auto"/>
                      <w:spacing w:val="0"/>
                      <w:szCs w:val="21"/>
                      <w:lang w:bidi="ar"/>
                    </w:rPr>
                    <w:t>西</w:t>
                  </w:r>
                </w:p>
              </w:tc>
              <w:tc>
                <w:tcPr>
                  <w:tcW w:w="208" w:type="pct"/>
                  <w:vAlign w:val="center"/>
                </w:tcPr>
                <w:p w14:paraId="09934976">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lang w:bidi="ar"/>
                    </w:rPr>
                  </w:pPr>
                  <w:r>
                    <w:rPr>
                      <w:rFonts w:hint="default" w:ascii="Times New Roman" w:hAnsi="Times New Roman" w:eastAsia="宋体" w:cs="Times New Roman"/>
                      <w:b/>
                      <w:bCs/>
                      <w:color w:val="auto"/>
                      <w:spacing w:val="0"/>
                      <w:szCs w:val="21"/>
                      <w:lang w:bidi="ar"/>
                    </w:rPr>
                    <w:t>北</w:t>
                  </w:r>
                </w:p>
              </w:tc>
              <w:tc>
                <w:tcPr>
                  <w:tcW w:w="220" w:type="pct"/>
                  <w:vMerge w:val="continue"/>
                  <w:vAlign w:val="center"/>
                </w:tcPr>
                <w:p w14:paraId="6BC454D6">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p>
              </w:tc>
              <w:tc>
                <w:tcPr>
                  <w:tcW w:w="241" w:type="pct"/>
                  <w:vMerge w:val="continue"/>
                  <w:vAlign w:val="center"/>
                </w:tcPr>
                <w:p w14:paraId="1F74481C">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p>
              </w:tc>
              <w:tc>
                <w:tcPr>
                  <w:tcW w:w="206" w:type="pct"/>
                  <w:vAlign w:val="center"/>
                </w:tcPr>
                <w:p w14:paraId="1BB26328">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lang w:bidi="ar"/>
                    </w:rPr>
                    <w:t>东</w:t>
                  </w:r>
                </w:p>
              </w:tc>
              <w:tc>
                <w:tcPr>
                  <w:tcW w:w="206" w:type="pct"/>
                  <w:vAlign w:val="center"/>
                </w:tcPr>
                <w:p w14:paraId="384FD070">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lang w:bidi="ar"/>
                    </w:rPr>
                    <w:t>南</w:t>
                  </w:r>
                </w:p>
              </w:tc>
              <w:tc>
                <w:tcPr>
                  <w:tcW w:w="206" w:type="pct"/>
                  <w:vAlign w:val="center"/>
                </w:tcPr>
                <w:p w14:paraId="78CC77A3">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lang w:bidi="ar"/>
                    </w:rPr>
                    <w:t>西</w:t>
                  </w:r>
                </w:p>
              </w:tc>
              <w:tc>
                <w:tcPr>
                  <w:tcW w:w="207" w:type="pct"/>
                  <w:vAlign w:val="center"/>
                </w:tcPr>
                <w:p w14:paraId="20F18B7A">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lang w:bidi="ar"/>
                    </w:rPr>
                    <w:t>北</w:t>
                  </w:r>
                </w:p>
              </w:tc>
              <w:tc>
                <w:tcPr>
                  <w:tcW w:w="148" w:type="pct"/>
                  <w:vAlign w:val="center"/>
                </w:tcPr>
                <w:p w14:paraId="15B27C8B">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pacing w:val="0"/>
                      <w:szCs w:val="21"/>
                    </w:rPr>
                  </w:pPr>
                  <w:r>
                    <w:rPr>
                      <w:rFonts w:hint="default" w:ascii="Times New Roman" w:hAnsi="Times New Roman" w:eastAsia="宋体" w:cs="Times New Roman"/>
                      <w:b/>
                      <w:bCs/>
                      <w:color w:val="auto"/>
                      <w:spacing w:val="0"/>
                      <w:szCs w:val="21"/>
                    </w:rPr>
                    <w:t>建筑物外距离/m</w:t>
                  </w:r>
                </w:p>
              </w:tc>
            </w:tr>
            <w:tr w14:paraId="4D516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 w:type="pct"/>
                  <w:vAlign w:val="center"/>
                </w:tcPr>
                <w:p w14:paraId="78A49F1E">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rPr>
                  </w:pPr>
                  <w:r>
                    <w:rPr>
                      <w:rFonts w:hint="default" w:ascii="Times New Roman" w:hAnsi="Times New Roman" w:eastAsia="宋体" w:cs="Times New Roman"/>
                      <w:color w:val="auto"/>
                      <w:spacing w:val="0"/>
                      <w:szCs w:val="21"/>
                    </w:rPr>
                    <w:t>1</w:t>
                  </w:r>
                </w:p>
              </w:tc>
              <w:tc>
                <w:tcPr>
                  <w:tcW w:w="138" w:type="pct"/>
                  <w:vMerge w:val="restart"/>
                  <w:vAlign w:val="center"/>
                </w:tcPr>
                <w:p w14:paraId="7E403C94">
                  <w:pPr>
                    <w:keepLines w:val="0"/>
                    <w:pageBreakBefore w:val="0"/>
                    <w:widowControl w:val="0"/>
                    <w:kinsoku/>
                    <w:wordWrap/>
                    <w:overflowPunct/>
                    <w:topLinePunct w:val="0"/>
                    <w:bidi w:val="0"/>
                    <w:snapToGrid/>
                    <w:spacing w:line="240" w:lineRule="auto"/>
                    <w:jc w:val="center"/>
                    <w:rPr>
                      <w:rFonts w:hint="eastAsia" w:ascii="Times New Roman" w:hAnsi="Times New Roman" w:eastAsia="宋体" w:cs="Times New Roman"/>
                      <w:color w:val="auto"/>
                      <w:spacing w:val="0"/>
                      <w:szCs w:val="21"/>
                      <w:lang w:val="en-US" w:eastAsia="zh-CN"/>
                    </w:rPr>
                  </w:pPr>
                  <w:r>
                    <w:rPr>
                      <w:rFonts w:hint="default" w:ascii="Times New Roman" w:hAnsi="Times New Roman" w:eastAsia="宋体" w:cs="Times New Roman"/>
                      <w:color w:val="auto"/>
                      <w:spacing w:val="0"/>
                      <w:szCs w:val="21"/>
                    </w:rPr>
                    <w:t>生产</w:t>
                  </w:r>
                  <w:r>
                    <w:rPr>
                      <w:rFonts w:hint="eastAsia" w:cs="Times New Roman"/>
                      <w:color w:val="auto"/>
                      <w:spacing w:val="0"/>
                      <w:szCs w:val="21"/>
                      <w:lang w:val="en-US" w:eastAsia="zh-CN"/>
                    </w:rPr>
                    <w:t>区</w:t>
                  </w:r>
                </w:p>
              </w:tc>
              <w:tc>
                <w:tcPr>
                  <w:tcW w:w="193" w:type="pct"/>
                  <w:shd w:val="clear" w:color="auto" w:fill="auto"/>
                  <w:vAlign w:val="center"/>
                </w:tcPr>
                <w:p w14:paraId="17FEB1EE">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z w:val="21"/>
                      <w:szCs w:val="21"/>
                      <w:highlight w:val="none"/>
                      <w:vertAlign w:val="baseline"/>
                      <w:lang w:val="en-US" w:eastAsia="zh-CN"/>
                    </w:rPr>
                    <w:t>彩印车间</w:t>
                  </w:r>
                </w:p>
              </w:tc>
              <w:tc>
                <w:tcPr>
                  <w:tcW w:w="139" w:type="pct"/>
                  <w:vAlign w:val="center"/>
                </w:tcPr>
                <w:p w14:paraId="1A27BA81">
                  <w:pPr>
                    <w:keepLines w:val="0"/>
                    <w:pageBreakBefore w:val="0"/>
                    <w:widowControl w:val="0"/>
                    <w:kinsoku/>
                    <w:wordWrap/>
                    <w:overflowPunct/>
                    <w:topLinePunct w:val="0"/>
                    <w:bidi w:val="0"/>
                    <w:snapToGrid/>
                    <w:spacing w:line="240" w:lineRule="auto"/>
                    <w:ind w:firstLine="0" w:firstLineChars="0"/>
                    <w:jc w:val="center"/>
                    <w:rPr>
                      <w:rFonts w:hint="eastAsia" w:ascii="Times New Roman" w:hAnsi="Times New Roman" w:eastAsia="宋体" w:cs="Times New Roman"/>
                      <w:color w:val="auto"/>
                      <w:spacing w:val="0"/>
                      <w:szCs w:val="21"/>
                      <w:lang w:val="en-US" w:eastAsia="zh-CN"/>
                    </w:rPr>
                  </w:pPr>
                  <w:r>
                    <w:rPr>
                      <w:rFonts w:hint="eastAsia" w:cs="Times New Roman"/>
                      <w:color w:val="auto"/>
                      <w:spacing w:val="0"/>
                      <w:szCs w:val="21"/>
                      <w:lang w:val="en-US" w:eastAsia="zh-CN"/>
                    </w:rPr>
                    <w:t>印刷机</w:t>
                  </w:r>
                </w:p>
              </w:tc>
              <w:tc>
                <w:tcPr>
                  <w:tcW w:w="247" w:type="pct"/>
                  <w:vAlign w:val="center"/>
                </w:tcPr>
                <w:p w14:paraId="2A8B25E8">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 w:val="21"/>
                      <w:szCs w:val="21"/>
                      <w:lang w:val="en-US" w:eastAsia="zh-CN"/>
                    </w:rPr>
                    <w:t>2</w:t>
                  </w:r>
                </w:p>
              </w:tc>
              <w:tc>
                <w:tcPr>
                  <w:tcW w:w="226" w:type="pct"/>
                  <w:vAlign w:val="center"/>
                </w:tcPr>
                <w:p w14:paraId="602C3DE5">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Cs w:val="21"/>
                      <w:lang w:val="en-US" w:eastAsia="zh-CN"/>
                    </w:rPr>
                    <w:t>75</w:t>
                  </w:r>
                </w:p>
              </w:tc>
              <w:tc>
                <w:tcPr>
                  <w:tcW w:w="241" w:type="pct"/>
                  <w:shd w:val="clear" w:color="auto" w:fill="auto"/>
                  <w:vAlign w:val="center"/>
                </w:tcPr>
                <w:p w14:paraId="41D95C27">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cs="Times New Roman"/>
                      <w:color w:val="auto"/>
                      <w:spacing w:val="0"/>
                      <w:szCs w:val="21"/>
                      <w:lang w:val="en-US" w:eastAsia="zh-CN"/>
                    </w:rPr>
                    <w:t>78.01</w:t>
                  </w:r>
                </w:p>
              </w:tc>
              <w:tc>
                <w:tcPr>
                  <w:tcW w:w="179" w:type="pct"/>
                  <w:vMerge w:val="restart"/>
                  <w:vAlign w:val="center"/>
                </w:tcPr>
                <w:p w14:paraId="66544330">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rPr>
                  </w:pPr>
                  <w:r>
                    <w:rPr>
                      <w:rFonts w:hint="default" w:ascii="Times New Roman" w:hAnsi="Times New Roman" w:eastAsia="宋体" w:cs="Times New Roman"/>
                      <w:color w:val="auto"/>
                      <w:spacing w:val="0"/>
                      <w:sz w:val="21"/>
                      <w:szCs w:val="21"/>
                    </w:rPr>
                    <w:t>减震、 降噪、 隔声</w:t>
                  </w:r>
                </w:p>
              </w:tc>
              <w:tc>
                <w:tcPr>
                  <w:tcW w:w="179" w:type="pct"/>
                  <w:vAlign w:val="center"/>
                </w:tcPr>
                <w:p w14:paraId="41B9B88F">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Cs w:val="21"/>
                      <w:lang w:val="en-US" w:eastAsia="zh-CN"/>
                    </w:rPr>
                    <w:t>8.9</w:t>
                  </w:r>
                </w:p>
              </w:tc>
              <w:tc>
                <w:tcPr>
                  <w:tcW w:w="179" w:type="pct"/>
                  <w:vAlign w:val="center"/>
                </w:tcPr>
                <w:p w14:paraId="70F41860">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 w:val="21"/>
                      <w:szCs w:val="21"/>
                      <w:lang w:val="en-US" w:eastAsia="zh-CN"/>
                    </w:rPr>
                    <w:t>5.7</w:t>
                  </w:r>
                </w:p>
              </w:tc>
              <w:tc>
                <w:tcPr>
                  <w:tcW w:w="154" w:type="pct"/>
                  <w:vAlign w:val="center"/>
                </w:tcPr>
                <w:p w14:paraId="03A8EAF5">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Cs w:val="21"/>
                      <w:lang w:val="en-US" w:eastAsia="zh-CN"/>
                    </w:rPr>
                    <w:t>2.2</w:t>
                  </w:r>
                </w:p>
              </w:tc>
              <w:tc>
                <w:tcPr>
                  <w:tcW w:w="179" w:type="pct"/>
                  <w:vAlign w:val="center"/>
                </w:tcPr>
                <w:p w14:paraId="37B59C72">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 w:val="21"/>
                      <w:szCs w:val="21"/>
                      <w:lang w:val="en-US" w:eastAsia="zh-CN"/>
                    </w:rPr>
                    <w:t>10.2</w:t>
                  </w:r>
                </w:p>
              </w:tc>
              <w:tc>
                <w:tcPr>
                  <w:tcW w:w="179" w:type="pct"/>
                  <w:vAlign w:val="center"/>
                </w:tcPr>
                <w:p w14:paraId="37AEF200">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 w:val="21"/>
                      <w:szCs w:val="21"/>
                      <w:lang w:val="en-US" w:eastAsia="zh-CN"/>
                    </w:rPr>
                    <w:t>17.2</w:t>
                  </w:r>
                </w:p>
              </w:tc>
              <w:tc>
                <w:tcPr>
                  <w:tcW w:w="179" w:type="pct"/>
                  <w:vAlign w:val="center"/>
                </w:tcPr>
                <w:p w14:paraId="0ADB85C5">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 w:val="21"/>
                      <w:szCs w:val="21"/>
                      <w:lang w:val="en-US" w:eastAsia="zh-CN"/>
                    </w:rPr>
                    <w:t>31.1</w:t>
                  </w:r>
                </w:p>
              </w:tc>
              <w:tc>
                <w:tcPr>
                  <w:tcW w:w="182" w:type="pct"/>
                  <w:vAlign w:val="center"/>
                </w:tcPr>
                <w:p w14:paraId="131B49CA">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 w:val="21"/>
                      <w:szCs w:val="21"/>
                      <w:lang w:val="en-US" w:eastAsia="zh-CN"/>
                    </w:rPr>
                    <w:t>7.4</w:t>
                  </w:r>
                </w:p>
              </w:tc>
              <w:tc>
                <w:tcPr>
                  <w:tcW w:w="206" w:type="pct"/>
                  <w:vAlign w:val="center"/>
                </w:tcPr>
                <w:p w14:paraId="4E5CB40D">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 w:val="21"/>
                      <w:szCs w:val="21"/>
                      <w:lang w:val="en-US" w:eastAsia="zh-CN" w:bidi="ar"/>
                    </w:rPr>
                    <w:t>57.83</w:t>
                  </w:r>
                </w:p>
              </w:tc>
              <w:tc>
                <w:tcPr>
                  <w:tcW w:w="206" w:type="pct"/>
                  <w:vAlign w:val="center"/>
                </w:tcPr>
                <w:p w14:paraId="70AA3806">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 w:val="21"/>
                      <w:szCs w:val="21"/>
                      <w:lang w:val="en-US" w:eastAsia="zh-CN" w:bidi="ar"/>
                    </w:rPr>
                    <w:t>53.29</w:t>
                  </w:r>
                </w:p>
              </w:tc>
              <w:tc>
                <w:tcPr>
                  <w:tcW w:w="206" w:type="pct"/>
                  <w:vAlign w:val="center"/>
                </w:tcPr>
                <w:p w14:paraId="715CE275">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 w:val="21"/>
                      <w:szCs w:val="21"/>
                      <w:lang w:val="en-US" w:eastAsia="zh-CN" w:bidi="ar"/>
                    </w:rPr>
                    <w:t>48.15</w:t>
                  </w:r>
                </w:p>
              </w:tc>
              <w:tc>
                <w:tcPr>
                  <w:tcW w:w="208" w:type="pct"/>
                  <w:vAlign w:val="center"/>
                </w:tcPr>
                <w:p w14:paraId="265F9F5B">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 w:val="21"/>
                      <w:szCs w:val="21"/>
                      <w:lang w:val="en-US" w:eastAsia="zh-CN" w:bidi="ar"/>
                    </w:rPr>
                    <w:t>60.62</w:t>
                  </w:r>
                </w:p>
              </w:tc>
              <w:tc>
                <w:tcPr>
                  <w:tcW w:w="220" w:type="pct"/>
                  <w:vMerge w:val="restart"/>
                  <w:vAlign w:val="center"/>
                </w:tcPr>
                <w:p w14:paraId="51B374B3">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 w:val="21"/>
                      <w:szCs w:val="21"/>
                      <w:lang w:val="en-US" w:eastAsia="zh-CN"/>
                    </w:rPr>
                    <w:t>3100</w:t>
                  </w:r>
                  <w:r>
                    <w:rPr>
                      <w:rFonts w:hint="default" w:ascii="Times New Roman" w:hAnsi="Times New Roman" w:eastAsia="宋体" w:cs="Times New Roman"/>
                      <w:color w:val="auto"/>
                      <w:spacing w:val="0"/>
                      <w:sz w:val="21"/>
                      <w:szCs w:val="21"/>
                    </w:rPr>
                    <w:t>h</w:t>
                  </w:r>
                </w:p>
              </w:tc>
              <w:tc>
                <w:tcPr>
                  <w:tcW w:w="241" w:type="pct"/>
                  <w:vMerge w:val="restart"/>
                  <w:vAlign w:val="center"/>
                </w:tcPr>
                <w:p w14:paraId="7F868C97">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rPr>
                  </w:pPr>
                  <w:r>
                    <w:rPr>
                      <w:rFonts w:hint="default" w:ascii="Times New Roman" w:hAnsi="Times New Roman" w:eastAsia="宋体" w:cs="Times New Roman"/>
                      <w:color w:val="auto"/>
                      <w:spacing w:val="0"/>
                      <w:szCs w:val="21"/>
                    </w:rPr>
                    <w:t>15</w:t>
                  </w:r>
                </w:p>
              </w:tc>
              <w:tc>
                <w:tcPr>
                  <w:tcW w:w="206" w:type="pct"/>
                  <w:vAlign w:val="center"/>
                </w:tcPr>
                <w:p w14:paraId="04837548">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Cs w:val="21"/>
                      <w:lang w:val="en-US" w:eastAsia="zh-CN" w:bidi="ar"/>
                    </w:rPr>
                    <w:t>42.83</w:t>
                  </w:r>
                </w:p>
              </w:tc>
              <w:tc>
                <w:tcPr>
                  <w:tcW w:w="206" w:type="pct"/>
                  <w:vAlign w:val="center"/>
                </w:tcPr>
                <w:p w14:paraId="6D06B9EA">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Cs w:val="21"/>
                      <w:lang w:val="en-US" w:eastAsia="zh-CN" w:bidi="ar"/>
                    </w:rPr>
                    <w:t>38.29</w:t>
                  </w:r>
                </w:p>
              </w:tc>
              <w:tc>
                <w:tcPr>
                  <w:tcW w:w="206" w:type="pct"/>
                  <w:vAlign w:val="center"/>
                </w:tcPr>
                <w:p w14:paraId="4DE5CDD6">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Cs w:val="21"/>
                      <w:lang w:val="en-US" w:eastAsia="zh-CN" w:bidi="ar"/>
                    </w:rPr>
                    <w:t>33.15</w:t>
                  </w:r>
                </w:p>
              </w:tc>
              <w:tc>
                <w:tcPr>
                  <w:tcW w:w="207" w:type="pct"/>
                  <w:vAlign w:val="center"/>
                </w:tcPr>
                <w:p w14:paraId="1382FEB3">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Cs w:val="21"/>
                      <w:lang w:val="en-US" w:eastAsia="zh-CN" w:bidi="ar"/>
                    </w:rPr>
                    <w:t>45.62</w:t>
                  </w:r>
                </w:p>
              </w:tc>
              <w:tc>
                <w:tcPr>
                  <w:tcW w:w="148" w:type="pct"/>
                  <w:vMerge w:val="restart"/>
                  <w:vAlign w:val="center"/>
                </w:tcPr>
                <w:p w14:paraId="732B24A0">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rPr>
                  </w:pPr>
                  <w:r>
                    <w:rPr>
                      <w:rFonts w:hint="default" w:ascii="Times New Roman" w:hAnsi="Times New Roman" w:eastAsia="宋体" w:cs="Times New Roman"/>
                      <w:color w:val="auto"/>
                      <w:spacing w:val="0"/>
                      <w:szCs w:val="21"/>
                    </w:rPr>
                    <w:t>1</w:t>
                  </w:r>
                </w:p>
              </w:tc>
            </w:tr>
            <w:tr w14:paraId="2CA1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 w:type="pct"/>
                  <w:vAlign w:val="center"/>
                </w:tcPr>
                <w:p w14:paraId="1EC020D3">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lang w:val="en-US" w:eastAsia="zh-CN"/>
                    </w:rPr>
                  </w:pPr>
                  <w:r>
                    <w:rPr>
                      <w:rFonts w:hint="default" w:ascii="Times New Roman" w:hAnsi="Times New Roman" w:eastAsia="宋体" w:cs="Times New Roman"/>
                      <w:color w:val="auto"/>
                      <w:spacing w:val="0"/>
                      <w:szCs w:val="21"/>
                      <w:lang w:val="en-US" w:eastAsia="zh-CN"/>
                    </w:rPr>
                    <w:t>2</w:t>
                  </w:r>
                </w:p>
              </w:tc>
              <w:tc>
                <w:tcPr>
                  <w:tcW w:w="138" w:type="pct"/>
                  <w:vMerge w:val="continue"/>
                  <w:vAlign w:val="center"/>
                </w:tcPr>
                <w:p w14:paraId="346CEB1B">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rPr>
                  </w:pPr>
                </w:p>
              </w:tc>
              <w:tc>
                <w:tcPr>
                  <w:tcW w:w="193" w:type="pct"/>
                  <w:vAlign w:val="center"/>
                </w:tcPr>
                <w:p w14:paraId="458FAFBE">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Cs w:val="21"/>
                      <w:lang w:val="en-US" w:eastAsia="zh-CN"/>
                    </w:rPr>
                    <w:t>分切车间</w:t>
                  </w:r>
                </w:p>
              </w:tc>
              <w:tc>
                <w:tcPr>
                  <w:tcW w:w="139" w:type="pct"/>
                  <w:vAlign w:val="center"/>
                </w:tcPr>
                <w:p w14:paraId="1B1E5CC1">
                  <w:pPr>
                    <w:keepLines w:val="0"/>
                    <w:pageBreakBefore w:val="0"/>
                    <w:widowControl w:val="0"/>
                    <w:kinsoku/>
                    <w:wordWrap/>
                    <w:overflowPunct/>
                    <w:topLinePunct w:val="0"/>
                    <w:bidi w:val="0"/>
                    <w:snapToGrid/>
                    <w:spacing w:line="240" w:lineRule="auto"/>
                    <w:jc w:val="center"/>
                    <w:rPr>
                      <w:rFonts w:hint="eastAsia" w:ascii="Times New Roman" w:hAnsi="Times New Roman" w:eastAsia="宋体" w:cs="Times New Roman"/>
                      <w:color w:val="auto"/>
                      <w:spacing w:val="0"/>
                      <w:szCs w:val="21"/>
                      <w:lang w:val="en-US" w:eastAsia="zh-CN"/>
                    </w:rPr>
                  </w:pPr>
                  <w:r>
                    <w:rPr>
                      <w:rFonts w:hint="eastAsia" w:cs="Times New Roman"/>
                      <w:color w:val="auto"/>
                      <w:spacing w:val="0"/>
                      <w:szCs w:val="21"/>
                      <w:lang w:val="en-US" w:eastAsia="zh-CN"/>
                    </w:rPr>
                    <w:t>分切机</w:t>
                  </w:r>
                </w:p>
              </w:tc>
              <w:tc>
                <w:tcPr>
                  <w:tcW w:w="247" w:type="pct"/>
                  <w:vAlign w:val="center"/>
                </w:tcPr>
                <w:p w14:paraId="7976BF9D">
                  <w:pPr>
                    <w:keepLines w:val="0"/>
                    <w:pageBreakBefore w:val="0"/>
                    <w:widowControl w:val="0"/>
                    <w:kinsoku/>
                    <w:wordWrap/>
                    <w:overflowPunct/>
                    <w:topLinePunct w:val="0"/>
                    <w:bidi w:val="0"/>
                    <w:snapToGrid/>
                    <w:spacing w:line="240" w:lineRule="auto"/>
                    <w:ind w:firstLine="0" w:firstLineChars="0"/>
                    <w:jc w:val="center"/>
                    <w:rPr>
                      <w:rFonts w:hint="eastAsia" w:ascii="Times New Roman" w:hAnsi="Times New Roman" w:eastAsia="宋体" w:cs="Times New Roman"/>
                      <w:color w:val="auto"/>
                      <w:spacing w:val="0"/>
                      <w:szCs w:val="21"/>
                      <w:lang w:val="en-US" w:eastAsia="zh-CN"/>
                    </w:rPr>
                  </w:pPr>
                  <w:r>
                    <w:rPr>
                      <w:rFonts w:hint="eastAsia" w:cs="Times New Roman"/>
                      <w:color w:val="auto"/>
                      <w:spacing w:val="0"/>
                      <w:sz w:val="21"/>
                      <w:szCs w:val="21"/>
                      <w:lang w:val="en-US" w:eastAsia="zh-CN"/>
                    </w:rPr>
                    <w:t>2</w:t>
                  </w:r>
                </w:p>
              </w:tc>
              <w:tc>
                <w:tcPr>
                  <w:tcW w:w="226" w:type="pct"/>
                  <w:vAlign w:val="center"/>
                </w:tcPr>
                <w:p w14:paraId="15E460B7">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Cs w:val="21"/>
                      <w:lang w:val="en-US" w:eastAsia="zh-CN"/>
                    </w:rPr>
                    <w:t>75</w:t>
                  </w:r>
                </w:p>
              </w:tc>
              <w:tc>
                <w:tcPr>
                  <w:tcW w:w="241" w:type="pct"/>
                  <w:shd w:val="clear" w:color="auto" w:fill="auto"/>
                  <w:vAlign w:val="center"/>
                </w:tcPr>
                <w:p w14:paraId="1729D2EC">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cs="Times New Roman"/>
                      <w:color w:val="auto"/>
                      <w:spacing w:val="0"/>
                      <w:szCs w:val="21"/>
                      <w:lang w:val="en-US" w:eastAsia="zh-CN"/>
                    </w:rPr>
                    <w:t>78.01</w:t>
                  </w:r>
                </w:p>
              </w:tc>
              <w:tc>
                <w:tcPr>
                  <w:tcW w:w="179" w:type="pct"/>
                  <w:vMerge w:val="continue"/>
                  <w:vAlign w:val="center"/>
                </w:tcPr>
                <w:p w14:paraId="154FC24A">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rPr>
                  </w:pPr>
                </w:p>
              </w:tc>
              <w:tc>
                <w:tcPr>
                  <w:tcW w:w="179" w:type="pct"/>
                  <w:vAlign w:val="center"/>
                </w:tcPr>
                <w:p w14:paraId="655C5F2F">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 w:val="21"/>
                      <w:szCs w:val="21"/>
                      <w:lang w:val="en-US" w:eastAsia="zh-CN"/>
                    </w:rPr>
                    <w:t>-5.6</w:t>
                  </w:r>
                </w:p>
              </w:tc>
              <w:tc>
                <w:tcPr>
                  <w:tcW w:w="179" w:type="pct"/>
                  <w:vAlign w:val="center"/>
                </w:tcPr>
                <w:p w14:paraId="5482B5E2">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 w:val="21"/>
                      <w:szCs w:val="21"/>
                      <w:lang w:val="en-US" w:eastAsia="zh-CN"/>
                    </w:rPr>
                    <w:t>-3.5</w:t>
                  </w:r>
                </w:p>
              </w:tc>
              <w:tc>
                <w:tcPr>
                  <w:tcW w:w="154" w:type="pct"/>
                  <w:vAlign w:val="center"/>
                </w:tcPr>
                <w:p w14:paraId="6C960863">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Cs w:val="21"/>
                      <w:lang w:val="en-US" w:eastAsia="zh-CN"/>
                    </w:rPr>
                    <w:t>2.0</w:t>
                  </w:r>
                </w:p>
              </w:tc>
              <w:tc>
                <w:tcPr>
                  <w:tcW w:w="179" w:type="pct"/>
                  <w:vAlign w:val="center"/>
                </w:tcPr>
                <w:p w14:paraId="480A4CB4">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 w:val="21"/>
                      <w:szCs w:val="21"/>
                      <w:lang w:val="en-US" w:eastAsia="zh-CN"/>
                    </w:rPr>
                    <w:t>25.1</w:t>
                  </w:r>
                </w:p>
              </w:tc>
              <w:tc>
                <w:tcPr>
                  <w:tcW w:w="179" w:type="pct"/>
                  <w:vAlign w:val="center"/>
                </w:tcPr>
                <w:p w14:paraId="04AEA0D6">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 w:val="21"/>
                      <w:szCs w:val="21"/>
                      <w:lang w:val="en-US" w:eastAsia="zh-CN"/>
                    </w:rPr>
                    <w:t>7.5</w:t>
                  </w:r>
                </w:p>
              </w:tc>
              <w:tc>
                <w:tcPr>
                  <w:tcW w:w="179" w:type="pct"/>
                  <w:vAlign w:val="center"/>
                </w:tcPr>
                <w:p w14:paraId="12A79818">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Cs w:val="21"/>
                      <w:lang w:val="en-US" w:eastAsia="zh-CN"/>
                    </w:rPr>
                    <w:t>12.3</w:t>
                  </w:r>
                </w:p>
              </w:tc>
              <w:tc>
                <w:tcPr>
                  <w:tcW w:w="182" w:type="pct"/>
                  <w:vAlign w:val="center"/>
                </w:tcPr>
                <w:p w14:paraId="28051A9C">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 w:val="21"/>
                      <w:szCs w:val="21"/>
                      <w:lang w:val="en-US" w:eastAsia="zh-CN"/>
                    </w:rPr>
                    <w:t>16.9</w:t>
                  </w:r>
                </w:p>
              </w:tc>
              <w:tc>
                <w:tcPr>
                  <w:tcW w:w="206" w:type="pct"/>
                  <w:vAlign w:val="center"/>
                </w:tcPr>
                <w:p w14:paraId="46DDFB66">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 w:val="21"/>
                      <w:szCs w:val="21"/>
                      <w:lang w:val="en-US" w:eastAsia="zh-CN" w:bidi="ar"/>
                    </w:rPr>
                    <w:t>50.01</w:t>
                  </w:r>
                </w:p>
              </w:tc>
              <w:tc>
                <w:tcPr>
                  <w:tcW w:w="206" w:type="pct"/>
                  <w:vAlign w:val="center"/>
                </w:tcPr>
                <w:p w14:paraId="44FFD07A">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 w:val="21"/>
                      <w:szCs w:val="21"/>
                      <w:lang w:val="en-US" w:eastAsia="zh-CN" w:bidi="ar"/>
                    </w:rPr>
                    <w:t>60.51</w:t>
                  </w:r>
                </w:p>
              </w:tc>
              <w:tc>
                <w:tcPr>
                  <w:tcW w:w="206" w:type="pct"/>
                  <w:vAlign w:val="center"/>
                </w:tcPr>
                <w:p w14:paraId="6ADC47A1">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Cs w:val="21"/>
                      <w:lang w:val="en-US" w:eastAsia="zh-CN" w:bidi="ar"/>
                    </w:rPr>
                    <w:t>56.21</w:t>
                  </w:r>
                </w:p>
              </w:tc>
              <w:tc>
                <w:tcPr>
                  <w:tcW w:w="208" w:type="pct"/>
                  <w:vAlign w:val="center"/>
                </w:tcPr>
                <w:p w14:paraId="055F25B9">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 w:val="21"/>
                      <w:szCs w:val="21"/>
                      <w:lang w:val="en-US" w:eastAsia="zh-CN" w:bidi="ar"/>
                    </w:rPr>
                    <w:t>53.45</w:t>
                  </w:r>
                </w:p>
              </w:tc>
              <w:tc>
                <w:tcPr>
                  <w:tcW w:w="220" w:type="pct"/>
                  <w:vMerge w:val="continue"/>
                  <w:vAlign w:val="center"/>
                </w:tcPr>
                <w:p w14:paraId="45CBEEEF">
                  <w:pPr>
                    <w:keepNext/>
                    <w:keepLines w:val="0"/>
                    <w:pageBreakBefore w:val="0"/>
                    <w:widowControl w:val="0"/>
                    <w:kinsoku/>
                    <w:wordWrap/>
                    <w:overflowPunct/>
                    <w:topLinePunct w:val="0"/>
                    <w:bidi w:val="0"/>
                    <w:snapToGrid/>
                    <w:spacing w:line="240" w:lineRule="auto"/>
                    <w:jc w:val="center"/>
                    <w:outlineLvl w:val="3"/>
                    <w:rPr>
                      <w:rFonts w:hint="default" w:ascii="Times New Roman" w:hAnsi="Times New Roman" w:eastAsia="宋体" w:cs="Times New Roman"/>
                      <w:color w:val="auto"/>
                      <w:spacing w:val="0"/>
                      <w:szCs w:val="21"/>
                    </w:rPr>
                  </w:pPr>
                </w:p>
              </w:tc>
              <w:tc>
                <w:tcPr>
                  <w:tcW w:w="241" w:type="pct"/>
                  <w:vMerge w:val="continue"/>
                  <w:vAlign w:val="center"/>
                </w:tcPr>
                <w:p w14:paraId="2C38612C">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rPr>
                  </w:pPr>
                </w:p>
              </w:tc>
              <w:tc>
                <w:tcPr>
                  <w:tcW w:w="206" w:type="pct"/>
                  <w:vAlign w:val="center"/>
                </w:tcPr>
                <w:p w14:paraId="288ED13B">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Cs w:val="21"/>
                      <w:lang w:val="en-US" w:eastAsia="zh-CN" w:bidi="ar"/>
                    </w:rPr>
                    <w:t>35.01</w:t>
                  </w:r>
                </w:p>
              </w:tc>
              <w:tc>
                <w:tcPr>
                  <w:tcW w:w="206" w:type="pct"/>
                  <w:vAlign w:val="center"/>
                </w:tcPr>
                <w:p w14:paraId="732D3BFD">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Cs w:val="21"/>
                      <w:lang w:val="en-US" w:eastAsia="zh-CN" w:bidi="ar"/>
                    </w:rPr>
                    <w:t>45.51</w:t>
                  </w:r>
                </w:p>
              </w:tc>
              <w:tc>
                <w:tcPr>
                  <w:tcW w:w="206" w:type="pct"/>
                  <w:vAlign w:val="center"/>
                </w:tcPr>
                <w:p w14:paraId="2A8271A8">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Cs w:val="21"/>
                      <w:lang w:val="en-US" w:eastAsia="zh-CN" w:bidi="ar"/>
                    </w:rPr>
                    <w:t>41.21</w:t>
                  </w:r>
                </w:p>
              </w:tc>
              <w:tc>
                <w:tcPr>
                  <w:tcW w:w="207" w:type="pct"/>
                  <w:vAlign w:val="center"/>
                </w:tcPr>
                <w:p w14:paraId="19637DE6">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szCs w:val="21"/>
                      <w:lang w:val="en-US" w:eastAsia="zh-CN" w:bidi="ar"/>
                    </w:rPr>
                  </w:pPr>
                  <w:r>
                    <w:rPr>
                      <w:rFonts w:hint="eastAsia" w:cs="Times New Roman"/>
                      <w:color w:val="auto"/>
                      <w:spacing w:val="0"/>
                      <w:szCs w:val="21"/>
                      <w:lang w:val="en-US" w:eastAsia="zh-CN" w:bidi="ar"/>
                    </w:rPr>
                    <w:t>38.45</w:t>
                  </w:r>
                </w:p>
              </w:tc>
              <w:tc>
                <w:tcPr>
                  <w:tcW w:w="148" w:type="pct"/>
                  <w:vMerge w:val="continue"/>
                  <w:vAlign w:val="center"/>
                </w:tcPr>
                <w:p w14:paraId="153F3F23">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rPr>
                  </w:pPr>
                </w:p>
              </w:tc>
            </w:tr>
            <w:tr w14:paraId="45E69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 w:type="pct"/>
                  <w:vAlign w:val="center"/>
                </w:tcPr>
                <w:p w14:paraId="4C7DDC39">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lang w:val="en-US" w:eastAsia="zh-CN"/>
                    </w:rPr>
                  </w:pPr>
                  <w:r>
                    <w:rPr>
                      <w:rFonts w:hint="eastAsia" w:cs="Times New Roman"/>
                      <w:color w:val="auto"/>
                      <w:spacing w:val="0"/>
                      <w:szCs w:val="21"/>
                      <w:lang w:val="en-US" w:eastAsia="zh-CN"/>
                    </w:rPr>
                    <w:t>3</w:t>
                  </w:r>
                </w:p>
              </w:tc>
              <w:tc>
                <w:tcPr>
                  <w:tcW w:w="138" w:type="pct"/>
                  <w:vMerge w:val="continue"/>
                  <w:vAlign w:val="center"/>
                </w:tcPr>
                <w:p w14:paraId="2201F3CD">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rPr>
                  </w:pPr>
                </w:p>
              </w:tc>
              <w:tc>
                <w:tcPr>
                  <w:tcW w:w="193" w:type="pct"/>
                  <w:vAlign w:val="center"/>
                </w:tcPr>
                <w:p w14:paraId="1B0A3B60">
                  <w:pPr>
                    <w:keepLines w:val="0"/>
                    <w:pageBreakBefore w:val="0"/>
                    <w:widowControl w:val="0"/>
                    <w:kinsoku/>
                    <w:wordWrap/>
                    <w:overflowPunct/>
                    <w:topLinePunct w:val="0"/>
                    <w:bidi w:val="0"/>
                    <w:snapToGrid/>
                    <w:spacing w:line="240" w:lineRule="auto"/>
                    <w:jc w:val="center"/>
                    <w:rPr>
                      <w:rFonts w:hint="default" w:cs="Times New Roman"/>
                      <w:color w:val="auto"/>
                      <w:spacing w:val="0"/>
                      <w:sz w:val="21"/>
                      <w:szCs w:val="21"/>
                      <w:highlight w:val="none"/>
                      <w:vertAlign w:val="baseline"/>
                      <w:lang w:val="en-US" w:eastAsia="zh-CN"/>
                    </w:rPr>
                  </w:pPr>
                  <w:r>
                    <w:rPr>
                      <w:rFonts w:hint="eastAsia" w:cs="Times New Roman"/>
                      <w:color w:val="auto"/>
                      <w:spacing w:val="0"/>
                      <w:sz w:val="21"/>
                      <w:szCs w:val="21"/>
                      <w:highlight w:val="none"/>
                      <w:vertAlign w:val="baseline"/>
                      <w:lang w:val="en-US" w:eastAsia="zh-CN"/>
                    </w:rPr>
                    <w:t>原料暂存间</w:t>
                  </w:r>
                </w:p>
              </w:tc>
              <w:tc>
                <w:tcPr>
                  <w:tcW w:w="139" w:type="pct"/>
                  <w:shd w:val="clear" w:color="auto" w:fill="auto"/>
                  <w:vAlign w:val="center"/>
                </w:tcPr>
                <w:p w14:paraId="65A670BD">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kern w:val="2"/>
                      <w:sz w:val="21"/>
                      <w:szCs w:val="21"/>
                      <w:lang w:val="en-US" w:eastAsia="zh-CN" w:bidi="ar-SA"/>
                    </w:rPr>
                  </w:pPr>
                  <w:r>
                    <w:rPr>
                      <w:rFonts w:hint="eastAsia" w:cs="Times New Roman"/>
                      <w:color w:val="auto"/>
                      <w:spacing w:val="0"/>
                      <w:sz w:val="21"/>
                      <w:szCs w:val="21"/>
                      <w:highlight w:val="none"/>
                      <w:vertAlign w:val="baseline"/>
                      <w:lang w:val="en-US" w:eastAsia="zh-CN"/>
                    </w:rPr>
                    <w:t>切管机</w:t>
                  </w:r>
                </w:p>
              </w:tc>
              <w:tc>
                <w:tcPr>
                  <w:tcW w:w="247" w:type="pct"/>
                  <w:vAlign w:val="center"/>
                </w:tcPr>
                <w:p w14:paraId="244F371C">
                  <w:pPr>
                    <w:keepLines w:val="0"/>
                    <w:pageBreakBefore w:val="0"/>
                    <w:widowControl w:val="0"/>
                    <w:kinsoku/>
                    <w:wordWrap/>
                    <w:overflowPunct/>
                    <w:topLinePunct w:val="0"/>
                    <w:bidi w:val="0"/>
                    <w:snapToGrid/>
                    <w:spacing w:line="240" w:lineRule="auto"/>
                    <w:ind w:firstLine="0" w:firstLineChars="0"/>
                    <w:jc w:val="center"/>
                    <w:rPr>
                      <w:rFonts w:hint="eastAsia" w:cs="Times New Roman"/>
                      <w:color w:val="auto"/>
                      <w:spacing w:val="0"/>
                      <w:sz w:val="21"/>
                      <w:szCs w:val="21"/>
                      <w:lang w:val="en-US" w:eastAsia="zh-CN"/>
                    </w:rPr>
                  </w:pPr>
                  <w:r>
                    <w:rPr>
                      <w:rFonts w:hint="eastAsia" w:cs="Times New Roman"/>
                      <w:color w:val="auto"/>
                      <w:spacing w:val="0"/>
                      <w:sz w:val="21"/>
                      <w:szCs w:val="21"/>
                      <w:lang w:val="en-US" w:eastAsia="zh-CN"/>
                    </w:rPr>
                    <w:t>1</w:t>
                  </w:r>
                </w:p>
              </w:tc>
              <w:tc>
                <w:tcPr>
                  <w:tcW w:w="226" w:type="pct"/>
                  <w:vAlign w:val="center"/>
                </w:tcPr>
                <w:p w14:paraId="05672959">
                  <w:pPr>
                    <w:keepLines w:val="0"/>
                    <w:pageBreakBefore w:val="0"/>
                    <w:widowControl w:val="0"/>
                    <w:kinsoku/>
                    <w:wordWrap/>
                    <w:overflowPunct/>
                    <w:topLinePunct w:val="0"/>
                    <w:bidi w:val="0"/>
                    <w:snapToGrid/>
                    <w:spacing w:line="240" w:lineRule="auto"/>
                    <w:ind w:firstLine="0" w:firstLineChars="0"/>
                    <w:jc w:val="center"/>
                    <w:rPr>
                      <w:rFonts w:hint="eastAsia" w:cs="Times New Roman"/>
                      <w:color w:val="auto"/>
                      <w:spacing w:val="0"/>
                      <w:sz w:val="21"/>
                      <w:szCs w:val="21"/>
                      <w:lang w:val="en-US" w:eastAsia="zh-CN"/>
                    </w:rPr>
                  </w:pPr>
                  <w:r>
                    <w:rPr>
                      <w:rFonts w:hint="eastAsia" w:cs="Times New Roman"/>
                      <w:color w:val="auto"/>
                      <w:spacing w:val="0"/>
                      <w:szCs w:val="21"/>
                      <w:lang w:val="en-US" w:eastAsia="zh-CN"/>
                    </w:rPr>
                    <w:t>75</w:t>
                  </w:r>
                </w:p>
              </w:tc>
              <w:tc>
                <w:tcPr>
                  <w:tcW w:w="241" w:type="pct"/>
                  <w:vAlign w:val="center"/>
                </w:tcPr>
                <w:p w14:paraId="19659784">
                  <w:pPr>
                    <w:keepLines w:val="0"/>
                    <w:pageBreakBefore w:val="0"/>
                    <w:widowControl w:val="0"/>
                    <w:kinsoku/>
                    <w:wordWrap/>
                    <w:overflowPunct/>
                    <w:topLinePunct w:val="0"/>
                    <w:bidi w:val="0"/>
                    <w:snapToGrid/>
                    <w:spacing w:line="240" w:lineRule="auto"/>
                    <w:ind w:firstLine="0" w:firstLineChars="0"/>
                    <w:jc w:val="center"/>
                    <w:rPr>
                      <w:rFonts w:hint="eastAsia" w:cs="Times New Roman"/>
                      <w:color w:val="auto"/>
                      <w:spacing w:val="0"/>
                      <w:sz w:val="21"/>
                      <w:szCs w:val="21"/>
                      <w:lang w:val="en-US" w:eastAsia="zh-CN"/>
                    </w:rPr>
                  </w:pPr>
                  <w:r>
                    <w:rPr>
                      <w:rFonts w:hint="eastAsia" w:cs="Times New Roman"/>
                      <w:color w:val="auto"/>
                      <w:spacing w:val="0"/>
                      <w:szCs w:val="21"/>
                      <w:lang w:val="en-US" w:eastAsia="zh-CN"/>
                    </w:rPr>
                    <w:t>75</w:t>
                  </w:r>
                </w:p>
              </w:tc>
              <w:tc>
                <w:tcPr>
                  <w:tcW w:w="179" w:type="pct"/>
                  <w:vMerge w:val="continue"/>
                  <w:vAlign w:val="center"/>
                </w:tcPr>
                <w:p w14:paraId="270C4814">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rPr>
                  </w:pPr>
                </w:p>
              </w:tc>
              <w:tc>
                <w:tcPr>
                  <w:tcW w:w="179" w:type="pct"/>
                  <w:vAlign w:val="center"/>
                </w:tcPr>
                <w:p w14:paraId="411E51E5">
                  <w:pPr>
                    <w:keepLines w:val="0"/>
                    <w:pageBreakBefore w:val="0"/>
                    <w:widowControl w:val="0"/>
                    <w:kinsoku/>
                    <w:wordWrap/>
                    <w:overflowPunct/>
                    <w:topLinePunct w:val="0"/>
                    <w:bidi w:val="0"/>
                    <w:snapToGrid/>
                    <w:spacing w:line="240" w:lineRule="auto"/>
                    <w:ind w:firstLine="0" w:firstLineChars="0"/>
                    <w:jc w:val="center"/>
                    <w:rPr>
                      <w:rFonts w:hint="default" w:cs="Times New Roman"/>
                      <w:color w:val="auto"/>
                      <w:spacing w:val="0"/>
                      <w:sz w:val="21"/>
                      <w:szCs w:val="21"/>
                      <w:lang w:val="en-US" w:eastAsia="zh-CN"/>
                    </w:rPr>
                  </w:pPr>
                  <w:r>
                    <w:rPr>
                      <w:rFonts w:hint="eastAsia" w:cs="Times New Roman"/>
                      <w:color w:val="auto"/>
                      <w:spacing w:val="0"/>
                      <w:sz w:val="21"/>
                      <w:szCs w:val="21"/>
                      <w:lang w:val="en-US" w:eastAsia="zh-CN"/>
                    </w:rPr>
                    <w:t>-5.6</w:t>
                  </w:r>
                </w:p>
              </w:tc>
              <w:tc>
                <w:tcPr>
                  <w:tcW w:w="179" w:type="pct"/>
                  <w:shd w:val="clear" w:color="auto" w:fill="auto"/>
                  <w:vAlign w:val="center"/>
                </w:tcPr>
                <w:p w14:paraId="59546609">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cs="Times New Roman"/>
                      <w:color w:val="auto"/>
                      <w:spacing w:val="0"/>
                      <w:sz w:val="21"/>
                      <w:szCs w:val="21"/>
                      <w:lang w:val="en-US" w:eastAsia="zh-CN"/>
                    </w:rPr>
                    <w:t>5.6</w:t>
                  </w:r>
                </w:p>
              </w:tc>
              <w:tc>
                <w:tcPr>
                  <w:tcW w:w="154" w:type="pct"/>
                  <w:shd w:val="clear" w:color="auto" w:fill="auto"/>
                  <w:vAlign w:val="center"/>
                </w:tcPr>
                <w:p w14:paraId="687C0143">
                  <w:pPr>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cs="Times New Roman"/>
                      <w:color w:val="auto"/>
                      <w:spacing w:val="0"/>
                      <w:szCs w:val="21"/>
                      <w:lang w:val="en-US" w:eastAsia="zh-CN"/>
                    </w:rPr>
                    <w:t>2.0</w:t>
                  </w:r>
                </w:p>
              </w:tc>
              <w:tc>
                <w:tcPr>
                  <w:tcW w:w="179" w:type="pct"/>
                  <w:vAlign w:val="center"/>
                </w:tcPr>
                <w:p w14:paraId="159BD11B">
                  <w:pPr>
                    <w:keepLines w:val="0"/>
                    <w:pageBreakBefore w:val="0"/>
                    <w:widowControl w:val="0"/>
                    <w:kinsoku/>
                    <w:wordWrap/>
                    <w:overflowPunct/>
                    <w:topLinePunct w:val="0"/>
                    <w:bidi w:val="0"/>
                    <w:snapToGrid/>
                    <w:spacing w:line="240" w:lineRule="auto"/>
                    <w:ind w:firstLine="0" w:firstLineChars="0"/>
                    <w:jc w:val="center"/>
                    <w:rPr>
                      <w:rFonts w:hint="default" w:cs="Times New Roman"/>
                      <w:color w:val="auto"/>
                      <w:spacing w:val="0"/>
                      <w:sz w:val="21"/>
                      <w:szCs w:val="21"/>
                      <w:lang w:val="en-US" w:eastAsia="zh-CN"/>
                    </w:rPr>
                  </w:pPr>
                  <w:r>
                    <w:rPr>
                      <w:rFonts w:hint="eastAsia" w:cs="Times New Roman"/>
                      <w:color w:val="auto"/>
                      <w:spacing w:val="0"/>
                      <w:sz w:val="21"/>
                      <w:szCs w:val="21"/>
                      <w:lang w:val="en-US" w:eastAsia="zh-CN"/>
                    </w:rPr>
                    <w:t>24.9</w:t>
                  </w:r>
                </w:p>
              </w:tc>
              <w:tc>
                <w:tcPr>
                  <w:tcW w:w="179" w:type="pct"/>
                  <w:vAlign w:val="center"/>
                </w:tcPr>
                <w:p w14:paraId="3B2F04EF">
                  <w:pPr>
                    <w:keepLines w:val="0"/>
                    <w:pageBreakBefore w:val="0"/>
                    <w:widowControl w:val="0"/>
                    <w:kinsoku/>
                    <w:wordWrap/>
                    <w:overflowPunct/>
                    <w:topLinePunct w:val="0"/>
                    <w:bidi w:val="0"/>
                    <w:snapToGrid/>
                    <w:spacing w:line="240" w:lineRule="auto"/>
                    <w:ind w:firstLine="0" w:firstLineChars="0"/>
                    <w:jc w:val="center"/>
                    <w:rPr>
                      <w:rFonts w:hint="default" w:cs="Times New Roman"/>
                      <w:color w:val="auto"/>
                      <w:spacing w:val="0"/>
                      <w:sz w:val="21"/>
                      <w:szCs w:val="21"/>
                      <w:lang w:val="en-US" w:eastAsia="zh-CN"/>
                    </w:rPr>
                  </w:pPr>
                  <w:r>
                    <w:rPr>
                      <w:rFonts w:hint="eastAsia" w:cs="Times New Roman"/>
                      <w:color w:val="auto"/>
                      <w:spacing w:val="0"/>
                      <w:sz w:val="21"/>
                      <w:szCs w:val="21"/>
                      <w:lang w:val="en-US" w:eastAsia="zh-CN"/>
                    </w:rPr>
                    <w:t>17.3</w:t>
                  </w:r>
                </w:p>
              </w:tc>
              <w:tc>
                <w:tcPr>
                  <w:tcW w:w="179" w:type="pct"/>
                  <w:vAlign w:val="center"/>
                </w:tcPr>
                <w:p w14:paraId="15098809">
                  <w:pPr>
                    <w:keepLines w:val="0"/>
                    <w:pageBreakBefore w:val="0"/>
                    <w:widowControl w:val="0"/>
                    <w:kinsoku/>
                    <w:wordWrap/>
                    <w:overflowPunct/>
                    <w:topLinePunct w:val="0"/>
                    <w:bidi w:val="0"/>
                    <w:snapToGrid/>
                    <w:spacing w:line="240" w:lineRule="auto"/>
                    <w:ind w:firstLine="0" w:firstLineChars="0"/>
                    <w:jc w:val="center"/>
                    <w:rPr>
                      <w:rFonts w:hint="default" w:cs="Times New Roman"/>
                      <w:color w:val="auto"/>
                      <w:spacing w:val="0"/>
                      <w:szCs w:val="21"/>
                      <w:lang w:val="en-US" w:eastAsia="zh-CN"/>
                    </w:rPr>
                  </w:pPr>
                  <w:r>
                    <w:rPr>
                      <w:rFonts w:hint="eastAsia" w:cs="Times New Roman"/>
                      <w:color w:val="auto"/>
                      <w:spacing w:val="0"/>
                      <w:szCs w:val="21"/>
                      <w:lang w:val="en-US" w:eastAsia="zh-CN"/>
                    </w:rPr>
                    <w:t>16.1</w:t>
                  </w:r>
                </w:p>
              </w:tc>
              <w:tc>
                <w:tcPr>
                  <w:tcW w:w="182" w:type="pct"/>
                  <w:vAlign w:val="center"/>
                </w:tcPr>
                <w:p w14:paraId="2658F6C4">
                  <w:pPr>
                    <w:keepLines w:val="0"/>
                    <w:pageBreakBefore w:val="0"/>
                    <w:widowControl w:val="0"/>
                    <w:kinsoku/>
                    <w:wordWrap/>
                    <w:overflowPunct/>
                    <w:topLinePunct w:val="0"/>
                    <w:bidi w:val="0"/>
                    <w:snapToGrid/>
                    <w:spacing w:line="240" w:lineRule="auto"/>
                    <w:ind w:firstLine="0" w:firstLineChars="0"/>
                    <w:jc w:val="center"/>
                    <w:rPr>
                      <w:rFonts w:hint="default" w:cs="Times New Roman"/>
                      <w:color w:val="auto"/>
                      <w:spacing w:val="0"/>
                      <w:sz w:val="21"/>
                      <w:szCs w:val="21"/>
                      <w:lang w:val="en-US" w:eastAsia="zh-CN"/>
                    </w:rPr>
                  </w:pPr>
                  <w:r>
                    <w:rPr>
                      <w:rFonts w:hint="eastAsia" w:cs="Times New Roman"/>
                      <w:color w:val="auto"/>
                      <w:spacing w:val="0"/>
                      <w:sz w:val="21"/>
                      <w:szCs w:val="21"/>
                      <w:lang w:val="en-US" w:eastAsia="zh-CN"/>
                    </w:rPr>
                    <w:t>7.1</w:t>
                  </w:r>
                </w:p>
              </w:tc>
              <w:tc>
                <w:tcPr>
                  <w:tcW w:w="206" w:type="pct"/>
                  <w:vAlign w:val="center"/>
                </w:tcPr>
                <w:p w14:paraId="0DE8AA8C">
                  <w:pPr>
                    <w:keepLines w:val="0"/>
                    <w:pageBreakBefore w:val="0"/>
                    <w:widowControl w:val="0"/>
                    <w:kinsoku/>
                    <w:wordWrap/>
                    <w:overflowPunct/>
                    <w:topLinePunct w:val="0"/>
                    <w:bidi w:val="0"/>
                    <w:snapToGrid/>
                    <w:spacing w:line="240" w:lineRule="auto"/>
                    <w:ind w:firstLine="0" w:firstLineChars="0"/>
                    <w:jc w:val="center"/>
                    <w:rPr>
                      <w:rFonts w:hint="default" w:cs="Times New Roman"/>
                      <w:color w:val="auto"/>
                      <w:spacing w:val="0"/>
                      <w:sz w:val="21"/>
                      <w:szCs w:val="21"/>
                      <w:lang w:val="en-US" w:eastAsia="zh-CN" w:bidi="ar"/>
                    </w:rPr>
                  </w:pPr>
                  <w:r>
                    <w:rPr>
                      <w:rFonts w:hint="eastAsia" w:cs="Times New Roman"/>
                      <w:color w:val="auto"/>
                      <w:spacing w:val="0"/>
                      <w:sz w:val="21"/>
                      <w:szCs w:val="21"/>
                      <w:lang w:val="en-US" w:eastAsia="zh-CN" w:bidi="ar"/>
                    </w:rPr>
                    <w:t>47.07</w:t>
                  </w:r>
                </w:p>
              </w:tc>
              <w:tc>
                <w:tcPr>
                  <w:tcW w:w="206" w:type="pct"/>
                  <w:vAlign w:val="center"/>
                </w:tcPr>
                <w:p w14:paraId="67D5AE46">
                  <w:pPr>
                    <w:keepLines w:val="0"/>
                    <w:pageBreakBefore w:val="0"/>
                    <w:widowControl w:val="0"/>
                    <w:kinsoku/>
                    <w:wordWrap/>
                    <w:overflowPunct/>
                    <w:topLinePunct w:val="0"/>
                    <w:bidi w:val="0"/>
                    <w:snapToGrid/>
                    <w:spacing w:line="240" w:lineRule="auto"/>
                    <w:ind w:firstLine="0" w:firstLineChars="0"/>
                    <w:jc w:val="center"/>
                    <w:rPr>
                      <w:rFonts w:hint="default" w:cs="Times New Roman"/>
                      <w:color w:val="auto"/>
                      <w:spacing w:val="0"/>
                      <w:sz w:val="21"/>
                      <w:szCs w:val="21"/>
                      <w:lang w:val="en-US" w:eastAsia="zh-CN" w:bidi="ar"/>
                    </w:rPr>
                  </w:pPr>
                  <w:r>
                    <w:rPr>
                      <w:rFonts w:hint="eastAsia" w:cs="Times New Roman"/>
                      <w:color w:val="auto"/>
                      <w:spacing w:val="0"/>
                      <w:sz w:val="21"/>
                      <w:szCs w:val="21"/>
                      <w:lang w:val="en-US" w:eastAsia="zh-CN" w:bidi="ar"/>
                    </w:rPr>
                    <w:t>50.23</w:t>
                  </w:r>
                </w:p>
              </w:tc>
              <w:tc>
                <w:tcPr>
                  <w:tcW w:w="206" w:type="pct"/>
                  <w:vAlign w:val="center"/>
                </w:tcPr>
                <w:p w14:paraId="66928807">
                  <w:pPr>
                    <w:keepLines w:val="0"/>
                    <w:pageBreakBefore w:val="0"/>
                    <w:widowControl w:val="0"/>
                    <w:kinsoku/>
                    <w:wordWrap/>
                    <w:overflowPunct/>
                    <w:topLinePunct w:val="0"/>
                    <w:bidi w:val="0"/>
                    <w:snapToGrid/>
                    <w:spacing w:line="240" w:lineRule="auto"/>
                    <w:ind w:firstLine="0" w:firstLineChars="0"/>
                    <w:jc w:val="center"/>
                    <w:rPr>
                      <w:rFonts w:hint="default" w:cs="Times New Roman"/>
                      <w:color w:val="auto"/>
                      <w:spacing w:val="0"/>
                      <w:szCs w:val="21"/>
                      <w:lang w:val="en-US" w:eastAsia="zh-CN" w:bidi="ar"/>
                    </w:rPr>
                  </w:pPr>
                  <w:r>
                    <w:rPr>
                      <w:rFonts w:hint="eastAsia" w:cs="Times New Roman"/>
                      <w:color w:val="auto"/>
                      <w:spacing w:val="0"/>
                      <w:szCs w:val="21"/>
                      <w:lang w:val="en-US" w:eastAsia="zh-CN" w:bidi="ar"/>
                    </w:rPr>
                    <w:t>50.86</w:t>
                  </w:r>
                </w:p>
              </w:tc>
              <w:tc>
                <w:tcPr>
                  <w:tcW w:w="208" w:type="pct"/>
                  <w:vAlign w:val="center"/>
                </w:tcPr>
                <w:p w14:paraId="6E29C721">
                  <w:pPr>
                    <w:keepLines w:val="0"/>
                    <w:pageBreakBefore w:val="0"/>
                    <w:widowControl w:val="0"/>
                    <w:kinsoku/>
                    <w:wordWrap/>
                    <w:overflowPunct/>
                    <w:topLinePunct w:val="0"/>
                    <w:bidi w:val="0"/>
                    <w:snapToGrid/>
                    <w:spacing w:line="240" w:lineRule="auto"/>
                    <w:ind w:firstLine="0" w:firstLineChars="0"/>
                    <w:jc w:val="center"/>
                    <w:rPr>
                      <w:rFonts w:hint="default" w:cs="Times New Roman"/>
                      <w:color w:val="auto"/>
                      <w:spacing w:val="0"/>
                      <w:szCs w:val="21"/>
                      <w:lang w:val="en-US" w:eastAsia="zh-CN" w:bidi="ar"/>
                    </w:rPr>
                  </w:pPr>
                  <w:r>
                    <w:rPr>
                      <w:rFonts w:hint="eastAsia" w:cs="Times New Roman"/>
                      <w:color w:val="auto"/>
                      <w:spacing w:val="0"/>
                      <w:sz w:val="21"/>
                      <w:szCs w:val="21"/>
                      <w:lang w:val="en-US" w:eastAsia="zh-CN" w:bidi="ar"/>
                    </w:rPr>
                    <w:t>57.97</w:t>
                  </w:r>
                </w:p>
              </w:tc>
              <w:tc>
                <w:tcPr>
                  <w:tcW w:w="220" w:type="pct"/>
                  <w:vMerge w:val="continue"/>
                  <w:vAlign w:val="center"/>
                </w:tcPr>
                <w:p w14:paraId="4F9037CF">
                  <w:pPr>
                    <w:keepNext/>
                    <w:keepLines w:val="0"/>
                    <w:pageBreakBefore w:val="0"/>
                    <w:widowControl w:val="0"/>
                    <w:kinsoku/>
                    <w:wordWrap/>
                    <w:overflowPunct/>
                    <w:topLinePunct w:val="0"/>
                    <w:bidi w:val="0"/>
                    <w:snapToGrid/>
                    <w:spacing w:line="240" w:lineRule="auto"/>
                    <w:jc w:val="center"/>
                    <w:outlineLvl w:val="3"/>
                    <w:rPr>
                      <w:rFonts w:hint="default" w:ascii="Times New Roman" w:hAnsi="Times New Roman" w:eastAsia="宋体" w:cs="Times New Roman"/>
                      <w:color w:val="auto"/>
                      <w:spacing w:val="0"/>
                      <w:szCs w:val="21"/>
                    </w:rPr>
                  </w:pPr>
                </w:p>
              </w:tc>
              <w:tc>
                <w:tcPr>
                  <w:tcW w:w="241" w:type="pct"/>
                  <w:vMerge w:val="continue"/>
                  <w:vAlign w:val="center"/>
                </w:tcPr>
                <w:p w14:paraId="11770F8B">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rPr>
                  </w:pPr>
                </w:p>
              </w:tc>
              <w:tc>
                <w:tcPr>
                  <w:tcW w:w="206" w:type="pct"/>
                  <w:vAlign w:val="center"/>
                </w:tcPr>
                <w:p w14:paraId="67DFB31C">
                  <w:pPr>
                    <w:keepLines w:val="0"/>
                    <w:pageBreakBefore w:val="0"/>
                    <w:widowControl w:val="0"/>
                    <w:kinsoku/>
                    <w:wordWrap/>
                    <w:overflowPunct/>
                    <w:topLinePunct w:val="0"/>
                    <w:bidi w:val="0"/>
                    <w:snapToGrid/>
                    <w:spacing w:line="240" w:lineRule="auto"/>
                    <w:jc w:val="center"/>
                    <w:rPr>
                      <w:rFonts w:hint="default" w:cs="Times New Roman"/>
                      <w:color w:val="auto"/>
                      <w:spacing w:val="0"/>
                      <w:szCs w:val="21"/>
                      <w:lang w:val="en-US" w:eastAsia="zh-CN" w:bidi="ar"/>
                    </w:rPr>
                  </w:pPr>
                  <w:r>
                    <w:rPr>
                      <w:rFonts w:hint="eastAsia" w:cs="Times New Roman"/>
                      <w:color w:val="auto"/>
                      <w:spacing w:val="0"/>
                      <w:szCs w:val="21"/>
                      <w:lang w:val="en-US" w:eastAsia="zh-CN" w:bidi="ar"/>
                    </w:rPr>
                    <w:t>32.07</w:t>
                  </w:r>
                </w:p>
              </w:tc>
              <w:tc>
                <w:tcPr>
                  <w:tcW w:w="206" w:type="pct"/>
                  <w:vAlign w:val="center"/>
                </w:tcPr>
                <w:p w14:paraId="55D95E4A">
                  <w:pPr>
                    <w:keepLines w:val="0"/>
                    <w:pageBreakBefore w:val="0"/>
                    <w:widowControl w:val="0"/>
                    <w:kinsoku/>
                    <w:wordWrap/>
                    <w:overflowPunct/>
                    <w:topLinePunct w:val="0"/>
                    <w:bidi w:val="0"/>
                    <w:snapToGrid/>
                    <w:spacing w:line="240" w:lineRule="auto"/>
                    <w:ind w:firstLine="0" w:firstLineChars="0"/>
                    <w:jc w:val="center"/>
                    <w:rPr>
                      <w:rFonts w:hint="default" w:cs="Times New Roman"/>
                      <w:color w:val="auto"/>
                      <w:spacing w:val="0"/>
                      <w:szCs w:val="21"/>
                      <w:lang w:val="en-US" w:eastAsia="zh-CN" w:bidi="ar"/>
                    </w:rPr>
                  </w:pPr>
                  <w:r>
                    <w:rPr>
                      <w:rFonts w:hint="eastAsia" w:cs="Times New Roman"/>
                      <w:color w:val="auto"/>
                      <w:spacing w:val="0"/>
                      <w:szCs w:val="21"/>
                      <w:lang w:val="en-US" w:eastAsia="zh-CN" w:bidi="ar"/>
                    </w:rPr>
                    <w:t>35.23</w:t>
                  </w:r>
                </w:p>
              </w:tc>
              <w:tc>
                <w:tcPr>
                  <w:tcW w:w="206" w:type="pct"/>
                  <w:vAlign w:val="center"/>
                </w:tcPr>
                <w:p w14:paraId="605195A7">
                  <w:pPr>
                    <w:keepLines w:val="0"/>
                    <w:pageBreakBefore w:val="0"/>
                    <w:widowControl w:val="0"/>
                    <w:kinsoku/>
                    <w:wordWrap/>
                    <w:overflowPunct/>
                    <w:topLinePunct w:val="0"/>
                    <w:bidi w:val="0"/>
                    <w:snapToGrid/>
                    <w:spacing w:line="240" w:lineRule="auto"/>
                    <w:jc w:val="center"/>
                    <w:rPr>
                      <w:rFonts w:hint="default" w:cs="Times New Roman"/>
                      <w:color w:val="auto"/>
                      <w:spacing w:val="0"/>
                      <w:szCs w:val="21"/>
                      <w:lang w:val="en-US" w:eastAsia="zh-CN" w:bidi="ar"/>
                    </w:rPr>
                  </w:pPr>
                  <w:r>
                    <w:rPr>
                      <w:rFonts w:hint="eastAsia" w:cs="Times New Roman"/>
                      <w:color w:val="auto"/>
                      <w:spacing w:val="0"/>
                      <w:szCs w:val="21"/>
                      <w:lang w:val="en-US" w:eastAsia="zh-CN" w:bidi="ar"/>
                    </w:rPr>
                    <w:t>35.86</w:t>
                  </w:r>
                </w:p>
              </w:tc>
              <w:tc>
                <w:tcPr>
                  <w:tcW w:w="207" w:type="pct"/>
                  <w:vAlign w:val="center"/>
                </w:tcPr>
                <w:p w14:paraId="348D27E4">
                  <w:pPr>
                    <w:keepLines w:val="0"/>
                    <w:pageBreakBefore w:val="0"/>
                    <w:widowControl w:val="0"/>
                    <w:kinsoku/>
                    <w:wordWrap/>
                    <w:overflowPunct/>
                    <w:topLinePunct w:val="0"/>
                    <w:bidi w:val="0"/>
                    <w:snapToGrid/>
                    <w:spacing w:line="240" w:lineRule="auto"/>
                    <w:ind w:firstLine="0" w:firstLineChars="0"/>
                    <w:jc w:val="center"/>
                    <w:rPr>
                      <w:rFonts w:hint="default" w:cs="Times New Roman"/>
                      <w:color w:val="auto"/>
                      <w:spacing w:val="0"/>
                      <w:szCs w:val="21"/>
                      <w:lang w:val="en-US" w:eastAsia="zh-CN" w:bidi="ar"/>
                    </w:rPr>
                  </w:pPr>
                  <w:r>
                    <w:rPr>
                      <w:rFonts w:hint="eastAsia" w:cs="Times New Roman"/>
                      <w:color w:val="auto"/>
                      <w:spacing w:val="0"/>
                      <w:szCs w:val="21"/>
                      <w:lang w:val="en-US" w:eastAsia="zh-CN" w:bidi="ar"/>
                    </w:rPr>
                    <w:t>42.97</w:t>
                  </w:r>
                </w:p>
              </w:tc>
              <w:tc>
                <w:tcPr>
                  <w:tcW w:w="148" w:type="pct"/>
                  <w:vMerge w:val="continue"/>
                  <w:vAlign w:val="center"/>
                </w:tcPr>
                <w:p w14:paraId="40EBA7B5">
                  <w:pPr>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pacing w:val="0"/>
                      <w:szCs w:val="21"/>
                    </w:rPr>
                  </w:pPr>
                </w:p>
              </w:tc>
            </w:tr>
          </w:tbl>
          <w:p w14:paraId="1DD495C9">
            <w:pPr>
              <w:pStyle w:val="99"/>
              <w:ind w:firstLine="600"/>
              <w:jc w:val="center"/>
              <w:rPr>
                <w:rFonts w:hint="default" w:ascii="Times New Roman" w:hAnsi="Times New Roman" w:eastAsia="宋体" w:cs="Times New Roman"/>
                <w:snapToGrid w:val="0"/>
                <w:color w:val="auto"/>
                <w:sz w:val="30"/>
                <w:szCs w:val="30"/>
              </w:rPr>
            </w:pPr>
          </w:p>
        </w:tc>
      </w:tr>
    </w:tbl>
    <w:p w14:paraId="5032652A">
      <w:pPr>
        <w:pStyle w:val="17"/>
        <w:ind w:left="0" w:leftChars="0" w:firstLine="0" w:firstLineChars="0"/>
        <w:rPr>
          <w:color w:val="auto"/>
        </w:rPr>
        <w:sectPr>
          <w:pgSz w:w="16840" w:h="11907" w:orient="landscape"/>
          <w:pgMar w:top="1531" w:right="1701" w:bottom="1531" w:left="2127" w:header="851" w:footer="851" w:gutter="0"/>
          <w:pgNumType w:fmt="decimal"/>
          <w:cols w:space="720" w:num="1"/>
          <w:docGrid w:linePitch="312" w:charSpace="0"/>
        </w:sectPr>
      </w:pPr>
    </w:p>
    <w:tbl>
      <w:tblPr>
        <w:tblStyle w:val="28"/>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5"/>
        <w:gridCol w:w="8686"/>
      </w:tblGrid>
      <w:tr w14:paraId="5A0371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14" w:hRule="atLeast"/>
          <w:jc w:val="center"/>
        </w:trPr>
        <w:tc>
          <w:tcPr>
            <w:tcW w:w="427" w:type="dxa"/>
            <w:tcMar>
              <w:left w:w="28" w:type="dxa"/>
              <w:right w:w="28" w:type="dxa"/>
            </w:tcMar>
            <w:vAlign w:val="center"/>
          </w:tcPr>
          <w:p w14:paraId="46FC7953">
            <w:pPr>
              <w:adjustRightInd w:val="0"/>
              <w:snapToGrid w:val="0"/>
              <w:rPr>
                <w:rFonts w:ascii="宋体" w:hAnsi="宋体" w:cs="宋体"/>
                <w:bCs/>
                <w:color w:val="auto"/>
                <w:szCs w:val="21"/>
              </w:rPr>
            </w:pPr>
          </w:p>
        </w:tc>
        <w:tc>
          <w:tcPr>
            <w:tcW w:w="8554" w:type="dxa"/>
            <w:vAlign w:val="center"/>
          </w:tcPr>
          <w:p w14:paraId="084C485A">
            <w:pPr>
              <w:jc w:val="center"/>
              <w:rPr>
                <w:color w:val="auto"/>
                <w:sz w:val="24"/>
              </w:rPr>
            </w:pPr>
            <w:r>
              <w:rPr>
                <w:b/>
                <w:bCs/>
                <w:color w:val="auto"/>
                <w:sz w:val="24"/>
              </w:rPr>
              <w:t>表4-1</w:t>
            </w:r>
            <w:r>
              <w:rPr>
                <w:rFonts w:hint="eastAsia"/>
                <w:b/>
                <w:bCs/>
                <w:color w:val="auto"/>
                <w:sz w:val="24"/>
                <w:lang w:val="en-US" w:eastAsia="zh-CN"/>
              </w:rPr>
              <w:t>3</w:t>
            </w:r>
            <w:r>
              <w:rPr>
                <w:b/>
                <w:bCs/>
                <w:color w:val="auto"/>
                <w:sz w:val="24"/>
              </w:rPr>
              <w:t xml:space="preserve"> 工业企业噪声源强调查清单（室外声源）</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
              <w:gridCol w:w="536"/>
              <w:gridCol w:w="448"/>
              <w:gridCol w:w="1386"/>
              <w:gridCol w:w="684"/>
              <w:gridCol w:w="626"/>
              <w:gridCol w:w="550"/>
              <w:gridCol w:w="1620"/>
              <w:gridCol w:w="993"/>
              <w:gridCol w:w="630"/>
              <w:gridCol w:w="541"/>
            </w:tblGrid>
            <w:tr w14:paraId="03930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82" w:type="pct"/>
                  <w:vMerge w:val="restart"/>
                  <w:vAlign w:val="center"/>
                </w:tcPr>
                <w:p w14:paraId="347182DD">
                  <w:pPr>
                    <w:jc w:val="center"/>
                    <w:rPr>
                      <w:b/>
                      <w:bCs/>
                      <w:color w:val="auto"/>
                      <w:sz w:val="24"/>
                    </w:rPr>
                  </w:pPr>
                  <w:r>
                    <w:rPr>
                      <w:b/>
                      <w:bCs/>
                      <w:color w:val="auto"/>
                      <w:szCs w:val="21"/>
                    </w:rPr>
                    <w:t>序号</w:t>
                  </w:r>
                </w:p>
              </w:tc>
              <w:tc>
                <w:tcPr>
                  <w:tcW w:w="335" w:type="pct"/>
                  <w:vMerge w:val="restart"/>
                  <w:vAlign w:val="center"/>
                </w:tcPr>
                <w:p w14:paraId="57122625">
                  <w:pPr>
                    <w:jc w:val="center"/>
                    <w:rPr>
                      <w:b/>
                      <w:bCs/>
                      <w:color w:val="auto"/>
                      <w:sz w:val="24"/>
                    </w:rPr>
                  </w:pPr>
                  <w:r>
                    <w:rPr>
                      <w:b/>
                      <w:bCs/>
                      <w:color w:val="auto"/>
                      <w:szCs w:val="21"/>
                    </w:rPr>
                    <w:t>声源名称</w:t>
                  </w:r>
                </w:p>
              </w:tc>
              <w:tc>
                <w:tcPr>
                  <w:tcW w:w="283" w:type="pct"/>
                  <w:vMerge w:val="restart"/>
                  <w:vAlign w:val="center"/>
                </w:tcPr>
                <w:p w14:paraId="3515A541">
                  <w:pPr>
                    <w:jc w:val="center"/>
                    <w:rPr>
                      <w:b/>
                      <w:bCs/>
                      <w:color w:val="auto"/>
                      <w:sz w:val="24"/>
                    </w:rPr>
                  </w:pPr>
                  <w:r>
                    <w:rPr>
                      <w:b/>
                      <w:bCs/>
                      <w:color w:val="auto"/>
                      <w:szCs w:val="21"/>
                    </w:rPr>
                    <w:t>数量</w:t>
                  </w:r>
                </w:p>
              </w:tc>
              <w:tc>
                <w:tcPr>
                  <w:tcW w:w="761" w:type="pct"/>
                  <w:vMerge w:val="restart"/>
                  <w:vAlign w:val="center"/>
                </w:tcPr>
                <w:p w14:paraId="72FEB6F6">
                  <w:pPr>
                    <w:jc w:val="center"/>
                    <w:rPr>
                      <w:b/>
                      <w:bCs/>
                      <w:color w:val="auto"/>
                      <w:sz w:val="24"/>
                    </w:rPr>
                  </w:pPr>
                  <w:r>
                    <w:rPr>
                      <w:b/>
                      <w:bCs/>
                      <w:color w:val="auto"/>
                      <w:szCs w:val="21"/>
                    </w:rPr>
                    <w:t>型号</w:t>
                  </w:r>
                </w:p>
              </w:tc>
              <w:tc>
                <w:tcPr>
                  <w:tcW w:w="1030" w:type="pct"/>
                  <w:gridSpan w:val="3"/>
                  <w:vAlign w:val="center"/>
                </w:tcPr>
                <w:p w14:paraId="245A95B8">
                  <w:pPr>
                    <w:jc w:val="center"/>
                    <w:rPr>
                      <w:b/>
                      <w:bCs/>
                      <w:color w:val="auto"/>
                      <w:sz w:val="24"/>
                    </w:rPr>
                  </w:pPr>
                  <w:r>
                    <w:rPr>
                      <w:b/>
                      <w:bCs/>
                      <w:color w:val="auto"/>
                      <w:szCs w:val="21"/>
                    </w:rPr>
                    <w:t>空间相对位置/m</w:t>
                  </w:r>
                </w:p>
              </w:tc>
              <w:tc>
                <w:tcPr>
                  <w:tcW w:w="1579" w:type="pct"/>
                  <w:gridSpan w:val="2"/>
                  <w:vAlign w:val="center"/>
                </w:tcPr>
                <w:p w14:paraId="408AA646">
                  <w:pPr>
                    <w:jc w:val="center"/>
                    <w:rPr>
                      <w:b/>
                      <w:bCs/>
                      <w:color w:val="auto"/>
                      <w:sz w:val="24"/>
                    </w:rPr>
                  </w:pPr>
                  <w:r>
                    <w:rPr>
                      <w:b/>
                      <w:bCs/>
                      <w:color w:val="auto"/>
                      <w:szCs w:val="21"/>
                    </w:rPr>
                    <w:t>声源源强（任选一种）</w:t>
                  </w:r>
                </w:p>
              </w:tc>
              <w:tc>
                <w:tcPr>
                  <w:tcW w:w="390" w:type="pct"/>
                  <w:vMerge w:val="restart"/>
                  <w:vAlign w:val="center"/>
                </w:tcPr>
                <w:p w14:paraId="656AA3C9">
                  <w:pPr>
                    <w:pStyle w:val="88"/>
                    <w:jc w:val="center"/>
                    <w:rPr>
                      <w:b/>
                      <w:bCs/>
                      <w:color w:val="auto"/>
                      <w:sz w:val="24"/>
                      <w:szCs w:val="24"/>
                    </w:rPr>
                  </w:pPr>
                  <w:r>
                    <w:rPr>
                      <w:b/>
                      <w:bCs/>
                      <w:color w:val="auto"/>
                      <w:szCs w:val="21"/>
                    </w:rPr>
                    <w:t>声源控制措施</w:t>
                  </w:r>
                </w:p>
              </w:tc>
              <w:tc>
                <w:tcPr>
                  <w:tcW w:w="337" w:type="pct"/>
                  <w:vMerge w:val="restart"/>
                  <w:vAlign w:val="center"/>
                </w:tcPr>
                <w:p w14:paraId="369F24A9">
                  <w:pPr>
                    <w:pStyle w:val="88"/>
                    <w:jc w:val="center"/>
                    <w:rPr>
                      <w:b/>
                      <w:bCs/>
                      <w:color w:val="auto"/>
                      <w:sz w:val="24"/>
                      <w:szCs w:val="24"/>
                    </w:rPr>
                  </w:pPr>
                  <w:r>
                    <w:rPr>
                      <w:b/>
                      <w:bCs/>
                      <w:color w:val="auto"/>
                      <w:szCs w:val="21"/>
                    </w:rPr>
                    <w:t>运行时段</w:t>
                  </w:r>
                </w:p>
              </w:tc>
            </w:tr>
            <w:tr w14:paraId="19843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82" w:type="pct"/>
                  <w:vMerge w:val="continue"/>
                  <w:vAlign w:val="center"/>
                </w:tcPr>
                <w:p w14:paraId="69DE738E">
                  <w:pPr>
                    <w:jc w:val="center"/>
                    <w:rPr>
                      <w:color w:val="auto"/>
                    </w:rPr>
                  </w:pPr>
                </w:p>
              </w:tc>
              <w:tc>
                <w:tcPr>
                  <w:tcW w:w="335" w:type="pct"/>
                  <w:vMerge w:val="continue"/>
                  <w:vAlign w:val="center"/>
                </w:tcPr>
                <w:p w14:paraId="2AE95521">
                  <w:pPr>
                    <w:jc w:val="center"/>
                    <w:rPr>
                      <w:color w:val="auto"/>
                    </w:rPr>
                  </w:pPr>
                </w:p>
              </w:tc>
              <w:tc>
                <w:tcPr>
                  <w:tcW w:w="283" w:type="pct"/>
                  <w:vMerge w:val="continue"/>
                  <w:vAlign w:val="center"/>
                </w:tcPr>
                <w:p w14:paraId="435F52A6">
                  <w:pPr>
                    <w:jc w:val="center"/>
                    <w:rPr>
                      <w:color w:val="auto"/>
                    </w:rPr>
                  </w:pPr>
                </w:p>
              </w:tc>
              <w:tc>
                <w:tcPr>
                  <w:tcW w:w="761" w:type="pct"/>
                  <w:vMerge w:val="continue"/>
                  <w:vAlign w:val="center"/>
                </w:tcPr>
                <w:p w14:paraId="46AE59AA">
                  <w:pPr>
                    <w:jc w:val="center"/>
                    <w:rPr>
                      <w:color w:val="auto"/>
                    </w:rPr>
                  </w:pPr>
                </w:p>
              </w:tc>
              <w:tc>
                <w:tcPr>
                  <w:tcW w:w="391" w:type="pct"/>
                  <w:vAlign w:val="center"/>
                </w:tcPr>
                <w:p w14:paraId="680E05DF">
                  <w:pPr>
                    <w:pStyle w:val="88"/>
                    <w:jc w:val="center"/>
                    <w:rPr>
                      <w:color w:val="auto"/>
                      <w:szCs w:val="21"/>
                    </w:rPr>
                  </w:pPr>
                  <w:r>
                    <w:rPr>
                      <w:b/>
                      <w:bCs/>
                      <w:color w:val="auto"/>
                      <w:szCs w:val="21"/>
                    </w:rPr>
                    <w:t>X</w:t>
                  </w:r>
                </w:p>
              </w:tc>
              <w:tc>
                <w:tcPr>
                  <w:tcW w:w="349" w:type="pct"/>
                  <w:vAlign w:val="center"/>
                </w:tcPr>
                <w:p w14:paraId="2C3FBA2A">
                  <w:pPr>
                    <w:pStyle w:val="88"/>
                    <w:jc w:val="center"/>
                    <w:rPr>
                      <w:color w:val="auto"/>
                      <w:szCs w:val="21"/>
                    </w:rPr>
                  </w:pPr>
                  <w:r>
                    <w:rPr>
                      <w:b/>
                      <w:bCs/>
                      <w:color w:val="auto"/>
                      <w:szCs w:val="21"/>
                    </w:rPr>
                    <w:t>Y</w:t>
                  </w:r>
                </w:p>
              </w:tc>
              <w:tc>
                <w:tcPr>
                  <w:tcW w:w="289" w:type="pct"/>
                  <w:vAlign w:val="center"/>
                </w:tcPr>
                <w:p w14:paraId="59D31DA0">
                  <w:pPr>
                    <w:pStyle w:val="88"/>
                    <w:jc w:val="center"/>
                    <w:rPr>
                      <w:color w:val="auto"/>
                      <w:szCs w:val="21"/>
                    </w:rPr>
                  </w:pPr>
                  <w:r>
                    <w:rPr>
                      <w:b/>
                      <w:bCs/>
                      <w:color w:val="auto"/>
                      <w:szCs w:val="21"/>
                    </w:rPr>
                    <w:t>Z</w:t>
                  </w:r>
                </w:p>
              </w:tc>
              <w:tc>
                <w:tcPr>
                  <w:tcW w:w="975" w:type="pct"/>
                  <w:vAlign w:val="center"/>
                </w:tcPr>
                <w:p w14:paraId="11D62F9B">
                  <w:pPr>
                    <w:pStyle w:val="88"/>
                    <w:jc w:val="center"/>
                    <w:rPr>
                      <w:color w:val="auto"/>
                      <w:szCs w:val="21"/>
                    </w:rPr>
                  </w:pPr>
                  <w:r>
                    <w:rPr>
                      <w:b/>
                      <w:bCs/>
                      <w:color w:val="auto"/>
                      <w:szCs w:val="21"/>
                    </w:rPr>
                    <w:t>（声压级/距声源距）dB(A)/m）</w:t>
                  </w:r>
                </w:p>
              </w:tc>
              <w:tc>
                <w:tcPr>
                  <w:tcW w:w="603" w:type="pct"/>
                  <w:vAlign w:val="center"/>
                </w:tcPr>
                <w:p w14:paraId="698B85D7">
                  <w:pPr>
                    <w:pStyle w:val="88"/>
                    <w:jc w:val="center"/>
                    <w:rPr>
                      <w:color w:val="auto"/>
                      <w:szCs w:val="21"/>
                    </w:rPr>
                  </w:pPr>
                  <w:r>
                    <w:rPr>
                      <w:b/>
                      <w:bCs/>
                      <w:color w:val="auto"/>
                      <w:szCs w:val="21"/>
                    </w:rPr>
                    <w:t>声功率级/dB(A)</w:t>
                  </w:r>
                </w:p>
              </w:tc>
              <w:tc>
                <w:tcPr>
                  <w:tcW w:w="390" w:type="pct"/>
                  <w:vMerge w:val="continue"/>
                  <w:vAlign w:val="center"/>
                </w:tcPr>
                <w:p w14:paraId="5A43D006">
                  <w:pPr>
                    <w:jc w:val="center"/>
                    <w:rPr>
                      <w:color w:val="auto"/>
                      <w:szCs w:val="21"/>
                    </w:rPr>
                  </w:pPr>
                </w:p>
              </w:tc>
              <w:tc>
                <w:tcPr>
                  <w:tcW w:w="337" w:type="pct"/>
                  <w:vMerge w:val="continue"/>
                  <w:vAlign w:val="center"/>
                </w:tcPr>
                <w:p w14:paraId="0BB10D6B">
                  <w:pPr>
                    <w:jc w:val="center"/>
                    <w:rPr>
                      <w:color w:val="auto"/>
                      <w:szCs w:val="21"/>
                    </w:rPr>
                  </w:pPr>
                </w:p>
              </w:tc>
            </w:tr>
            <w:tr w14:paraId="532D5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2" w:type="pct"/>
                  <w:vAlign w:val="center"/>
                </w:tcPr>
                <w:p w14:paraId="3DDD1B54">
                  <w:pPr>
                    <w:jc w:val="center"/>
                    <w:rPr>
                      <w:rFonts w:hint="default"/>
                      <w:color w:val="auto"/>
                      <w:szCs w:val="21"/>
                      <w:lang w:val="en-US" w:eastAsia="zh-CN"/>
                    </w:rPr>
                  </w:pPr>
                  <w:r>
                    <w:rPr>
                      <w:rFonts w:hint="eastAsia"/>
                      <w:color w:val="auto"/>
                      <w:szCs w:val="21"/>
                      <w:lang w:val="en-US" w:eastAsia="zh-CN"/>
                    </w:rPr>
                    <w:t>1</w:t>
                  </w:r>
                </w:p>
              </w:tc>
              <w:tc>
                <w:tcPr>
                  <w:tcW w:w="335" w:type="pct"/>
                  <w:shd w:val="clear" w:color="auto" w:fill="auto"/>
                  <w:vAlign w:val="center"/>
                </w:tcPr>
                <w:p w14:paraId="4DB33528">
                  <w:pPr>
                    <w:jc w:val="center"/>
                    <w:rPr>
                      <w:rFonts w:hint="default"/>
                      <w:color w:val="auto"/>
                      <w:szCs w:val="21"/>
                      <w:highlight w:val="yellow"/>
                      <w:lang w:val="en-US" w:eastAsia="zh-CN"/>
                    </w:rPr>
                  </w:pPr>
                  <w:r>
                    <w:rPr>
                      <w:rFonts w:hint="eastAsia"/>
                      <w:color w:val="auto"/>
                      <w:szCs w:val="21"/>
                      <w:highlight w:val="none"/>
                      <w:lang w:val="en-US" w:eastAsia="zh-CN"/>
                    </w:rPr>
                    <w:t>引风机</w:t>
                  </w:r>
                </w:p>
              </w:tc>
              <w:tc>
                <w:tcPr>
                  <w:tcW w:w="283" w:type="pct"/>
                  <w:vAlign w:val="center"/>
                </w:tcPr>
                <w:p w14:paraId="653EE0CF">
                  <w:pPr>
                    <w:jc w:val="center"/>
                    <w:rPr>
                      <w:rFonts w:hint="default"/>
                      <w:b w:val="0"/>
                      <w:bCs w:val="0"/>
                      <w:color w:val="auto"/>
                      <w:sz w:val="24"/>
                      <w:lang w:val="en-US" w:eastAsia="zh-CN"/>
                    </w:rPr>
                  </w:pPr>
                  <w:r>
                    <w:rPr>
                      <w:rFonts w:hint="eastAsia"/>
                      <w:b w:val="0"/>
                      <w:bCs w:val="0"/>
                      <w:color w:val="auto"/>
                      <w:sz w:val="24"/>
                      <w:lang w:val="en-US" w:eastAsia="zh-CN"/>
                    </w:rPr>
                    <w:t>1</w:t>
                  </w:r>
                </w:p>
              </w:tc>
              <w:tc>
                <w:tcPr>
                  <w:tcW w:w="761" w:type="pct"/>
                  <w:shd w:val="clear" w:color="auto" w:fill="auto"/>
                  <w:vAlign w:val="center"/>
                </w:tcPr>
                <w:p w14:paraId="0AD73ADA">
                  <w:pPr>
                    <w:jc w:val="center"/>
                    <w:rPr>
                      <w:rFonts w:hint="default"/>
                      <w:color w:val="auto"/>
                      <w:lang w:val="en-US" w:eastAsia="zh-CN"/>
                    </w:rPr>
                  </w:pPr>
                  <w:r>
                    <w:rPr>
                      <w:rFonts w:hint="eastAsia"/>
                      <w:color w:val="auto"/>
                      <w:szCs w:val="21"/>
                      <w:lang w:val="en-US" w:eastAsia="zh-CN"/>
                    </w:rPr>
                    <w:t>20000m</w:t>
                  </w:r>
                  <w:r>
                    <w:rPr>
                      <w:rFonts w:hint="eastAsia"/>
                      <w:color w:val="auto"/>
                      <w:szCs w:val="21"/>
                      <w:vertAlign w:val="superscript"/>
                      <w:lang w:val="en-US" w:eastAsia="zh-CN"/>
                    </w:rPr>
                    <w:t>3</w:t>
                  </w:r>
                  <w:r>
                    <w:rPr>
                      <w:rFonts w:hint="eastAsia"/>
                      <w:color w:val="auto"/>
                      <w:szCs w:val="21"/>
                      <w:lang w:val="en-US" w:eastAsia="zh-CN"/>
                    </w:rPr>
                    <w:t>/h</w:t>
                  </w:r>
                </w:p>
              </w:tc>
              <w:tc>
                <w:tcPr>
                  <w:tcW w:w="391" w:type="pct"/>
                  <w:vAlign w:val="center"/>
                </w:tcPr>
                <w:p w14:paraId="45502E1B">
                  <w:pPr>
                    <w:jc w:val="center"/>
                    <w:rPr>
                      <w:rFonts w:hint="default" w:eastAsia="宋体"/>
                      <w:color w:val="auto"/>
                      <w:szCs w:val="21"/>
                      <w:lang w:val="en-US" w:eastAsia="zh-CN"/>
                    </w:rPr>
                  </w:pPr>
                  <w:r>
                    <w:rPr>
                      <w:rFonts w:hint="eastAsia"/>
                      <w:color w:val="auto"/>
                      <w:szCs w:val="21"/>
                      <w:lang w:val="en-US" w:eastAsia="zh-CN"/>
                    </w:rPr>
                    <w:t>20.1</w:t>
                  </w:r>
                </w:p>
              </w:tc>
              <w:tc>
                <w:tcPr>
                  <w:tcW w:w="349" w:type="pct"/>
                  <w:vAlign w:val="center"/>
                </w:tcPr>
                <w:p w14:paraId="08F6D309">
                  <w:pPr>
                    <w:jc w:val="center"/>
                    <w:rPr>
                      <w:rFonts w:hint="default" w:eastAsia="宋体"/>
                      <w:color w:val="auto"/>
                      <w:szCs w:val="21"/>
                      <w:lang w:val="en-US" w:eastAsia="zh-CN"/>
                    </w:rPr>
                  </w:pPr>
                  <w:r>
                    <w:rPr>
                      <w:rFonts w:hint="eastAsia"/>
                      <w:color w:val="auto"/>
                      <w:szCs w:val="21"/>
                      <w:lang w:val="en-US" w:eastAsia="zh-CN"/>
                    </w:rPr>
                    <w:t>-8.9</w:t>
                  </w:r>
                </w:p>
              </w:tc>
              <w:tc>
                <w:tcPr>
                  <w:tcW w:w="289" w:type="pct"/>
                  <w:vAlign w:val="center"/>
                </w:tcPr>
                <w:p w14:paraId="57C33019">
                  <w:pPr>
                    <w:jc w:val="center"/>
                    <w:rPr>
                      <w:rFonts w:hint="default" w:eastAsia="宋体"/>
                      <w:color w:val="auto"/>
                      <w:szCs w:val="21"/>
                      <w:lang w:val="en-US" w:eastAsia="zh-CN"/>
                    </w:rPr>
                  </w:pPr>
                  <w:r>
                    <w:rPr>
                      <w:rFonts w:hint="eastAsia"/>
                      <w:color w:val="auto"/>
                      <w:szCs w:val="21"/>
                      <w:lang w:val="en-US" w:eastAsia="zh-CN"/>
                    </w:rPr>
                    <w:t>0.5</w:t>
                  </w:r>
                </w:p>
              </w:tc>
              <w:tc>
                <w:tcPr>
                  <w:tcW w:w="975" w:type="pct"/>
                  <w:vAlign w:val="center"/>
                </w:tcPr>
                <w:p w14:paraId="56D63BF9">
                  <w:pPr>
                    <w:jc w:val="center"/>
                    <w:rPr>
                      <w:rFonts w:hint="eastAsia" w:eastAsia="宋体"/>
                      <w:color w:val="auto"/>
                      <w:szCs w:val="21"/>
                      <w:lang w:val="en-US" w:eastAsia="zh-CN"/>
                    </w:rPr>
                  </w:pPr>
                  <w:r>
                    <w:rPr>
                      <w:rFonts w:hint="eastAsia"/>
                      <w:color w:val="auto"/>
                      <w:szCs w:val="21"/>
                      <w:lang w:val="en-US" w:eastAsia="zh-CN"/>
                    </w:rPr>
                    <w:t>/</w:t>
                  </w:r>
                </w:p>
              </w:tc>
              <w:tc>
                <w:tcPr>
                  <w:tcW w:w="603" w:type="pct"/>
                  <w:vAlign w:val="center"/>
                </w:tcPr>
                <w:p w14:paraId="5A635790">
                  <w:pPr>
                    <w:jc w:val="center"/>
                    <w:rPr>
                      <w:rFonts w:hint="default"/>
                      <w:color w:val="auto"/>
                      <w:szCs w:val="21"/>
                      <w:lang w:val="en-US" w:eastAsia="zh-CN"/>
                    </w:rPr>
                  </w:pPr>
                  <w:r>
                    <w:rPr>
                      <w:rFonts w:hint="eastAsia"/>
                      <w:color w:val="auto"/>
                      <w:szCs w:val="21"/>
                      <w:lang w:val="en-US" w:eastAsia="zh-CN"/>
                    </w:rPr>
                    <w:t>85</w:t>
                  </w:r>
                </w:p>
              </w:tc>
              <w:tc>
                <w:tcPr>
                  <w:tcW w:w="390" w:type="pct"/>
                  <w:shd w:val="clear" w:color="auto" w:fill="auto"/>
                  <w:vAlign w:val="center"/>
                </w:tcPr>
                <w:p w14:paraId="3D496287">
                  <w:pPr>
                    <w:pStyle w:val="88"/>
                    <w:jc w:val="center"/>
                    <w:rPr>
                      <w:color w:val="auto"/>
                      <w:szCs w:val="21"/>
                    </w:rPr>
                  </w:pPr>
                  <w:r>
                    <w:rPr>
                      <w:color w:val="auto"/>
                      <w:szCs w:val="21"/>
                    </w:rPr>
                    <w:t>距离衰减</w:t>
                  </w:r>
                </w:p>
                <w:p w14:paraId="49A8F322">
                  <w:pPr>
                    <w:jc w:val="center"/>
                    <w:rPr>
                      <w:rFonts w:ascii="Times New Roman" w:hAnsi="Times New Roman" w:eastAsia="宋体" w:cs="Times New Roman"/>
                      <w:b/>
                      <w:bCs/>
                      <w:color w:val="auto"/>
                      <w:kern w:val="2"/>
                      <w:sz w:val="24"/>
                      <w:szCs w:val="24"/>
                      <w:lang w:val="en-US" w:eastAsia="zh-CN" w:bidi="ar-SA"/>
                    </w:rPr>
                  </w:pPr>
                  <w:r>
                    <w:rPr>
                      <w:color w:val="auto"/>
                      <w:szCs w:val="21"/>
                    </w:rPr>
                    <w:t>降噪措施</w:t>
                  </w:r>
                </w:p>
              </w:tc>
              <w:tc>
                <w:tcPr>
                  <w:tcW w:w="337" w:type="pct"/>
                  <w:shd w:val="clear" w:color="auto" w:fill="auto"/>
                  <w:vAlign w:val="center"/>
                </w:tcPr>
                <w:p w14:paraId="364232E4">
                  <w:pPr>
                    <w:jc w:val="center"/>
                    <w:rPr>
                      <w:rFonts w:hint="eastAsia" w:ascii="Times New Roman" w:hAnsi="Times New Roman" w:eastAsia="宋体" w:cs="Times New Roman"/>
                      <w:b/>
                      <w:bCs/>
                      <w:color w:val="auto"/>
                      <w:kern w:val="2"/>
                      <w:sz w:val="24"/>
                      <w:szCs w:val="24"/>
                      <w:lang w:val="en-US" w:eastAsia="zh-CN" w:bidi="ar-SA"/>
                    </w:rPr>
                  </w:pPr>
                  <w:r>
                    <w:rPr>
                      <w:rFonts w:hint="eastAsia"/>
                      <w:color w:val="auto"/>
                      <w:szCs w:val="21"/>
                    </w:rPr>
                    <w:t>昼间</w:t>
                  </w:r>
                </w:p>
              </w:tc>
            </w:tr>
          </w:tbl>
          <w:p w14:paraId="4C3479F2">
            <w:pPr>
              <w:spacing w:line="360" w:lineRule="auto"/>
              <w:ind w:firstLine="482" w:firstLineChars="200"/>
              <w:rPr>
                <w:b/>
                <w:bCs/>
                <w:color w:val="auto"/>
                <w:sz w:val="24"/>
              </w:rPr>
            </w:pPr>
            <w:r>
              <w:rPr>
                <w:rFonts w:hint="eastAsia"/>
                <w:b/>
                <w:bCs/>
                <w:color w:val="auto"/>
                <w:sz w:val="24"/>
                <w:lang w:val="en-US" w:eastAsia="zh-CN"/>
              </w:rPr>
              <w:t>2、</w:t>
            </w:r>
            <w:r>
              <w:rPr>
                <w:b/>
                <w:bCs/>
                <w:color w:val="auto"/>
                <w:sz w:val="24"/>
              </w:rPr>
              <w:t>噪声排放达标分析</w:t>
            </w:r>
          </w:p>
          <w:p w14:paraId="3AD3979F">
            <w:pPr>
              <w:spacing w:line="360" w:lineRule="auto"/>
              <w:ind w:firstLine="480"/>
              <w:rPr>
                <w:color w:val="auto"/>
                <w:sz w:val="24"/>
              </w:rPr>
            </w:pPr>
            <w:r>
              <w:rPr>
                <w:color w:val="auto"/>
                <w:sz w:val="24"/>
              </w:rPr>
              <w:t>1）计算某个声源在预测点的倍频带声压级</w:t>
            </w:r>
          </w:p>
          <w:p w14:paraId="5B3FC958">
            <w:pPr>
              <w:spacing w:line="360" w:lineRule="auto"/>
              <w:ind w:firstLine="480"/>
              <w:rPr>
                <w:color w:val="auto"/>
                <w:sz w:val="24"/>
              </w:rPr>
            </w:pPr>
            <w:r>
              <w:rPr>
                <w:color w:val="auto"/>
                <w:sz w:val="24"/>
              </w:rPr>
              <w:t>式中：</w:t>
            </w:r>
          </w:p>
          <w:p w14:paraId="4248A98F">
            <w:pPr>
              <w:spacing w:line="360" w:lineRule="auto"/>
              <w:ind w:firstLine="480"/>
              <w:rPr>
                <w:color w:val="auto"/>
                <w:sz w:val="24"/>
              </w:rPr>
            </w:pPr>
            <w:r>
              <w:rPr>
                <w:color w:val="auto"/>
                <w:sz w:val="24"/>
              </w:rPr>
              <w:t>Loct(r)—点声源在预测点产生的倍频带声压级；</w:t>
            </w:r>
          </w:p>
          <w:p w14:paraId="287AE3FF">
            <w:pPr>
              <w:spacing w:line="360" w:lineRule="auto"/>
              <w:ind w:firstLine="480"/>
              <w:rPr>
                <w:color w:val="auto"/>
                <w:sz w:val="24"/>
              </w:rPr>
            </w:pPr>
            <w:r>
              <w:rPr>
                <w:color w:val="auto"/>
                <w:sz w:val="24"/>
              </w:rPr>
              <w:t>Lct(r0)—参考位置r0处的倍频带声压级；</w:t>
            </w:r>
          </w:p>
          <w:p w14:paraId="56B1E7C1">
            <w:pPr>
              <w:spacing w:line="360" w:lineRule="auto"/>
              <w:ind w:firstLine="480"/>
              <w:rPr>
                <w:color w:val="auto"/>
                <w:sz w:val="24"/>
              </w:rPr>
            </w:pPr>
            <w:r>
              <w:rPr>
                <w:color w:val="auto"/>
                <w:sz w:val="24"/>
              </w:rPr>
              <w:t>r—预测点距声源的距离，m；</w:t>
            </w:r>
          </w:p>
          <w:p w14:paraId="54D7E635">
            <w:pPr>
              <w:spacing w:line="360" w:lineRule="auto"/>
              <w:ind w:firstLine="480"/>
              <w:rPr>
                <w:color w:val="auto"/>
                <w:sz w:val="24"/>
              </w:rPr>
            </w:pPr>
            <w:r>
              <w:rPr>
                <w:color w:val="auto"/>
                <w:sz w:val="24"/>
              </w:rPr>
              <w:t>r0—参考位置距声源的距离，m；</w:t>
            </w:r>
          </w:p>
          <w:p w14:paraId="5FD57A63">
            <w:pPr>
              <w:spacing w:line="360" w:lineRule="auto"/>
              <w:ind w:firstLine="480"/>
              <w:rPr>
                <w:color w:val="auto"/>
                <w:sz w:val="24"/>
              </w:rPr>
            </w:pPr>
            <w:r>
              <w:rPr>
                <w:color w:val="auto"/>
                <w:sz w:val="24"/>
              </w:rPr>
              <w:t>ΔLoct—各种因素引起的衰减量（包括声屏障、遮挡物、空气吸收、地面效应等引起的衰减量，其计算方法详见“导则”正文）。</w:t>
            </w:r>
          </w:p>
          <w:p w14:paraId="5AE0FB98">
            <w:pPr>
              <w:spacing w:line="360" w:lineRule="auto"/>
              <w:ind w:firstLine="480"/>
              <w:rPr>
                <w:color w:val="auto"/>
                <w:sz w:val="24"/>
              </w:rPr>
            </w:pPr>
            <w:r>
              <w:rPr>
                <w:color w:val="auto"/>
                <w:sz w:val="24"/>
              </w:rPr>
              <w:t>如果已知声源的倍频带声功率级Lwoct，且声源可看作是位于地面上的，则由各倍频带声压级合成计算出该声源产生的声级LA。</w:t>
            </w:r>
          </w:p>
          <w:p w14:paraId="584CC929">
            <w:pPr>
              <w:spacing w:line="360" w:lineRule="auto"/>
              <w:ind w:firstLine="480"/>
              <w:rPr>
                <w:color w:val="auto"/>
                <w:sz w:val="24"/>
              </w:rPr>
            </w:pPr>
            <w:r>
              <w:rPr>
                <w:color w:val="auto"/>
                <w:sz w:val="24"/>
              </w:rPr>
              <w:t>2）室内声源预测模式</w:t>
            </w:r>
          </w:p>
          <w:p w14:paraId="79F9488C">
            <w:pPr>
              <w:spacing w:line="360" w:lineRule="auto"/>
              <w:ind w:firstLine="480"/>
              <w:jc w:val="center"/>
              <w:rPr>
                <w:color w:val="auto"/>
                <w:sz w:val="24"/>
              </w:rPr>
            </w:pPr>
            <w:r>
              <w:rPr>
                <w:color w:val="auto"/>
                <w:sz w:val="24"/>
              </w:rPr>
              <w:drawing>
                <wp:inline distT="0" distB="0" distL="114300" distR="114300">
                  <wp:extent cx="2466975" cy="1425575"/>
                  <wp:effectExtent l="0" t="0" r="9525" b="3175"/>
                  <wp:docPr id="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
                          <pic:cNvPicPr>
                            <a:picLocks noChangeAspect="1"/>
                          </pic:cNvPicPr>
                        </pic:nvPicPr>
                        <pic:blipFill>
                          <a:blip r:embed="rId20"/>
                          <a:stretch>
                            <a:fillRect/>
                          </a:stretch>
                        </pic:blipFill>
                        <pic:spPr>
                          <a:xfrm>
                            <a:off x="0" y="0"/>
                            <a:ext cx="2466975" cy="1425575"/>
                          </a:xfrm>
                          <a:prstGeom prst="rect">
                            <a:avLst/>
                          </a:prstGeom>
                          <a:noFill/>
                          <a:ln>
                            <a:noFill/>
                          </a:ln>
                        </pic:spPr>
                      </pic:pic>
                    </a:graphicData>
                  </a:graphic>
                </wp:inline>
              </w:drawing>
            </w:r>
          </w:p>
          <w:p w14:paraId="4E5B2092">
            <w:pPr>
              <w:spacing w:line="360" w:lineRule="auto"/>
              <w:ind w:firstLine="480"/>
              <w:rPr>
                <w:color w:val="auto"/>
                <w:sz w:val="24"/>
              </w:rPr>
            </w:pPr>
            <w:r>
              <w:rPr>
                <w:color w:val="auto"/>
                <w:sz w:val="24"/>
              </w:rPr>
              <w:t>①如图所示，首先计算出某个室内靠近围护结构处的倍频带声压级：</w:t>
            </w:r>
          </w:p>
          <w:p w14:paraId="5F57FC39">
            <w:pPr>
              <w:spacing w:line="360" w:lineRule="auto"/>
              <w:ind w:firstLine="480"/>
              <w:rPr>
                <w:color w:val="auto"/>
                <w:sz w:val="24"/>
              </w:rPr>
            </w:pPr>
            <w:r>
              <w:rPr>
                <w:color w:val="auto"/>
                <w:sz w:val="24"/>
              </w:rPr>
              <w:object>
                <v:shape id="_x0000_i1026" o:spt="75" type="#_x0000_t75" style="height:38.25pt;width:159pt;" o:ole="t" filled="f" o:preferrelative="t" stroked="f" coordsize="21600,21600">
                  <v:path/>
                  <v:fill on="f" focussize="0,0"/>
                  <v:stroke on="f" joinstyle="miter"/>
                  <v:imagedata r:id="rId22" o:title=""/>
                  <o:lock v:ext="edit" aspectratio="t"/>
                  <w10:wrap type="none"/>
                  <w10:anchorlock/>
                </v:shape>
                <o:OLEObject Type="Embed" ProgID="Equation.3" ShapeID="_x0000_i1026" DrawAspect="Content" ObjectID="_1468075726" r:id="rId21">
                  <o:LockedField>false</o:LockedField>
                </o:OLEObject>
              </w:object>
            </w:r>
          </w:p>
          <w:p w14:paraId="022EBCDC">
            <w:pPr>
              <w:spacing w:line="360" w:lineRule="auto"/>
              <w:ind w:firstLine="480"/>
              <w:rPr>
                <w:color w:val="auto"/>
                <w:sz w:val="24"/>
              </w:rPr>
            </w:pPr>
            <w:r>
              <w:rPr>
                <w:color w:val="auto"/>
                <w:sz w:val="24"/>
              </w:rPr>
              <w:t>式中：Loct,1—某个室内声源在靠近围护结构处产生的倍频带声压级；</w:t>
            </w:r>
          </w:p>
          <w:p w14:paraId="36553816">
            <w:pPr>
              <w:spacing w:line="360" w:lineRule="auto"/>
              <w:ind w:firstLine="480"/>
              <w:rPr>
                <w:color w:val="auto"/>
                <w:sz w:val="24"/>
              </w:rPr>
            </w:pPr>
            <w:r>
              <w:rPr>
                <w:color w:val="auto"/>
                <w:sz w:val="24"/>
              </w:rPr>
              <w:t>Lw oct—某个声源的倍频带声功率级；</w:t>
            </w:r>
          </w:p>
          <w:p w14:paraId="1993A53F">
            <w:pPr>
              <w:spacing w:line="360" w:lineRule="auto"/>
              <w:ind w:firstLine="480"/>
              <w:rPr>
                <w:color w:val="auto"/>
                <w:sz w:val="24"/>
              </w:rPr>
            </w:pPr>
            <w:r>
              <w:rPr>
                <w:color w:val="auto"/>
                <w:sz w:val="24"/>
              </w:rPr>
              <w:t>r1—室内某个声源与靠近围护结构处的距离；</w:t>
            </w:r>
          </w:p>
          <w:p w14:paraId="4EEE41A4">
            <w:pPr>
              <w:spacing w:line="360" w:lineRule="auto"/>
              <w:ind w:firstLine="480"/>
              <w:rPr>
                <w:color w:val="auto"/>
                <w:sz w:val="24"/>
              </w:rPr>
            </w:pPr>
            <w:r>
              <w:rPr>
                <w:color w:val="auto"/>
                <w:sz w:val="24"/>
              </w:rPr>
              <w:t>R—房间常数；</w:t>
            </w:r>
          </w:p>
          <w:p w14:paraId="3EC19134">
            <w:pPr>
              <w:spacing w:line="360" w:lineRule="auto"/>
              <w:ind w:firstLine="480"/>
              <w:rPr>
                <w:color w:val="auto"/>
                <w:sz w:val="24"/>
              </w:rPr>
            </w:pPr>
            <w:r>
              <w:rPr>
                <w:color w:val="auto"/>
                <w:sz w:val="24"/>
              </w:rPr>
              <w:t>Q—方向因子。</w:t>
            </w:r>
          </w:p>
          <w:p w14:paraId="1BFAC642">
            <w:pPr>
              <w:spacing w:line="360" w:lineRule="auto"/>
              <w:ind w:firstLine="480"/>
              <w:rPr>
                <w:color w:val="auto"/>
                <w:sz w:val="24"/>
              </w:rPr>
            </w:pPr>
            <w:r>
              <w:rPr>
                <w:color w:val="auto"/>
                <w:sz w:val="24"/>
              </w:rPr>
              <w:t>②计算出所有室内声源在靠近围护结构处产生的总倍频带声压级：</w:t>
            </w:r>
          </w:p>
          <w:p w14:paraId="572156BD">
            <w:pPr>
              <w:spacing w:line="360" w:lineRule="auto"/>
              <w:ind w:firstLine="480"/>
              <w:rPr>
                <w:color w:val="auto"/>
                <w:sz w:val="24"/>
              </w:rPr>
            </w:pPr>
            <w:r>
              <w:rPr>
                <w:color w:val="auto"/>
                <w:sz w:val="24"/>
              </w:rPr>
              <w:object>
                <v:shape id="_x0000_i1027" o:spt="75" type="#_x0000_t75" style="height:36pt;width:145.5pt;" o:ole="t" filled="f" o:preferrelative="t" stroked="f" coordsize="21600,21600">
                  <v:path/>
                  <v:fill on="f" focussize="0,0"/>
                  <v:stroke on="f" joinstyle="miter"/>
                  <v:imagedata r:id="rId24" o:title=""/>
                  <o:lock v:ext="edit" aspectratio="t"/>
                  <w10:wrap type="none"/>
                  <w10:anchorlock/>
                </v:shape>
                <o:OLEObject Type="Embed" ProgID="Equation.3" ShapeID="_x0000_i1027" DrawAspect="Content" ObjectID="_1468075727" r:id="rId23">
                  <o:LockedField>false</o:LockedField>
                </o:OLEObject>
              </w:object>
            </w:r>
          </w:p>
          <w:p w14:paraId="5A526225">
            <w:pPr>
              <w:spacing w:line="360" w:lineRule="auto"/>
              <w:ind w:firstLine="480"/>
              <w:rPr>
                <w:color w:val="auto"/>
                <w:sz w:val="24"/>
              </w:rPr>
            </w:pPr>
            <w:r>
              <w:rPr>
                <w:color w:val="auto"/>
                <w:sz w:val="24"/>
              </w:rPr>
              <w:t>③计算出室外靠近围护结构处的声压级：</w:t>
            </w:r>
          </w:p>
          <w:p w14:paraId="259BDA31">
            <w:pPr>
              <w:spacing w:line="360" w:lineRule="auto"/>
              <w:ind w:firstLine="480"/>
              <w:rPr>
                <w:color w:val="auto"/>
                <w:sz w:val="24"/>
              </w:rPr>
            </w:pPr>
            <w:r>
              <w:rPr>
                <w:color w:val="auto"/>
                <w:sz w:val="24"/>
              </w:rPr>
              <w:object>
                <v:shape id="_x0000_i1028" o:spt="75" type="#_x0000_t75" style="height:18.75pt;width:153pt;" o:ole="t" filled="f" o:preferrelative="t" stroked="f" coordsize="21600,21600">
                  <v:path/>
                  <v:fill on="f" focussize="0,0"/>
                  <v:stroke on="f" joinstyle="miter"/>
                  <v:imagedata r:id="rId26" o:title=""/>
                  <o:lock v:ext="edit" aspectratio="t"/>
                  <w10:wrap type="none"/>
                  <w10:anchorlock/>
                </v:shape>
                <o:OLEObject Type="Embed" ProgID="Equation.3" ShapeID="_x0000_i1028" DrawAspect="Content" ObjectID="_1468075728" r:id="rId25">
                  <o:LockedField>false</o:LockedField>
                </o:OLEObject>
              </w:object>
            </w:r>
          </w:p>
          <w:p w14:paraId="38D5C254">
            <w:pPr>
              <w:spacing w:line="360" w:lineRule="auto"/>
              <w:ind w:firstLine="480"/>
              <w:rPr>
                <w:color w:val="auto"/>
                <w:sz w:val="24"/>
              </w:rPr>
            </w:pPr>
            <w:r>
              <w:rPr>
                <w:color w:val="auto"/>
                <w:sz w:val="24"/>
              </w:rPr>
              <w:t>④将室外声级Loct,2(T)和透声面积换算成等效的室外声源，计算出等效声源第i个倍频带的声功率级Lw oct：</w:t>
            </w:r>
          </w:p>
          <w:p w14:paraId="41BEDDD6">
            <w:pPr>
              <w:spacing w:line="360" w:lineRule="auto"/>
              <w:ind w:firstLine="480"/>
              <w:rPr>
                <w:color w:val="auto"/>
                <w:sz w:val="24"/>
              </w:rPr>
            </w:pPr>
            <w:r>
              <w:rPr>
                <w:color w:val="auto"/>
                <w:sz w:val="24"/>
              </w:rPr>
              <w:object>
                <v:shape id="_x0000_i1029" o:spt="75" type="#_x0000_t75" style="height:18.75pt;width:125.25pt;" o:ole="t" filled="f" o:preferrelative="t" stroked="f" coordsize="21600,21600">
                  <v:path/>
                  <v:fill on="f" focussize="0,0"/>
                  <v:stroke on="f" joinstyle="miter"/>
                  <v:imagedata r:id="rId28" o:title=""/>
                  <o:lock v:ext="edit" aspectratio="t"/>
                  <w10:wrap type="none"/>
                  <w10:anchorlock/>
                </v:shape>
                <o:OLEObject Type="Embed" ProgID="Equation.3" ShapeID="_x0000_i1029" DrawAspect="Content" ObjectID="_1468075729" r:id="rId27">
                  <o:LockedField>false</o:LockedField>
                </o:OLEObject>
              </w:object>
            </w:r>
          </w:p>
          <w:p w14:paraId="2E7B9AB3">
            <w:pPr>
              <w:spacing w:line="360" w:lineRule="auto"/>
              <w:ind w:firstLine="480"/>
              <w:rPr>
                <w:color w:val="auto"/>
                <w:sz w:val="24"/>
              </w:rPr>
            </w:pPr>
            <w:r>
              <w:rPr>
                <w:color w:val="auto"/>
                <w:sz w:val="24"/>
              </w:rPr>
              <w:t>式中：S为透声面积，m</w:t>
            </w:r>
            <w:r>
              <w:rPr>
                <w:color w:val="auto"/>
                <w:sz w:val="24"/>
                <w:vertAlign w:val="superscript"/>
              </w:rPr>
              <w:t>2</w:t>
            </w:r>
            <w:r>
              <w:rPr>
                <w:color w:val="auto"/>
                <w:sz w:val="24"/>
              </w:rPr>
              <w:t>。</w:t>
            </w:r>
          </w:p>
          <w:p w14:paraId="51FEAD30">
            <w:pPr>
              <w:spacing w:line="360" w:lineRule="auto"/>
              <w:ind w:firstLine="480"/>
              <w:rPr>
                <w:color w:val="auto"/>
                <w:sz w:val="24"/>
              </w:rPr>
            </w:pPr>
            <w:r>
              <w:rPr>
                <w:color w:val="auto"/>
                <w:sz w:val="24"/>
              </w:rPr>
              <w:t>⑤等效室外声源的位置为围护结构的位置，其倍频带声功率级为Lw oct，由此按室外声源方法计算等效室外声源在预测点产生的声级。</w:t>
            </w:r>
          </w:p>
          <w:p w14:paraId="4211CC52">
            <w:pPr>
              <w:spacing w:line="360" w:lineRule="auto"/>
              <w:ind w:firstLine="482"/>
              <w:rPr>
                <w:b/>
                <w:bCs/>
                <w:color w:val="auto"/>
                <w:sz w:val="24"/>
              </w:rPr>
            </w:pPr>
            <w:r>
              <w:rPr>
                <w:rFonts w:hint="eastAsia"/>
                <w:b/>
                <w:bCs/>
                <w:color w:val="auto"/>
                <w:sz w:val="24"/>
                <w:lang w:val="en-US" w:eastAsia="zh-CN"/>
              </w:rPr>
              <w:t>3、</w:t>
            </w:r>
            <w:r>
              <w:rPr>
                <w:b/>
                <w:bCs/>
                <w:color w:val="auto"/>
                <w:sz w:val="24"/>
              </w:rPr>
              <w:t>噪声贡献值计算</w:t>
            </w:r>
          </w:p>
          <w:p w14:paraId="62C95338">
            <w:pPr>
              <w:spacing w:line="360" w:lineRule="auto"/>
              <w:ind w:firstLine="480"/>
              <w:rPr>
                <w:color w:val="auto"/>
                <w:sz w:val="24"/>
              </w:rPr>
            </w:pPr>
            <w:r>
              <w:rPr>
                <w:color w:val="auto"/>
                <w:sz w:val="24"/>
              </w:rPr>
              <w:t>设第i个室外声源在预测点产生的A声级为LAin,i，在T时间内该声源工作时间为tin,i；第j个等效室外声源在预测点产生的A声级为LAout,j，在T时间内该声源工作时间为tout,j，则预测点的总等效声级为</w:t>
            </w:r>
          </w:p>
          <w:p w14:paraId="2B92D35A">
            <w:pPr>
              <w:spacing w:line="360" w:lineRule="auto"/>
              <w:ind w:firstLine="480"/>
              <w:rPr>
                <w:color w:val="auto"/>
                <w:sz w:val="24"/>
              </w:rPr>
            </w:pPr>
            <w:r>
              <w:rPr>
                <w:color w:val="auto"/>
                <w:sz w:val="24"/>
              </w:rPr>
              <w:object>
                <v:shape id="_x0000_i1030" o:spt="75" type="#_x0000_t75" style="height:38.25pt;width:246.75pt;" o:ole="t" filled="f" o:preferrelative="t" stroked="f" coordsize="21600,21600">
                  <v:path/>
                  <v:fill on="f" focussize="0,0"/>
                  <v:stroke on="f" joinstyle="miter"/>
                  <v:imagedata r:id="rId30" o:title=""/>
                  <o:lock v:ext="edit" aspectratio="t"/>
                  <w10:wrap type="none"/>
                  <w10:anchorlock/>
                </v:shape>
                <o:OLEObject Type="Embed" ProgID="Equation.3" ShapeID="_x0000_i1030" DrawAspect="Content" ObjectID="_1468075730" r:id="rId29">
                  <o:LockedField>false</o:LockedField>
                </o:OLEObject>
              </w:object>
            </w:r>
          </w:p>
          <w:p w14:paraId="3CA3B420">
            <w:pPr>
              <w:spacing w:line="360" w:lineRule="auto"/>
              <w:ind w:firstLine="480"/>
              <w:rPr>
                <w:color w:val="auto"/>
                <w:sz w:val="24"/>
              </w:rPr>
            </w:pPr>
            <w:r>
              <w:rPr>
                <w:color w:val="auto"/>
                <w:sz w:val="24"/>
              </w:rPr>
              <w:t>式中：T为计算等效声级的时间，N为室外声源个数，M为等效室外声源个数。</w:t>
            </w:r>
          </w:p>
          <w:p w14:paraId="67E4E55B">
            <w:pPr>
              <w:spacing w:line="360" w:lineRule="auto"/>
              <w:ind w:firstLine="480"/>
              <w:rPr>
                <w:color w:val="auto"/>
                <w:sz w:val="24"/>
              </w:rPr>
            </w:pPr>
            <w:r>
              <w:rPr>
                <w:color w:val="auto"/>
                <w:sz w:val="24"/>
              </w:rPr>
              <w:t>1）预测值计算</w:t>
            </w:r>
          </w:p>
          <w:p w14:paraId="40DF5A78">
            <w:pPr>
              <w:spacing w:line="360" w:lineRule="auto"/>
              <w:ind w:firstLine="480"/>
              <w:rPr>
                <w:color w:val="auto"/>
                <w:sz w:val="24"/>
              </w:rPr>
            </w:pPr>
            <w:r>
              <w:rPr>
                <w:color w:val="auto"/>
                <w:sz w:val="24"/>
              </w:rPr>
              <w:t>预测点的预测等效声级(Leq)计算公式：</w:t>
            </w:r>
          </w:p>
          <w:p w14:paraId="1AD5E8E1">
            <w:pPr>
              <w:spacing w:line="360" w:lineRule="auto"/>
              <w:ind w:firstLine="480"/>
              <w:rPr>
                <w:color w:val="auto"/>
                <w:sz w:val="24"/>
              </w:rPr>
            </w:pPr>
            <w:r>
              <w:rPr>
                <w:color w:val="auto"/>
                <w:sz w:val="24"/>
              </w:rPr>
              <w:object>
                <v:shape id="_x0000_i1031" o:spt="75" type="#_x0000_t75" style="height:22.5pt;width:140.25pt;" o:ole="t" filled="f" o:preferrelative="t" stroked="f" coordsize="21600,21600">
                  <v:path/>
                  <v:fill on="f" focussize="0,0"/>
                  <v:stroke on="f" joinstyle="miter"/>
                  <v:imagedata r:id="rId32" o:title=""/>
                  <o:lock v:ext="edit" aspectratio="t"/>
                  <w10:wrap type="none"/>
                  <w10:anchorlock/>
                </v:shape>
                <o:OLEObject Type="Embed" ProgID="Equation.3" ShapeID="_x0000_i1031" DrawAspect="Content" ObjectID="_1468075731" r:id="rId31">
                  <o:LockedField>false</o:LockedField>
                </o:OLEObject>
              </w:object>
            </w:r>
          </w:p>
          <w:p w14:paraId="0338F87D">
            <w:pPr>
              <w:spacing w:line="360" w:lineRule="auto"/>
              <w:ind w:firstLine="480"/>
              <w:rPr>
                <w:color w:val="auto"/>
                <w:sz w:val="24"/>
              </w:rPr>
            </w:pPr>
            <w:r>
              <w:rPr>
                <w:color w:val="auto"/>
                <w:sz w:val="24"/>
              </w:rPr>
              <w:t>式中：Leqg—建设项目声源在预测点的等效声级贡献值，dB(A)；</w:t>
            </w:r>
          </w:p>
          <w:p w14:paraId="4767B325">
            <w:pPr>
              <w:spacing w:line="360" w:lineRule="auto"/>
              <w:ind w:firstLine="480"/>
              <w:rPr>
                <w:color w:val="auto"/>
                <w:sz w:val="24"/>
              </w:rPr>
            </w:pPr>
            <w:r>
              <w:rPr>
                <w:color w:val="auto"/>
                <w:sz w:val="24"/>
              </w:rPr>
              <w:t>Leqb—预测点的背景值，dB(A)。</w:t>
            </w:r>
          </w:p>
          <w:p w14:paraId="60D7FFAD">
            <w:pPr>
              <w:spacing w:line="360" w:lineRule="auto"/>
              <w:ind w:firstLine="482"/>
              <w:rPr>
                <w:b/>
                <w:bCs/>
                <w:color w:val="auto"/>
                <w:sz w:val="24"/>
              </w:rPr>
            </w:pPr>
            <w:r>
              <w:rPr>
                <w:rFonts w:hint="eastAsia"/>
                <w:b/>
                <w:bCs/>
                <w:color w:val="auto"/>
                <w:sz w:val="24"/>
                <w:lang w:val="en-US" w:eastAsia="zh-CN"/>
              </w:rPr>
              <w:t>4、</w:t>
            </w:r>
            <w:r>
              <w:rPr>
                <w:b/>
                <w:bCs/>
                <w:color w:val="auto"/>
                <w:sz w:val="24"/>
              </w:rPr>
              <w:t>厂界噪声预测结果</w:t>
            </w:r>
          </w:p>
          <w:p w14:paraId="35A79B67">
            <w:pPr>
              <w:spacing w:line="360" w:lineRule="auto"/>
              <w:ind w:firstLine="480"/>
              <w:rPr>
                <w:color w:val="auto"/>
                <w:sz w:val="24"/>
              </w:rPr>
            </w:pPr>
            <w:r>
              <w:rPr>
                <w:color w:val="auto"/>
                <w:sz w:val="24"/>
              </w:rPr>
              <w:t>根据室内声压级预测模式，计算出厂界有关参数及预测声压级见表4-</w:t>
            </w:r>
            <w:r>
              <w:rPr>
                <w:rFonts w:hint="eastAsia"/>
                <w:color w:val="auto"/>
                <w:sz w:val="24"/>
              </w:rPr>
              <w:t>1</w:t>
            </w:r>
            <w:r>
              <w:rPr>
                <w:rFonts w:hint="eastAsia"/>
                <w:color w:val="auto"/>
                <w:sz w:val="24"/>
                <w:lang w:val="en-US" w:eastAsia="zh-CN"/>
              </w:rPr>
              <w:t>4</w:t>
            </w:r>
            <w:r>
              <w:rPr>
                <w:color w:val="auto"/>
                <w:sz w:val="24"/>
              </w:rPr>
              <w:t>。</w:t>
            </w:r>
          </w:p>
          <w:p w14:paraId="55678982">
            <w:pPr>
              <w:jc w:val="center"/>
              <w:rPr>
                <w:b/>
                <w:bCs/>
                <w:color w:val="auto"/>
                <w:sz w:val="24"/>
              </w:rPr>
            </w:pPr>
            <w:r>
              <w:rPr>
                <w:b/>
                <w:bCs/>
                <w:color w:val="auto"/>
                <w:sz w:val="24"/>
              </w:rPr>
              <w:t>表4-</w:t>
            </w:r>
            <w:r>
              <w:rPr>
                <w:rFonts w:hint="eastAsia"/>
                <w:b/>
                <w:bCs/>
                <w:color w:val="auto"/>
                <w:sz w:val="24"/>
              </w:rPr>
              <w:t>1</w:t>
            </w:r>
            <w:r>
              <w:rPr>
                <w:rFonts w:hint="eastAsia"/>
                <w:b/>
                <w:bCs/>
                <w:color w:val="auto"/>
                <w:sz w:val="24"/>
                <w:lang w:val="en-US" w:eastAsia="zh-CN"/>
              </w:rPr>
              <w:t>4</w:t>
            </w:r>
            <w:r>
              <w:rPr>
                <w:b/>
                <w:bCs/>
                <w:color w:val="auto"/>
                <w:sz w:val="24"/>
              </w:rPr>
              <w:t xml:space="preserve">  项目场区场界噪声预测结果  单位：dB（A）</w:t>
            </w:r>
          </w:p>
          <w:tbl>
            <w:tblPr>
              <w:tblStyle w:val="28"/>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070"/>
              <w:gridCol w:w="1682"/>
              <w:gridCol w:w="1565"/>
              <w:gridCol w:w="1565"/>
              <w:gridCol w:w="1586"/>
            </w:tblGrid>
            <w:tr w14:paraId="4E1CD0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222" w:type="pct"/>
                  <w:vMerge w:val="restart"/>
                  <w:vAlign w:val="center"/>
                </w:tcPr>
                <w:p w14:paraId="4B5A94F1">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hAnsi="Times New Roman" w:eastAsia="宋体"/>
                      <w:bCs/>
                      <w:color w:val="auto"/>
                      <w:spacing w:val="0"/>
                      <w:sz w:val="21"/>
                      <w:szCs w:val="21"/>
                    </w:rPr>
                  </w:pPr>
                  <w:r>
                    <w:rPr>
                      <w:rFonts w:hAnsi="Times New Roman" w:eastAsia="宋体"/>
                      <w:bCs/>
                      <w:color w:val="auto"/>
                      <w:spacing w:val="0"/>
                      <w:sz w:val="21"/>
                      <w:szCs w:val="21"/>
                    </w:rPr>
                    <w:t>测点位置</w:t>
                  </w:r>
                </w:p>
              </w:tc>
              <w:tc>
                <w:tcPr>
                  <w:tcW w:w="3777" w:type="pct"/>
                  <w:gridSpan w:val="4"/>
                  <w:vAlign w:val="center"/>
                </w:tcPr>
                <w:p w14:paraId="063C2732">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hAnsi="Times New Roman" w:eastAsia="宋体"/>
                      <w:bCs/>
                      <w:color w:val="auto"/>
                      <w:spacing w:val="0"/>
                      <w:sz w:val="21"/>
                      <w:szCs w:val="21"/>
                    </w:rPr>
                  </w:pPr>
                  <w:r>
                    <w:rPr>
                      <w:rFonts w:hAnsi="Times New Roman" w:eastAsia="宋体"/>
                      <w:bCs/>
                      <w:color w:val="auto"/>
                      <w:spacing w:val="0"/>
                      <w:sz w:val="21"/>
                      <w:szCs w:val="21"/>
                    </w:rPr>
                    <w:t>昼间</w:t>
                  </w:r>
                </w:p>
              </w:tc>
            </w:tr>
            <w:tr w14:paraId="16AC45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22" w:type="pct"/>
                  <w:vMerge w:val="continue"/>
                  <w:vAlign w:val="center"/>
                </w:tcPr>
                <w:p w14:paraId="456F3C85">
                  <w:pPr>
                    <w:pStyle w:val="43"/>
                    <w:keepNext w:val="0"/>
                    <w:keepLines w:val="0"/>
                    <w:pageBreakBefore w:val="0"/>
                    <w:widowControl w:val="0"/>
                    <w:kinsoku/>
                    <w:wordWrap/>
                    <w:overflowPunct/>
                    <w:topLinePunct w:val="0"/>
                    <w:autoSpaceDE/>
                    <w:autoSpaceDN/>
                    <w:bidi w:val="0"/>
                    <w:spacing w:before="0" w:beforeLines="0" w:beforeAutospacing="0" w:afterLines="0" w:line="240" w:lineRule="auto"/>
                    <w:ind w:firstLine="430"/>
                    <w:textAlignment w:val="auto"/>
                    <w:rPr>
                      <w:rFonts w:hAnsi="Times New Roman" w:eastAsia="宋体"/>
                      <w:bCs/>
                      <w:color w:val="auto"/>
                      <w:spacing w:val="0"/>
                      <w:sz w:val="21"/>
                      <w:szCs w:val="21"/>
                    </w:rPr>
                  </w:pPr>
                </w:p>
              </w:tc>
              <w:tc>
                <w:tcPr>
                  <w:tcW w:w="993" w:type="pct"/>
                  <w:vAlign w:val="center"/>
                </w:tcPr>
                <w:p w14:paraId="63893C15">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hAnsi="Times New Roman" w:eastAsia="宋体"/>
                      <w:bCs/>
                      <w:color w:val="auto"/>
                      <w:spacing w:val="0"/>
                      <w:sz w:val="21"/>
                      <w:szCs w:val="21"/>
                    </w:rPr>
                  </w:pPr>
                  <w:r>
                    <w:rPr>
                      <w:rFonts w:hAnsi="Times New Roman" w:eastAsia="宋体"/>
                      <w:bCs/>
                      <w:color w:val="auto"/>
                      <w:spacing w:val="0"/>
                      <w:sz w:val="21"/>
                      <w:szCs w:val="21"/>
                    </w:rPr>
                    <w:t>贡献值</w:t>
                  </w:r>
                </w:p>
              </w:tc>
              <w:tc>
                <w:tcPr>
                  <w:tcW w:w="924" w:type="pct"/>
                  <w:vAlign w:val="center"/>
                </w:tcPr>
                <w:p w14:paraId="024A9B52">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hAnsi="Times New Roman" w:eastAsia="宋体"/>
                      <w:bCs/>
                      <w:color w:val="auto"/>
                      <w:spacing w:val="0"/>
                      <w:sz w:val="21"/>
                      <w:szCs w:val="21"/>
                    </w:rPr>
                  </w:pPr>
                  <w:r>
                    <w:rPr>
                      <w:rFonts w:hAnsi="Times New Roman" w:eastAsia="宋体"/>
                      <w:bCs/>
                      <w:color w:val="auto"/>
                      <w:spacing w:val="0"/>
                      <w:sz w:val="21"/>
                      <w:szCs w:val="21"/>
                    </w:rPr>
                    <w:t>背景值</w:t>
                  </w:r>
                </w:p>
              </w:tc>
              <w:tc>
                <w:tcPr>
                  <w:tcW w:w="924" w:type="pct"/>
                  <w:vAlign w:val="center"/>
                </w:tcPr>
                <w:p w14:paraId="69DDCF7B">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hAnsi="Times New Roman" w:eastAsia="宋体"/>
                      <w:bCs/>
                      <w:color w:val="auto"/>
                      <w:spacing w:val="0"/>
                      <w:sz w:val="21"/>
                      <w:szCs w:val="21"/>
                    </w:rPr>
                  </w:pPr>
                  <w:r>
                    <w:rPr>
                      <w:rFonts w:hAnsi="Times New Roman" w:eastAsia="宋体"/>
                      <w:bCs/>
                      <w:color w:val="auto"/>
                      <w:spacing w:val="0"/>
                      <w:sz w:val="21"/>
                      <w:szCs w:val="21"/>
                    </w:rPr>
                    <w:t>预测值</w:t>
                  </w:r>
                </w:p>
              </w:tc>
              <w:tc>
                <w:tcPr>
                  <w:tcW w:w="935" w:type="pct"/>
                  <w:vAlign w:val="center"/>
                </w:tcPr>
                <w:p w14:paraId="3ABCAF5B">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hAnsi="Times New Roman" w:eastAsia="宋体"/>
                      <w:bCs/>
                      <w:color w:val="auto"/>
                      <w:spacing w:val="0"/>
                      <w:sz w:val="21"/>
                      <w:szCs w:val="21"/>
                    </w:rPr>
                  </w:pPr>
                  <w:r>
                    <w:rPr>
                      <w:rFonts w:hAnsi="Times New Roman" w:eastAsia="宋体"/>
                      <w:bCs/>
                      <w:color w:val="auto"/>
                      <w:spacing w:val="0"/>
                      <w:sz w:val="21"/>
                      <w:szCs w:val="21"/>
                    </w:rPr>
                    <w:t>标准值</w:t>
                  </w:r>
                </w:p>
              </w:tc>
            </w:tr>
            <w:tr w14:paraId="2403A1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222" w:type="pct"/>
                  <w:vAlign w:val="center"/>
                </w:tcPr>
                <w:p w14:paraId="76F1EC3F">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hAnsi="Times New Roman" w:eastAsia="宋体"/>
                      <w:color w:val="auto"/>
                      <w:spacing w:val="0"/>
                      <w:sz w:val="21"/>
                      <w:szCs w:val="21"/>
                    </w:rPr>
                  </w:pPr>
                  <w:r>
                    <w:rPr>
                      <w:rFonts w:hAnsi="Times New Roman" w:eastAsia="宋体"/>
                      <w:color w:val="auto"/>
                      <w:spacing w:val="0"/>
                      <w:sz w:val="21"/>
                      <w:szCs w:val="21"/>
                    </w:rPr>
                    <w:t>东场界</w:t>
                  </w:r>
                </w:p>
              </w:tc>
              <w:tc>
                <w:tcPr>
                  <w:tcW w:w="993" w:type="pct"/>
                  <w:vAlign w:val="center"/>
                </w:tcPr>
                <w:p w14:paraId="66457994">
                  <w:pPr>
                    <w:keepNext w:val="0"/>
                    <w:keepLines w:val="0"/>
                    <w:pageBreakBefore w:val="0"/>
                    <w:widowControl w:val="0"/>
                    <w:kinsoku/>
                    <w:wordWrap/>
                    <w:overflowPunct/>
                    <w:topLinePunct w:val="0"/>
                    <w:autoSpaceDE/>
                    <w:autoSpaceDN/>
                    <w:bidi w:val="0"/>
                    <w:spacing w:beforeAutospacing="0" w:line="240" w:lineRule="auto"/>
                    <w:jc w:val="center"/>
                    <w:textAlignment w:val="auto"/>
                    <w:rPr>
                      <w:rFonts w:hint="default" w:eastAsia="宋体"/>
                      <w:color w:val="auto"/>
                      <w:spacing w:val="0"/>
                      <w:szCs w:val="21"/>
                      <w:lang w:val="en-US" w:eastAsia="zh-CN" w:bidi="ar"/>
                    </w:rPr>
                  </w:pPr>
                  <w:r>
                    <w:rPr>
                      <w:rFonts w:hint="eastAsia"/>
                      <w:color w:val="auto"/>
                      <w:spacing w:val="0"/>
                      <w:szCs w:val="21"/>
                      <w:lang w:val="en-US" w:eastAsia="zh-CN" w:bidi="ar"/>
                    </w:rPr>
                    <w:t>43.8</w:t>
                  </w:r>
                </w:p>
              </w:tc>
              <w:tc>
                <w:tcPr>
                  <w:tcW w:w="924" w:type="pct"/>
                  <w:vAlign w:val="center"/>
                </w:tcPr>
                <w:p w14:paraId="51218CC7">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ascii="Times New Roman" w:hAnsi="Times New Roman"/>
                      <w:b w:val="0"/>
                      <w:bCs/>
                      <w:color w:val="auto"/>
                      <w:spacing w:val="0"/>
                      <w:sz w:val="21"/>
                      <w:szCs w:val="21"/>
                    </w:rPr>
                  </w:pPr>
                  <w:r>
                    <w:rPr>
                      <w:rFonts w:ascii="Times New Roman" w:hAnsi="Times New Roman"/>
                      <w:b w:val="0"/>
                      <w:bCs/>
                      <w:color w:val="auto"/>
                      <w:spacing w:val="0"/>
                      <w:sz w:val="21"/>
                      <w:szCs w:val="21"/>
                    </w:rPr>
                    <w:t>/</w:t>
                  </w:r>
                </w:p>
              </w:tc>
              <w:tc>
                <w:tcPr>
                  <w:tcW w:w="924" w:type="pct"/>
                  <w:vAlign w:val="center"/>
                </w:tcPr>
                <w:p w14:paraId="0FED883B">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ascii="Times New Roman" w:hAnsi="Times New Roman"/>
                      <w:b w:val="0"/>
                      <w:bCs/>
                      <w:color w:val="auto"/>
                      <w:spacing w:val="0"/>
                      <w:sz w:val="21"/>
                      <w:szCs w:val="21"/>
                    </w:rPr>
                  </w:pPr>
                  <w:r>
                    <w:rPr>
                      <w:rFonts w:ascii="Times New Roman" w:hAnsi="Times New Roman"/>
                      <w:b w:val="0"/>
                      <w:bCs/>
                      <w:color w:val="auto"/>
                      <w:spacing w:val="0"/>
                      <w:sz w:val="21"/>
                      <w:szCs w:val="21"/>
                    </w:rPr>
                    <w:t>/</w:t>
                  </w:r>
                </w:p>
              </w:tc>
              <w:tc>
                <w:tcPr>
                  <w:tcW w:w="935" w:type="pct"/>
                  <w:vAlign w:val="center"/>
                </w:tcPr>
                <w:p w14:paraId="052D90DD">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hint="default" w:ascii="Times New Roman" w:hAnsi="Times New Roman" w:eastAsia="黑体"/>
                      <w:b w:val="0"/>
                      <w:bCs/>
                      <w:color w:val="auto"/>
                      <w:spacing w:val="0"/>
                      <w:sz w:val="21"/>
                      <w:szCs w:val="21"/>
                      <w:lang w:val="en-US" w:eastAsia="zh-CN"/>
                    </w:rPr>
                  </w:pPr>
                  <w:r>
                    <w:rPr>
                      <w:rFonts w:hint="eastAsia" w:ascii="Times New Roman" w:hAnsi="Times New Roman"/>
                      <w:b w:val="0"/>
                      <w:bCs/>
                      <w:color w:val="auto"/>
                      <w:spacing w:val="0"/>
                      <w:sz w:val="21"/>
                      <w:szCs w:val="21"/>
                      <w:lang w:val="en-US" w:eastAsia="zh-CN"/>
                    </w:rPr>
                    <w:t>6</w:t>
                  </w:r>
                  <w:r>
                    <w:rPr>
                      <w:rFonts w:hint="eastAsia"/>
                      <w:b w:val="0"/>
                      <w:bCs/>
                      <w:color w:val="auto"/>
                      <w:spacing w:val="0"/>
                      <w:sz w:val="21"/>
                      <w:szCs w:val="21"/>
                      <w:lang w:val="en-US" w:eastAsia="zh-CN"/>
                    </w:rPr>
                    <w:t>0</w:t>
                  </w:r>
                </w:p>
              </w:tc>
            </w:tr>
            <w:tr w14:paraId="509765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2" w:type="pct"/>
                  <w:vAlign w:val="center"/>
                </w:tcPr>
                <w:p w14:paraId="38E0CDFF">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hAnsi="Times New Roman" w:eastAsia="宋体"/>
                      <w:color w:val="auto"/>
                      <w:spacing w:val="0"/>
                      <w:sz w:val="21"/>
                      <w:szCs w:val="21"/>
                    </w:rPr>
                  </w:pPr>
                  <w:r>
                    <w:rPr>
                      <w:rFonts w:hAnsi="Times New Roman" w:eastAsia="宋体"/>
                      <w:color w:val="auto"/>
                      <w:spacing w:val="0"/>
                      <w:sz w:val="21"/>
                      <w:szCs w:val="21"/>
                    </w:rPr>
                    <w:t>南场界</w:t>
                  </w:r>
                </w:p>
              </w:tc>
              <w:tc>
                <w:tcPr>
                  <w:tcW w:w="993" w:type="pct"/>
                  <w:vAlign w:val="center"/>
                </w:tcPr>
                <w:p w14:paraId="66070FD7">
                  <w:pPr>
                    <w:keepNext w:val="0"/>
                    <w:keepLines w:val="0"/>
                    <w:pageBreakBefore w:val="0"/>
                    <w:widowControl w:val="0"/>
                    <w:kinsoku/>
                    <w:wordWrap/>
                    <w:overflowPunct/>
                    <w:topLinePunct w:val="0"/>
                    <w:autoSpaceDE/>
                    <w:autoSpaceDN/>
                    <w:bidi w:val="0"/>
                    <w:spacing w:beforeAutospacing="0" w:line="240" w:lineRule="auto"/>
                    <w:jc w:val="center"/>
                    <w:textAlignment w:val="auto"/>
                    <w:rPr>
                      <w:rFonts w:hint="default" w:eastAsia="宋体"/>
                      <w:color w:val="auto"/>
                      <w:spacing w:val="0"/>
                      <w:szCs w:val="21"/>
                      <w:lang w:val="en-US" w:eastAsia="zh-CN" w:bidi="ar"/>
                    </w:rPr>
                  </w:pPr>
                  <w:r>
                    <w:rPr>
                      <w:rFonts w:hint="eastAsia"/>
                      <w:color w:val="auto"/>
                      <w:spacing w:val="0"/>
                      <w:szCs w:val="21"/>
                      <w:lang w:val="en-US" w:eastAsia="zh-CN" w:bidi="ar"/>
                    </w:rPr>
                    <w:t>46.59</w:t>
                  </w:r>
                </w:p>
              </w:tc>
              <w:tc>
                <w:tcPr>
                  <w:tcW w:w="924" w:type="pct"/>
                  <w:vAlign w:val="center"/>
                </w:tcPr>
                <w:p w14:paraId="5AE5C44A">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ascii="Times New Roman" w:hAnsi="Times New Roman"/>
                      <w:b w:val="0"/>
                      <w:bCs/>
                      <w:color w:val="auto"/>
                      <w:spacing w:val="0"/>
                      <w:sz w:val="21"/>
                      <w:szCs w:val="21"/>
                    </w:rPr>
                  </w:pPr>
                  <w:r>
                    <w:rPr>
                      <w:rFonts w:ascii="Times New Roman" w:hAnsi="Times New Roman"/>
                      <w:b w:val="0"/>
                      <w:bCs/>
                      <w:color w:val="auto"/>
                      <w:spacing w:val="0"/>
                      <w:sz w:val="21"/>
                      <w:szCs w:val="21"/>
                    </w:rPr>
                    <w:t>/</w:t>
                  </w:r>
                </w:p>
              </w:tc>
              <w:tc>
                <w:tcPr>
                  <w:tcW w:w="924" w:type="pct"/>
                  <w:vAlign w:val="center"/>
                </w:tcPr>
                <w:p w14:paraId="63A74585">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ascii="Times New Roman" w:hAnsi="Times New Roman"/>
                      <w:b w:val="0"/>
                      <w:bCs/>
                      <w:color w:val="auto"/>
                      <w:spacing w:val="0"/>
                      <w:sz w:val="21"/>
                      <w:szCs w:val="21"/>
                    </w:rPr>
                  </w:pPr>
                  <w:r>
                    <w:rPr>
                      <w:rFonts w:ascii="Times New Roman" w:hAnsi="Times New Roman"/>
                      <w:b w:val="0"/>
                      <w:bCs/>
                      <w:color w:val="auto"/>
                      <w:spacing w:val="0"/>
                      <w:sz w:val="21"/>
                      <w:szCs w:val="21"/>
                    </w:rPr>
                    <w:t>/</w:t>
                  </w:r>
                </w:p>
              </w:tc>
              <w:tc>
                <w:tcPr>
                  <w:tcW w:w="935" w:type="pct"/>
                  <w:vAlign w:val="center"/>
                </w:tcPr>
                <w:p w14:paraId="42081A00">
                  <w:pPr>
                    <w:keepNext w:val="0"/>
                    <w:keepLines w:val="0"/>
                    <w:pageBreakBefore w:val="0"/>
                    <w:widowControl w:val="0"/>
                    <w:kinsoku/>
                    <w:wordWrap/>
                    <w:overflowPunct/>
                    <w:topLinePunct w:val="0"/>
                    <w:autoSpaceDE/>
                    <w:autoSpaceDN/>
                    <w:bidi w:val="0"/>
                    <w:spacing w:before="0" w:beforeLines="0" w:beforeAutospacing="0" w:afterLines="0" w:line="240" w:lineRule="auto"/>
                    <w:jc w:val="center"/>
                    <w:textAlignment w:val="auto"/>
                    <w:rPr>
                      <w:rFonts w:hint="eastAsia" w:eastAsia="宋体"/>
                      <w:bCs/>
                      <w:color w:val="auto"/>
                      <w:spacing w:val="0"/>
                      <w:szCs w:val="21"/>
                      <w:lang w:val="en-US" w:eastAsia="zh-CN"/>
                    </w:rPr>
                  </w:pPr>
                  <w:r>
                    <w:rPr>
                      <w:rFonts w:hint="eastAsia" w:ascii="Times New Roman" w:hAnsi="Times New Roman"/>
                      <w:b w:val="0"/>
                      <w:bCs/>
                      <w:color w:val="auto"/>
                      <w:spacing w:val="0"/>
                      <w:sz w:val="21"/>
                      <w:szCs w:val="21"/>
                      <w:lang w:val="en-US" w:eastAsia="zh-CN"/>
                    </w:rPr>
                    <w:t>6</w:t>
                  </w:r>
                  <w:r>
                    <w:rPr>
                      <w:rFonts w:hint="eastAsia"/>
                      <w:b w:val="0"/>
                      <w:bCs/>
                      <w:color w:val="auto"/>
                      <w:spacing w:val="0"/>
                      <w:sz w:val="21"/>
                      <w:szCs w:val="21"/>
                      <w:lang w:val="en-US" w:eastAsia="zh-CN"/>
                    </w:rPr>
                    <w:t>0</w:t>
                  </w:r>
                </w:p>
              </w:tc>
            </w:tr>
            <w:tr w14:paraId="78582B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2" w:type="pct"/>
                  <w:vAlign w:val="center"/>
                </w:tcPr>
                <w:p w14:paraId="67A5D3CB">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hAnsi="Times New Roman" w:eastAsia="宋体"/>
                      <w:color w:val="auto"/>
                      <w:spacing w:val="0"/>
                      <w:sz w:val="21"/>
                      <w:szCs w:val="21"/>
                    </w:rPr>
                  </w:pPr>
                  <w:r>
                    <w:rPr>
                      <w:rFonts w:hAnsi="Times New Roman" w:eastAsia="宋体"/>
                      <w:color w:val="auto"/>
                      <w:spacing w:val="0"/>
                      <w:sz w:val="21"/>
                      <w:szCs w:val="21"/>
                    </w:rPr>
                    <w:t>西场界</w:t>
                  </w:r>
                </w:p>
              </w:tc>
              <w:tc>
                <w:tcPr>
                  <w:tcW w:w="993" w:type="pct"/>
                  <w:vAlign w:val="center"/>
                </w:tcPr>
                <w:p w14:paraId="6425B8A0">
                  <w:pPr>
                    <w:keepNext w:val="0"/>
                    <w:keepLines w:val="0"/>
                    <w:pageBreakBefore w:val="0"/>
                    <w:widowControl w:val="0"/>
                    <w:kinsoku/>
                    <w:wordWrap/>
                    <w:overflowPunct/>
                    <w:topLinePunct w:val="0"/>
                    <w:autoSpaceDE/>
                    <w:autoSpaceDN/>
                    <w:bidi w:val="0"/>
                    <w:spacing w:beforeAutospacing="0" w:line="240" w:lineRule="auto"/>
                    <w:jc w:val="center"/>
                    <w:textAlignment w:val="auto"/>
                    <w:rPr>
                      <w:rFonts w:hint="default" w:eastAsia="宋体"/>
                      <w:color w:val="auto"/>
                      <w:spacing w:val="0"/>
                      <w:szCs w:val="21"/>
                      <w:lang w:val="en-US" w:eastAsia="zh-CN" w:bidi="ar"/>
                    </w:rPr>
                  </w:pPr>
                  <w:r>
                    <w:rPr>
                      <w:rFonts w:hint="eastAsia"/>
                      <w:color w:val="auto"/>
                      <w:spacing w:val="0"/>
                      <w:szCs w:val="21"/>
                      <w:lang w:val="en-US" w:eastAsia="zh-CN" w:bidi="ar"/>
                    </w:rPr>
                    <w:t>42.82</w:t>
                  </w:r>
                </w:p>
              </w:tc>
              <w:tc>
                <w:tcPr>
                  <w:tcW w:w="924" w:type="pct"/>
                  <w:vAlign w:val="center"/>
                </w:tcPr>
                <w:p w14:paraId="1C9433F6">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ascii="Times New Roman" w:hAnsi="Times New Roman"/>
                      <w:b w:val="0"/>
                      <w:bCs/>
                      <w:color w:val="auto"/>
                      <w:spacing w:val="0"/>
                      <w:sz w:val="21"/>
                      <w:szCs w:val="21"/>
                    </w:rPr>
                  </w:pPr>
                  <w:r>
                    <w:rPr>
                      <w:rFonts w:ascii="Times New Roman" w:hAnsi="Times New Roman"/>
                      <w:b w:val="0"/>
                      <w:bCs/>
                      <w:color w:val="auto"/>
                      <w:spacing w:val="0"/>
                      <w:sz w:val="21"/>
                      <w:szCs w:val="21"/>
                    </w:rPr>
                    <w:t>/</w:t>
                  </w:r>
                </w:p>
              </w:tc>
              <w:tc>
                <w:tcPr>
                  <w:tcW w:w="924" w:type="pct"/>
                  <w:vAlign w:val="center"/>
                </w:tcPr>
                <w:p w14:paraId="49CD9E91">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ascii="Times New Roman" w:hAnsi="Times New Roman"/>
                      <w:b w:val="0"/>
                      <w:bCs/>
                      <w:color w:val="auto"/>
                      <w:spacing w:val="0"/>
                      <w:sz w:val="21"/>
                      <w:szCs w:val="21"/>
                    </w:rPr>
                  </w:pPr>
                  <w:r>
                    <w:rPr>
                      <w:rFonts w:ascii="Times New Roman" w:hAnsi="Times New Roman"/>
                      <w:b w:val="0"/>
                      <w:bCs/>
                      <w:color w:val="auto"/>
                      <w:spacing w:val="0"/>
                      <w:sz w:val="21"/>
                      <w:szCs w:val="21"/>
                    </w:rPr>
                    <w:t>/</w:t>
                  </w:r>
                </w:p>
              </w:tc>
              <w:tc>
                <w:tcPr>
                  <w:tcW w:w="935" w:type="pct"/>
                  <w:vAlign w:val="center"/>
                </w:tcPr>
                <w:p w14:paraId="4634D6E3">
                  <w:pPr>
                    <w:keepNext w:val="0"/>
                    <w:keepLines w:val="0"/>
                    <w:pageBreakBefore w:val="0"/>
                    <w:widowControl w:val="0"/>
                    <w:kinsoku/>
                    <w:wordWrap/>
                    <w:overflowPunct/>
                    <w:topLinePunct w:val="0"/>
                    <w:autoSpaceDE/>
                    <w:autoSpaceDN/>
                    <w:bidi w:val="0"/>
                    <w:spacing w:before="0" w:beforeLines="0" w:beforeAutospacing="0" w:afterLines="0" w:line="240" w:lineRule="auto"/>
                    <w:jc w:val="center"/>
                    <w:textAlignment w:val="auto"/>
                    <w:rPr>
                      <w:rFonts w:hint="eastAsia" w:eastAsia="宋体"/>
                      <w:bCs/>
                      <w:color w:val="auto"/>
                      <w:spacing w:val="0"/>
                      <w:szCs w:val="21"/>
                      <w:lang w:val="en-US" w:eastAsia="zh-CN"/>
                    </w:rPr>
                  </w:pPr>
                  <w:r>
                    <w:rPr>
                      <w:rFonts w:hint="eastAsia" w:ascii="Times New Roman" w:hAnsi="Times New Roman"/>
                      <w:b w:val="0"/>
                      <w:bCs/>
                      <w:color w:val="auto"/>
                      <w:spacing w:val="0"/>
                      <w:sz w:val="21"/>
                      <w:szCs w:val="21"/>
                      <w:lang w:val="en-US" w:eastAsia="zh-CN"/>
                    </w:rPr>
                    <w:t>6</w:t>
                  </w:r>
                  <w:r>
                    <w:rPr>
                      <w:rFonts w:hint="eastAsia"/>
                      <w:b w:val="0"/>
                      <w:bCs/>
                      <w:color w:val="auto"/>
                      <w:spacing w:val="0"/>
                      <w:sz w:val="21"/>
                      <w:szCs w:val="21"/>
                      <w:lang w:val="en-US" w:eastAsia="zh-CN"/>
                    </w:rPr>
                    <w:t>0</w:t>
                  </w:r>
                </w:p>
              </w:tc>
            </w:tr>
            <w:tr w14:paraId="524C0C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222" w:type="pct"/>
                  <w:vAlign w:val="center"/>
                </w:tcPr>
                <w:p w14:paraId="2D25A417">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hAnsi="Times New Roman" w:eastAsia="宋体"/>
                      <w:color w:val="auto"/>
                      <w:spacing w:val="0"/>
                      <w:sz w:val="21"/>
                      <w:szCs w:val="21"/>
                    </w:rPr>
                  </w:pPr>
                  <w:r>
                    <w:rPr>
                      <w:rFonts w:hAnsi="Times New Roman" w:eastAsia="宋体"/>
                      <w:color w:val="auto"/>
                      <w:spacing w:val="0"/>
                      <w:sz w:val="21"/>
                      <w:szCs w:val="21"/>
                    </w:rPr>
                    <w:t>北场界</w:t>
                  </w:r>
                </w:p>
              </w:tc>
              <w:tc>
                <w:tcPr>
                  <w:tcW w:w="993" w:type="pct"/>
                  <w:vAlign w:val="center"/>
                </w:tcPr>
                <w:p w14:paraId="71F9C0A7">
                  <w:pPr>
                    <w:keepNext w:val="0"/>
                    <w:keepLines w:val="0"/>
                    <w:pageBreakBefore w:val="0"/>
                    <w:widowControl w:val="0"/>
                    <w:kinsoku/>
                    <w:wordWrap/>
                    <w:overflowPunct/>
                    <w:topLinePunct w:val="0"/>
                    <w:autoSpaceDE/>
                    <w:autoSpaceDN/>
                    <w:bidi w:val="0"/>
                    <w:spacing w:beforeAutospacing="0" w:line="240" w:lineRule="auto"/>
                    <w:jc w:val="center"/>
                    <w:textAlignment w:val="auto"/>
                    <w:rPr>
                      <w:rFonts w:hint="default" w:eastAsia="宋体"/>
                      <w:color w:val="auto"/>
                      <w:spacing w:val="0"/>
                      <w:szCs w:val="21"/>
                      <w:lang w:val="en-US" w:eastAsia="zh-CN" w:bidi="ar"/>
                    </w:rPr>
                  </w:pPr>
                  <w:r>
                    <w:rPr>
                      <w:rFonts w:hint="eastAsia"/>
                      <w:color w:val="auto"/>
                      <w:spacing w:val="0"/>
                      <w:szCs w:val="21"/>
                      <w:lang w:val="en-US" w:eastAsia="zh-CN" w:bidi="ar"/>
                    </w:rPr>
                    <w:t>48.01</w:t>
                  </w:r>
                </w:p>
              </w:tc>
              <w:tc>
                <w:tcPr>
                  <w:tcW w:w="924" w:type="pct"/>
                  <w:vAlign w:val="center"/>
                </w:tcPr>
                <w:p w14:paraId="26E754C3">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ascii="Times New Roman" w:hAnsi="Times New Roman"/>
                      <w:b w:val="0"/>
                      <w:bCs/>
                      <w:color w:val="auto"/>
                      <w:spacing w:val="0"/>
                      <w:sz w:val="21"/>
                      <w:szCs w:val="21"/>
                    </w:rPr>
                  </w:pPr>
                  <w:r>
                    <w:rPr>
                      <w:rFonts w:ascii="Times New Roman" w:hAnsi="Times New Roman"/>
                      <w:b w:val="0"/>
                      <w:bCs/>
                      <w:color w:val="auto"/>
                      <w:spacing w:val="0"/>
                      <w:sz w:val="21"/>
                      <w:szCs w:val="21"/>
                    </w:rPr>
                    <w:t>/</w:t>
                  </w:r>
                </w:p>
              </w:tc>
              <w:tc>
                <w:tcPr>
                  <w:tcW w:w="924" w:type="pct"/>
                  <w:vAlign w:val="center"/>
                </w:tcPr>
                <w:p w14:paraId="7C90D1FB">
                  <w:pPr>
                    <w:pStyle w:val="43"/>
                    <w:keepNext w:val="0"/>
                    <w:keepLines w:val="0"/>
                    <w:pageBreakBefore w:val="0"/>
                    <w:widowControl w:val="0"/>
                    <w:kinsoku/>
                    <w:wordWrap/>
                    <w:overflowPunct/>
                    <w:topLinePunct w:val="0"/>
                    <w:autoSpaceDE/>
                    <w:autoSpaceDN/>
                    <w:bidi w:val="0"/>
                    <w:spacing w:before="0" w:beforeLines="0" w:beforeAutospacing="0" w:afterLines="0" w:line="240" w:lineRule="auto"/>
                    <w:textAlignment w:val="auto"/>
                    <w:rPr>
                      <w:rFonts w:ascii="Times New Roman" w:hAnsi="Times New Roman"/>
                      <w:b w:val="0"/>
                      <w:bCs/>
                      <w:color w:val="auto"/>
                      <w:spacing w:val="0"/>
                      <w:sz w:val="21"/>
                      <w:szCs w:val="21"/>
                    </w:rPr>
                  </w:pPr>
                  <w:r>
                    <w:rPr>
                      <w:rFonts w:ascii="Times New Roman" w:hAnsi="Times New Roman"/>
                      <w:b w:val="0"/>
                      <w:bCs/>
                      <w:color w:val="auto"/>
                      <w:spacing w:val="0"/>
                      <w:sz w:val="21"/>
                      <w:szCs w:val="21"/>
                    </w:rPr>
                    <w:t>/</w:t>
                  </w:r>
                </w:p>
              </w:tc>
              <w:tc>
                <w:tcPr>
                  <w:tcW w:w="935" w:type="pct"/>
                  <w:vAlign w:val="center"/>
                </w:tcPr>
                <w:p w14:paraId="6DED4A45">
                  <w:pPr>
                    <w:keepNext w:val="0"/>
                    <w:keepLines w:val="0"/>
                    <w:pageBreakBefore w:val="0"/>
                    <w:widowControl w:val="0"/>
                    <w:kinsoku/>
                    <w:wordWrap/>
                    <w:overflowPunct/>
                    <w:topLinePunct w:val="0"/>
                    <w:autoSpaceDE/>
                    <w:autoSpaceDN/>
                    <w:bidi w:val="0"/>
                    <w:spacing w:before="0" w:beforeLines="0" w:beforeAutospacing="0" w:afterLines="0" w:line="240" w:lineRule="auto"/>
                    <w:jc w:val="center"/>
                    <w:textAlignment w:val="auto"/>
                    <w:rPr>
                      <w:rFonts w:hint="eastAsia" w:eastAsia="宋体"/>
                      <w:bCs/>
                      <w:color w:val="auto"/>
                      <w:spacing w:val="0"/>
                      <w:szCs w:val="21"/>
                      <w:lang w:val="en-US" w:eastAsia="zh-CN"/>
                    </w:rPr>
                  </w:pPr>
                  <w:r>
                    <w:rPr>
                      <w:rFonts w:hint="eastAsia" w:ascii="Times New Roman" w:hAnsi="Times New Roman"/>
                      <w:b w:val="0"/>
                      <w:bCs/>
                      <w:color w:val="auto"/>
                      <w:spacing w:val="0"/>
                      <w:sz w:val="21"/>
                      <w:szCs w:val="21"/>
                      <w:lang w:val="en-US" w:eastAsia="zh-CN"/>
                    </w:rPr>
                    <w:t>6</w:t>
                  </w:r>
                  <w:r>
                    <w:rPr>
                      <w:rFonts w:hint="eastAsia"/>
                      <w:b w:val="0"/>
                      <w:bCs/>
                      <w:color w:val="auto"/>
                      <w:spacing w:val="0"/>
                      <w:sz w:val="21"/>
                      <w:szCs w:val="21"/>
                      <w:lang w:val="en-US" w:eastAsia="zh-CN"/>
                    </w:rPr>
                    <w:t>0</w:t>
                  </w:r>
                </w:p>
              </w:tc>
            </w:tr>
          </w:tbl>
          <w:p w14:paraId="066EEBD2">
            <w:pPr>
              <w:spacing w:line="360" w:lineRule="auto"/>
              <w:ind w:firstLine="480"/>
              <w:rPr>
                <w:b/>
                <w:bCs/>
                <w:color w:val="auto"/>
                <w:sz w:val="24"/>
              </w:rPr>
            </w:pPr>
            <w:r>
              <w:rPr>
                <w:b/>
                <w:bCs/>
                <w:color w:val="auto"/>
                <w:sz w:val="24"/>
              </w:rPr>
              <w:t>备注：本项目仅昼间生产，夜间不生产。</w:t>
            </w:r>
          </w:p>
          <w:p w14:paraId="59F76542">
            <w:pPr>
              <w:spacing w:line="360" w:lineRule="auto"/>
              <w:ind w:firstLine="480"/>
              <w:rPr>
                <w:color w:val="auto"/>
                <w:sz w:val="24"/>
              </w:rPr>
            </w:pPr>
            <w:r>
              <w:rPr>
                <w:color w:val="auto"/>
                <w:sz w:val="24"/>
              </w:rPr>
              <w:t>由预测结果可知，厂界噪声</w:t>
            </w:r>
            <w:r>
              <w:rPr>
                <w:rFonts w:hint="eastAsia"/>
                <w:color w:val="auto"/>
                <w:sz w:val="24"/>
                <w:lang w:val="en-US" w:eastAsia="zh-CN"/>
              </w:rPr>
              <w:t>贡献</w:t>
            </w:r>
            <w:r>
              <w:rPr>
                <w:color w:val="auto"/>
                <w:sz w:val="24"/>
              </w:rPr>
              <w:t>值在</w:t>
            </w:r>
            <w:r>
              <w:rPr>
                <w:rFonts w:hint="eastAsia"/>
                <w:color w:val="auto"/>
                <w:sz w:val="24"/>
                <w:lang w:val="en-US" w:eastAsia="zh-CN"/>
              </w:rPr>
              <w:t>42.82</w:t>
            </w:r>
            <w:r>
              <w:rPr>
                <w:color w:val="auto"/>
                <w:sz w:val="24"/>
              </w:rPr>
              <w:t>-</w:t>
            </w:r>
            <w:r>
              <w:rPr>
                <w:rFonts w:hint="eastAsia"/>
                <w:color w:val="auto"/>
                <w:sz w:val="24"/>
                <w:lang w:val="en-US" w:eastAsia="zh-CN"/>
              </w:rPr>
              <w:t>48.01</w:t>
            </w:r>
            <w:r>
              <w:rPr>
                <w:color w:val="auto"/>
                <w:sz w:val="24"/>
              </w:rPr>
              <w:t>dB(A)之间，满足《工业企业厂界环境噪声排放标准》（GB12348-2008）</w:t>
            </w:r>
            <w:r>
              <w:rPr>
                <w:rFonts w:hint="eastAsia"/>
                <w:color w:val="auto"/>
                <w:sz w:val="24"/>
                <w:lang w:val="en-US" w:eastAsia="zh-CN"/>
              </w:rPr>
              <w:t>2</w:t>
            </w:r>
            <w:r>
              <w:rPr>
                <w:color w:val="auto"/>
                <w:sz w:val="24"/>
              </w:rPr>
              <w:t>类标准，项目营运期噪声不会对周围声环境产生明显影响。</w:t>
            </w:r>
          </w:p>
          <w:p w14:paraId="12A1830D">
            <w:pPr>
              <w:spacing w:line="360" w:lineRule="auto"/>
              <w:ind w:firstLine="482"/>
              <w:rPr>
                <w:b/>
                <w:bCs/>
                <w:color w:val="auto"/>
                <w:sz w:val="24"/>
              </w:rPr>
            </w:pPr>
            <w:r>
              <w:rPr>
                <w:rFonts w:hint="eastAsia"/>
                <w:b/>
                <w:bCs/>
                <w:color w:val="auto"/>
                <w:sz w:val="24"/>
                <w:lang w:val="en-US" w:eastAsia="zh-CN"/>
              </w:rPr>
              <w:t>5、</w:t>
            </w:r>
            <w:r>
              <w:rPr>
                <w:b/>
                <w:bCs/>
                <w:color w:val="auto"/>
                <w:sz w:val="24"/>
              </w:rPr>
              <w:t>噪声环境影响分析</w:t>
            </w:r>
          </w:p>
          <w:p w14:paraId="4CAAA45D">
            <w:pPr>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sz w:val="24"/>
              </w:rPr>
              <w:t>为进一步减轻项目噪声对周围环境的影响，建设单位必须从源头上进一步削减噪声源强，采取的噪声措施主要有：</w:t>
            </w:r>
          </w:p>
          <w:p w14:paraId="1C06BAF7">
            <w:pPr>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sz w:val="24"/>
              </w:rPr>
              <w:t>①生产设备设置基础防震，如在设备的底部加减振垫，里面填充松软物质，用来隔离振动的传递；</w:t>
            </w:r>
          </w:p>
          <w:p w14:paraId="0D188A0A">
            <w:pPr>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sz w:val="24"/>
              </w:rPr>
              <w:t>②企业应定期对生产设备进行维修和保养，确保设备处于良好的运转状态，杜绝因设备不正常运转时产生的高噪声现象，做到文明生产；</w:t>
            </w:r>
          </w:p>
          <w:p w14:paraId="06B79CD9">
            <w:pPr>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sz w:val="24"/>
              </w:rPr>
              <w:t>③在</w:t>
            </w:r>
            <w:r>
              <w:rPr>
                <w:rFonts w:hint="default" w:ascii="Times New Roman" w:hAnsi="Times New Roman" w:cs="Times New Roman"/>
                <w:color w:val="auto"/>
                <w:sz w:val="24"/>
                <w:lang w:bidi="ar"/>
              </w:rPr>
              <w:t>建设过程中，对噪声源比较集中的车间，门、窗、墙壁要注意使用吸音材料，安装吸声结构，保证办公楼的屏蔽隔声效应。</w:t>
            </w:r>
          </w:p>
          <w:p w14:paraId="59877AEC">
            <w:pPr>
              <w:pStyle w:val="74"/>
              <w:ind w:firstLine="480"/>
              <w:rPr>
                <w:color w:val="auto"/>
                <w:kern w:val="2"/>
                <w:szCs w:val="24"/>
              </w:rPr>
            </w:pPr>
            <w:r>
              <w:rPr>
                <w:rFonts w:hint="default" w:ascii="Times New Roman" w:hAnsi="Times New Roman" w:cs="Times New Roman"/>
                <w:color w:val="auto"/>
                <w:kern w:val="2"/>
                <w:szCs w:val="24"/>
              </w:rPr>
              <w:t>④</w:t>
            </w:r>
            <w:r>
              <w:rPr>
                <w:color w:val="auto"/>
                <w:kern w:val="2"/>
                <w:szCs w:val="24"/>
              </w:rPr>
              <w:t>加强管理，提高职工的环保意识教育，提倡文明生产，降低人为噪声。</w:t>
            </w:r>
          </w:p>
          <w:p w14:paraId="0FBAE910">
            <w:pPr>
              <w:spacing w:line="360" w:lineRule="auto"/>
              <w:ind w:firstLine="482"/>
              <w:rPr>
                <w:b/>
                <w:bCs/>
                <w:color w:val="auto"/>
                <w:sz w:val="24"/>
              </w:rPr>
            </w:pPr>
            <w:r>
              <w:rPr>
                <w:rFonts w:hint="eastAsia"/>
                <w:b/>
                <w:bCs/>
                <w:color w:val="auto"/>
                <w:sz w:val="24"/>
                <w:lang w:val="en-US" w:eastAsia="zh-CN"/>
              </w:rPr>
              <w:t>6、</w:t>
            </w:r>
            <w:r>
              <w:rPr>
                <w:b/>
                <w:bCs/>
                <w:color w:val="auto"/>
                <w:sz w:val="24"/>
              </w:rPr>
              <w:t>噪声监测要求</w:t>
            </w:r>
          </w:p>
          <w:p w14:paraId="76AECA4C">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color w:val="auto"/>
                <w:sz w:val="24"/>
              </w:rPr>
            </w:pPr>
            <w:r>
              <w:rPr>
                <w:rFonts w:hint="eastAsia"/>
                <w:color w:val="auto"/>
                <w:sz w:val="24"/>
                <w:highlight w:val="none"/>
              </w:rPr>
              <w:t>根据</w:t>
            </w:r>
            <w:r>
              <w:rPr>
                <w:color w:val="auto"/>
                <w:sz w:val="24"/>
                <w:szCs w:val="24"/>
                <w:lang w:bidi="en-US"/>
              </w:rPr>
              <w:t>《</w:t>
            </w:r>
            <w:r>
              <w:rPr>
                <w:rFonts w:hint="eastAsia"/>
                <w:color w:val="auto"/>
                <w:sz w:val="24"/>
                <w:szCs w:val="24"/>
              </w:rPr>
              <w:t>排污单位自行监测技术指南</w:t>
            </w:r>
            <w:r>
              <w:rPr>
                <w:rFonts w:hint="eastAsia"/>
                <w:color w:val="auto"/>
                <w:sz w:val="24"/>
                <w:szCs w:val="24"/>
                <w:lang w:val="en-US" w:eastAsia="zh-CN"/>
              </w:rPr>
              <w:t xml:space="preserve"> </w:t>
            </w:r>
            <w:r>
              <w:rPr>
                <w:rFonts w:hint="eastAsia"/>
                <w:color w:val="auto"/>
                <w:sz w:val="24"/>
                <w:szCs w:val="24"/>
              </w:rPr>
              <w:t>总则</w:t>
            </w:r>
            <w:r>
              <w:rPr>
                <w:color w:val="auto"/>
                <w:sz w:val="24"/>
                <w:szCs w:val="24"/>
                <w:lang w:bidi="en-US"/>
              </w:rPr>
              <w:t>》（HJ</w:t>
            </w:r>
            <w:r>
              <w:rPr>
                <w:rFonts w:hint="eastAsia"/>
                <w:color w:val="auto"/>
                <w:sz w:val="24"/>
                <w:szCs w:val="24"/>
                <w:lang w:val="en-US" w:eastAsia="zh-CN" w:bidi="en-US"/>
              </w:rPr>
              <w:t>819-2017</w:t>
            </w:r>
            <w:r>
              <w:rPr>
                <w:color w:val="auto"/>
                <w:sz w:val="24"/>
                <w:szCs w:val="24"/>
                <w:lang w:bidi="en-US"/>
              </w:rPr>
              <w:t>）</w:t>
            </w:r>
            <w:r>
              <w:rPr>
                <w:rFonts w:hint="eastAsia"/>
                <w:color w:val="auto"/>
                <w:sz w:val="24"/>
                <w:lang w:val="en-US" w:eastAsia="zh-CN"/>
              </w:rPr>
              <w:t>相关规定</w:t>
            </w:r>
            <w:r>
              <w:rPr>
                <w:color w:val="auto"/>
                <w:sz w:val="24"/>
              </w:rPr>
              <w:t>，本项目噪声监测计划如下：</w:t>
            </w:r>
          </w:p>
          <w:p w14:paraId="3FBB3738">
            <w:pPr>
              <w:jc w:val="center"/>
              <w:rPr>
                <w:b/>
                <w:bCs/>
                <w:color w:val="auto"/>
                <w:sz w:val="24"/>
                <w:lang w:val="zh-CN"/>
              </w:rPr>
            </w:pPr>
            <w:r>
              <w:rPr>
                <w:b/>
                <w:bCs/>
                <w:color w:val="auto"/>
                <w:sz w:val="24"/>
                <w:lang w:val="zh-CN"/>
              </w:rPr>
              <w:t>表</w:t>
            </w:r>
            <w:r>
              <w:rPr>
                <w:b/>
                <w:bCs/>
                <w:color w:val="auto"/>
                <w:sz w:val="24"/>
              </w:rPr>
              <w:t>4-1</w:t>
            </w:r>
            <w:r>
              <w:rPr>
                <w:rFonts w:hint="eastAsia"/>
                <w:b/>
                <w:bCs/>
                <w:color w:val="auto"/>
                <w:sz w:val="24"/>
                <w:lang w:val="en-US" w:eastAsia="zh-CN"/>
              </w:rPr>
              <w:t>5</w:t>
            </w:r>
            <w:r>
              <w:rPr>
                <w:b/>
                <w:bCs/>
                <w:color w:val="auto"/>
                <w:sz w:val="24"/>
              </w:rPr>
              <w:t xml:space="preserve">  噪声</w:t>
            </w:r>
            <w:r>
              <w:rPr>
                <w:b/>
                <w:bCs/>
                <w:color w:val="auto"/>
                <w:sz w:val="24"/>
                <w:lang w:val="zh-CN"/>
              </w:rPr>
              <w:t>监测计划一览表</w:t>
            </w:r>
          </w:p>
          <w:tbl>
            <w:tblPr>
              <w:tblStyle w:val="28"/>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05"/>
              <w:gridCol w:w="1242"/>
              <w:gridCol w:w="1938"/>
              <w:gridCol w:w="3678"/>
            </w:tblGrid>
            <w:tr w14:paraId="21C442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8" w:type="pct"/>
                  <w:vAlign w:val="center"/>
                </w:tcPr>
                <w:p w14:paraId="70F04A34">
                  <w:pPr>
                    <w:snapToGrid w:val="0"/>
                    <w:jc w:val="center"/>
                    <w:rPr>
                      <w:b/>
                      <w:color w:val="auto"/>
                      <w:szCs w:val="21"/>
                    </w:rPr>
                  </w:pPr>
                  <w:r>
                    <w:rPr>
                      <w:b/>
                      <w:color w:val="auto"/>
                      <w:szCs w:val="21"/>
                    </w:rPr>
                    <w:t>监测点位</w:t>
                  </w:r>
                </w:p>
              </w:tc>
              <w:tc>
                <w:tcPr>
                  <w:tcW w:w="734" w:type="pct"/>
                  <w:vAlign w:val="center"/>
                </w:tcPr>
                <w:p w14:paraId="06CB67B7">
                  <w:pPr>
                    <w:snapToGrid w:val="0"/>
                    <w:jc w:val="center"/>
                    <w:rPr>
                      <w:b/>
                      <w:color w:val="auto"/>
                      <w:szCs w:val="21"/>
                    </w:rPr>
                  </w:pPr>
                  <w:r>
                    <w:rPr>
                      <w:b/>
                      <w:color w:val="auto"/>
                      <w:szCs w:val="21"/>
                    </w:rPr>
                    <w:t>监测指标</w:t>
                  </w:r>
                </w:p>
              </w:tc>
              <w:tc>
                <w:tcPr>
                  <w:tcW w:w="1145" w:type="pct"/>
                  <w:vAlign w:val="center"/>
                </w:tcPr>
                <w:p w14:paraId="1BC35668">
                  <w:pPr>
                    <w:snapToGrid w:val="0"/>
                    <w:ind w:firstLine="422"/>
                    <w:jc w:val="center"/>
                    <w:rPr>
                      <w:b/>
                      <w:color w:val="auto"/>
                      <w:szCs w:val="21"/>
                    </w:rPr>
                  </w:pPr>
                  <w:r>
                    <w:rPr>
                      <w:b/>
                      <w:color w:val="auto"/>
                      <w:szCs w:val="21"/>
                    </w:rPr>
                    <w:t>监测频次</w:t>
                  </w:r>
                </w:p>
              </w:tc>
              <w:tc>
                <w:tcPr>
                  <w:tcW w:w="2173" w:type="pct"/>
                  <w:vAlign w:val="center"/>
                </w:tcPr>
                <w:p w14:paraId="3C80AE68">
                  <w:pPr>
                    <w:snapToGrid w:val="0"/>
                    <w:ind w:firstLine="422"/>
                    <w:jc w:val="center"/>
                    <w:rPr>
                      <w:b/>
                      <w:color w:val="auto"/>
                      <w:szCs w:val="21"/>
                    </w:rPr>
                  </w:pPr>
                  <w:r>
                    <w:rPr>
                      <w:b/>
                      <w:color w:val="auto"/>
                      <w:szCs w:val="21"/>
                    </w:rPr>
                    <w:t>执行排放标准</w:t>
                  </w:r>
                </w:p>
              </w:tc>
            </w:tr>
            <w:tr w14:paraId="0DDF53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948" w:type="pct"/>
                  <w:vAlign w:val="center"/>
                </w:tcPr>
                <w:p w14:paraId="0DDF626D">
                  <w:pPr>
                    <w:jc w:val="center"/>
                    <w:rPr>
                      <w:color w:val="auto"/>
                      <w:szCs w:val="21"/>
                    </w:rPr>
                  </w:pPr>
                  <w:r>
                    <w:rPr>
                      <w:color w:val="auto"/>
                      <w:szCs w:val="21"/>
                    </w:rPr>
                    <w:t>厂界四周外1m</w:t>
                  </w:r>
                </w:p>
              </w:tc>
              <w:tc>
                <w:tcPr>
                  <w:tcW w:w="734" w:type="pct"/>
                  <w:vAlign w:val="center"/>
                </w:tcPr>
                <w:p w14:paraId="09A07CE5">
                  <w:pPr>
                    <w:pStyle w:val="18"/>
                    <w:tabs>
                      <w:tab w:val="left" w:pos="420"/>
                      <w:tab w:val="left" w:pos="870"/>
                      <w:tab w:val="left" w:pos="3150"/>
                      <w:tab w:val="clear" w:pos="2040"/>
                    </w:tabs>
                    <w:snapToGrid w:val="0"/>
                    <w:rPr>
                      <w:color w:val="auto"/>
                      <w:szCs w:val="21"/>
                    </w:rPr>
                  </w:pPr>
                  <w:r>
                    <w:rPr>
                      <w:b w:val="0"/>
                      <w:bCs w:val="0"/>
                      <w:color w:val="auto"/>
                      <w:szCs w:val="21"/>
                    </w:rPr>
                    <w:t>噪声</w:t>
                  </w:r>
                </w:p>
              </w:tc>
              <w:tc>
                <w:tcPr>
                  <w:tcW w:w="1145" w:type="pct"/>
                  <w:vAlign w:val="center"/>
                </w:tcPr>
                <w:p w14:paraId="37E252F8">
                  <w:pPr>
                    <w:snapToGrid w:val="0"/>
                    <w:jc w:val="center"/>
                    <w:rPr>
                      <w:rFonts w:hint="default" w:eastAsia="宋体"/>
                      <w:color w:val="auto"/>
                      <w:szCs w:val="21"/>
                      <w:lang w:val="en-US" w:eastAsia="zh-CN"/>
                    </w:rPr>
                  </w:pPr>
                  <w:r>
                    <w:rPr>
                      <w:color w:val="auto"/>
                      <w:szCs w:val="21"/>
                    </w:rPr>
                    <w:t>1次/季度</w:t>
                  </w:r>
                </w:p>
              </w:tc>
              <w:tc>
                <w:tcPr>
                  <w:tcW w:w="2173" w:type="pct"/>
                  <w:vAlign w:val="center"/>
                </w:tcPr>
                <w:p w14:paraId="16C0BC39">
                  <w:pPr>
                    <w:snapToGrid w:val="0"/>
                    <w:jc w:val="center"/>
                    <w:rPr>
                      <w:color w:val="auto"/>
                      <w:szCs w:val="21"/>
                    </w:rPr>
                  </w:pPr>
                  <w:r>
                    <w:rPr>
                      <w:color w:val="auto"/>
                      <w:szCs w:val="21"/>
                    </w:rPr>
                    <w:t>《工业企业厂界环境噪声排放标准》（GB12348-2008）中</w:t>
                  </w:r>
                  <w:r>
                    <w:rPr>
                      <w:rFonts w:hint="eastAsia"/>
                      <w:color w:val="auto"/>
                      <w:szCs w:val="21"/>
                      <w:lang w:val="en-US" w:eastAsia="zh-CN"/>
                    </w:rPr>
                    <w:t>2</w:t>
                  </w:r>
                  <w:r>
                    <w:rPr>
                      <w:color w:val="auto"/>
                      <w:szCs w:val="21"/>
                    </w:rPr>
                    <w:t>类标准</w:t>
                  </w:r>
                </w:p>
              </w:tc>
            </w:tr>
          </w:tbl>
          <w:p w14:paraId="55DE7E07">
            <w:pPr>
              <w:spacing w:line="360" w:lineRule="auto"/>
              <w:ind w:firstLine="482"/>
              <w:rPr>
                <w:b/>
                <w:bCs/>
                <w:color w:val="auto"/>
                <w:sz w:val="24"/>
              </w:rPr>
            </w:pPr>
            <w:r>
              <w:rPr>
                <w:rFonts w:hint="eastAsia"/>
                <w:b/>
                <w:bCs/>
                <w:color w:val="auto"/>
                <w:sz w:val="24"/>
                <w:lang w:val="en-US" w:eastAsia="zh-CN"/>
              </w:rPr>
              <w:t>四</w:t>
            </w:r>
            <w:r>
              <w:rPr>
                <w:b/>
                <w:bCs/>
                <w:color w:val="auto"/>
                <w:sz w:val="24"/>
              </w:rPr>
              <w:t>、固体废物</w:t>
            </w:r>
          </w:p>
          <w:p w14:paraId="57E51D4E">
            <w:pPr>
              <w:spacing w:line="360" w:lineRule="auto"/>
              <w:ind w:firstLine="480"/>
              <w:rPr>
                <w:b/>
                <w:bCs/>
                <w:color w:val="auto"/>
                <w:sz w:val="24"/>
              </w:rPr>
            </w:pPr>
            <w:r>
              <w:rPr>
                <w:rFonts w:hint="eastAsia"/>
                <w:b/>
                <w:bCs/>
                <w:color w:val="auto"/>
                <w:sz w:val="24"/>
                <w:lang w:val="en-US" w:eastAsia="zh-CN"/>
              </w:rPr>
              <w:t>1、</w:t>
            </w:r>
            <w:r>
              <w:rPr>
                <w:b/>
                <w:bCs/>
                <w:color w:val="auto"/>
                <w:sz w:val="24"/>
              </w:rPr>
              <w:t>固体废物污染源情况</w:t>
            </w:r>
          </w:p>
          <w:p w14:paraId="6A631C31">
            <w:pPr>
              <w:adjustRightInd w:val="0"/>
              <w:snapToGrid w:val="0"/>
              <w:spacing w:line="360" w:lineRule="auto"/>
              <w:ind w:firstLine="480"/>
              <w:rPr>
                <w:color w:val="auto"/>
                <w:sz w:val="24"/>
              </w:rPr>
            </w:pPr>
            <w:r>
              <w:rPr>
                <w:color w:val="auto"/>
                <w:sz w:val="24"/>
              </w:rPr>
              <w:t>项目运营期产生的固体废物包括：生活垃圾、一般固体废物和危险废物。</w:t>
            </w:r>
          </w:p>
          <w:p w14:paraId="7EF5B435">
            <w:pPr>
              <w:adjustRightInd w:val="0"/>
              <w:snapToGrid w:val="0"/>
              <w:spacing w:line="360" w:lineRule="auto"/>
              <w:ind w:firstLine="480"/>
              <w:rPr>
                <w:rFonts w:hint="default"/>
                <w:color w:val="auto"/>
                <w:sz w:val="24"/>
                <w:lang w:val="en-US"/>
              </w:rPr>
            </w:pPr>
            <w:r>
              <w:rPr>
                <w:color w:val="auto"/>
                <w:sz w:val="24"/>
              </w:rPr>
              <w:t>项目运营期</w:t>
            </w:r>
            <w:r>
              <w:rPr>
                <w:rFonts w:hint="eastAsia"/>
                <w:color w:val="auto"/>
                <w:sz w:val="24"/>
                <w:lang w:val="en-US" w:eastAsia="zh-CN"/>
              </w:rPr>
              <w:t>不产生不合格品、印刷机凹版残渣清理收集后回用于生产，其余</w:t>
            </w:r>
            <w:r>
              <w:rPr>
                <w:color w:val="auto"/>
                <w:sz w:val="24"/>
              </w:rPr>
              <w:t>产生的固体废物主要为：</w:t>
            </w:r>
            <w:r>
              <w:rPr>
                <w:rFonts w:hint="eastAsia" w:cs="Times New Roman"/>
                <w:color w:val="auto"/>
                <w:kern w:val="0"/>
                <w:sz w:val="24"/>
                <w:szCs w:val="20"/>
                <w:highlight w:val="none"/>
                <w:lang w:val="en-US" w:eastAsia="zh-CN"/>
              </w:rPr>
              <w:t>废包装材料</w:t>
            </w:r>
            <w:r>
              <w:rPr>
                <w:rFonts w:hint="eastAsia" w:cs="Times New Roman"/>
                <w:color w:val="auto"/>
                <w:sz w:val="24"/>
                <w:szCs w:val="24"/>
                <w:highlight w:val="none"/>
                <w:shd w:val="clear" w:color="auto" w:fill="auto"/>
                <w:lang w:val="en-US" w:eastAsia="zh-CN"/>
              </w:rPr>
              <w:t>、废边角料、废活性炭</w:t>
            </w:r>
            <w:r>
              <w:rPr>
                <w:rFonts w:hint="eastAsia" w:cs="Times New Roman"/>
                <w:bCs/>
                <w:color w:val="auto"/>
                <w:sz w:val="24"/>
                <w:szCs w:val="24"/>
                <w:lang w:val="en-US" w:eastAsia="zh-CN"/>
              </w:rPr>
              <w:t>、废包装桶、废润滑油、废印刷机凹版、废润滑油桶、废劳保用品</w:t>
            </w:r>
            <w:r>
              <w:rPr>
                <w:rFonts w:hint="eastAsia" w:cs="Times New Roman"/>
                <w:bCs/>
                <w:color w:val="auto"/>
                <w:sz w:val="24"/>
                <w:lang w:val="en-US" w:eastAsia="zh-CN"/>
              </w:rPr>
              <w:t>以及生活垃圾。</w:t>
            </w:r>
          </w:p>
          <w:p w14:paraId="3ED0342F">
            <w:pPr>
              <w:pStyle w:val="27"/>
              <w:spacing w:before="0" w:after="0"/>
              <w:ind w:right="0" w:firstLine="480"/>
              <w:rPr>
                <w:color w:val="auto"/>
                <w:sz w:val="24"/>
                <w:szCs w:val="24"/>
              </w:rPr>
            </w:pPr>
            <w:r>
              <w:rPr>
                <w:color w:val="auto"/>
                <w:sz w:val="24"/>
                <w:szCs w:val="24"/>
              </w:rPr>
              <w:t>1）生活垃圾</w:t>
            </w:r>
          </w:p>
          <w:p w14:paraId="1A56BAAC">
            <w:pPr>
              <w:spacing w:line="360" w:lineRule="auto"/>
              <w:ind w:firstLine="480"/>
              <w:rPr>
                <w:color w:val="auto"/>
                <w:sz w:val="24"/>
              </w:rPr>
            </w:pPr>
            <w:r>
              <w:rPr>
                <w:color w:val="auto"/>
                <w:sz w:val="24"/>
              </w:rPr>
              <w:t>生活垃圾来源于企业员工办公、生活，员工生活垃圾产生量按0.5kg/人·d计，</w:t>
            </w:r>
            <w:r>
              <w:rPr>
                <w:rFonts w:hint="eastAsia"/>
                <w:color w:val="auto"/>
                <w:sz w:val="24"/>
                <w:lang w:val="en-US" w:eastAsia="zh-CN"/>
              </w:rPr>
              <w:t>项目年生产时长310天，</w:t>
            </w:r>
            <w:r>
              <w:rPr>
                <w:color w:val="auto"/>
                <w:sz w:val="24"/>
              </w:rPr>
              <w:t>全厂职工人数为</w:t>
            </w:r>
            <w:r>
              <w:rPr>
                <w:rFonts w:hint="eastAsia"/>
                <w:color w:val="auto"/>
                <w:sz w:val="24"/>
                <w:lang w:val="en-US" w:eastAsia="zh-CN"/>
              </w:rPr>
              <w:t>13</w:t>
            </w:r>
            <w:r>
              <w:rPr>
                <w:color w:val="auto"/>
                <w:sz w:val="24"/>
              </w:rPr>
              <w:t>人，员工生活垃圾产生量为</w:t>
            </w:r>
            <w:r>
              <w:rPr>
                <w:rFonts w:hint="eastAsia" w:cs="Times New Roman"/>
                <w:bCs/>
                <w:color w:val="auto"/>
                <w:sz w:val="24"/>
                <w:lang w:val="en-US" w:eastAsia="zh-CN"/>
              </w:rPr>
              <w:t>2.015</w:t>
            </w:r>
            <w:r>
              <w:rPr>
                <w:rFonts w:hint="default" w:ascii="Times New Roman" w:hAnsi="Times New Roman" w:cs="Times New Roman"/>
                <w:bCs/>
                <w:color w:val="auto"/>
                <w:sz w:val="24"/>
              </w:rPr>
              <w:t>t/a</w:t>
            </w:r>
            <w:r>
              <w:rPr>
                <w:color w:val="auto"/>
                <w:sz w:val="24"/>
              </w:rPr>
              <w:t>，如不对其采取有效的处理措施，任其随意堆放，则可能造成这些废物的腐烂，滋生蚊、蝇、鼠、虫等，散发臭气，影响环境卫生，诱发各种传染病。本项目生活垃圾经收集后由市政环卫定期清运。</w:t>
            </w:r>
          </w:p>
          <w:p w14:paraId="229DDF1F">
            <w:pPr>
              <w:pStyle w:val="90"/>
              <w:snapToGrid w:val="0"/>
              <w:spacing w:line="360" w:lineRule="auto"/>
              <w:ind w:left="0" w:right="0"/>
              <w:textAlignment w:val="auto"/>
              <w:rPr>
                <w:b/>
                <w:bCs/>
                <w:color w:val="auto"/>
                <w:sz w:val="24"/>
                <w:szCs w:val="24"/>
              </w:rPr>
            </w:pPr>
            <w:r>
              <w:rPr>
                <w:b/>
                <w:bCs/>
                <w:color w:val="auto"/>
                <w:sz w:val="24"/>
                <w:szCs w:val="24"/>
              </w:rPr>
              <w:t>一般固体废物产生情况如下：</w:t>
            </w:r>
          </w:p>
          <w:p w14:paraId="0501FB10">
            <w:pPr>
              <w:pStyle w:val="90"/>
              <w:snapToGrid w:val="0"/>
              <w:spacing w:line="360" w:lineRule="auto"/>
              <w:ind w:left="0" w:right="0" w:firstLine="480"/>
              <w:textAlignment w:val="auto"/>
              <w:rPr>
                <w:color w:val="auto"/>
                <w:kern w:val="2"/>
                <w:sz w:val="24"/>
                <w:szCs w:val="24"/>
              </w:rPr>
            </w:pPr>
            <w:r>
              <w:rPr>
                <w:rFonts w:hint="eastAsia" w:cs="Times New Roman"/>
                <w:color w:val="auto"/>
                <w:kern w:val="0"/>
                <w:sz w:val="24"/>
                <w:szCs w:val="20"/>
                <w:highlight w:val="none"/>
                <w:lang w:val="en-US" w:eastAsia="zh-CN"/>
              </w:rPr>
              <w:t>废包装材料</w:t>
            </w:r>
            <w:r>
              <w:rPr>
                <w:rFonts w:hint="eastAsia"/>
                <w:color w:val="auto"/>
                <w:kern w:val="2"/>
                <w:sz w:val="24"/>
                <w:szCs w:val="24"/>
              </w:rPr>
              <w:t>：</w:t>
            </w:r>
          </w:p>
          <w:p w14:paraId="0D133229">
            <w:pPr>
              <w:pStyle w:val="14"/>
              <w:spacing w:after="0" w:line="360" w:lineRule="auto"/>
              <w:ind w:left="0" w:leftChars="0" w:firstLine="480"/>
              <w:rPr>
                <w:rFonts w:hint="default" w:cs="Times New Roman"/>
                <w:bCs/>
                <w:color w:val="auto"/>
                <w:sz w:val="24"/>
                <w:lang w:val="en-US" w:eastAsia="zh-CN"/>
              </w:rPr>
            </w:pPr>
            <w:r>
              <w:rPr>
                <w:rFonts w:hint="eastAsia" w:cs="Times New Roman"/>
                <w:color w:val="auto"/>
                <w:sz w:val="24"/>
                <w:lang w:val="en-US" w:eastAsia="zh-CN"/>
              </w:rPr>
              <w:t>物料进厂后，拆卸过程中会产生废包装袋、废包装箱等废包装材料。根据企业提供的资料，废包装材料的年产生量约为0.5t/a，收集后统一暂存于</w:t>
            </w:r>
            <w:r>
              <w:rPr>
                <w:rFonts w:hint="eastAsia" w:cs="Times New Roman"/>
                <w:bCs/>
                <w:color w:val="auto"/>
                <w:sz w:val="24"/>
                <w:lang w:val="en-US" w:eastAsia="zh-CN"/>
              </w:rPr>
              <w:t>一般固废暂存间，最后外售综合利用</w:t>
            </w:r>
            <w:r>
              <w:rPr>
                <w:rFonts w:hint="eastAsia" w:cs="Times New Roman"/>
                <w:color w:val="auto"/>
                <w:sz w:val="24"/>
                <w:lang w:val="en-US" w:eastAsia="zh-CN"/>
              </w:rPr>
              <w:t>。</w:t>
            </w:r>
          </w:p>
          <w:p w14:paraId="0E3AB1B9">
            <w:pPr>
              <w:pStyle w:val="14"/>
              <w:spacing w:after="0" w:line="360" w:lineRule="auto"/>
              <w:ind w:left="0" w:leftChars="0" w:firstLine="480"/>
              <w:rPr>
                <w:rFonts w:hint="eastAsia" w:cs="Times New Roman"/>
                <w:bCs/>
                <w:color w:val="auto"/>
                <w:sz w:val="24"/>
                <w:lang w:val="en-US" w:eastAsia="zh-CN"/>
              </w:rPr>
            </w:pPr>
            <w:r>
              <w:rPr>
                <w:rFonts w:hint="eastAsia" w:cs="Times New Roman"/>
                <w:color w:val="auto"/>
                <w:sz w:val="24"/>
                <w:szCs w:val="24"/>
                <w:highlight w:val="none"/>
                <w:shd w:val="clear" w:color="auto" w:fill="auto"/>
                <w:lang w:val="en-US" w:eastAsia="zh-CN"/>
              </w:rPr>
              <w:t>废边角料</w:t>
            </w:r>
            <w:r>
              <w:rPr>
                <w:rFonts w:hint="eastAsia" w:cs="Times New Roman"/>
                <w:bCs/>
                <w:color w:val="auto"/>
                <w:sz w:val="24"/>
                <w:lang w:val="en-US" w:eastAsia="zh-CN"/>
              </w:rPr>
              <w:t>：</w:t>
            </w:r>
          </w:p>
          <w:p w14:paraId="57DC2BB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auto"/>
                <w:lang w:val="en-US" w:eastAsia="zh-CN"/>
              </w:rPr>
            </w:pPr>
            <w:r>
              <w:rPr>
                <w:rFonts w:hint="eastAsia" w:hAnsi="宋体" w:cs="宋体"/>
                <w:b w:val="0"/>
                <w:bCs w:val="0"/>
                <w:color w:val="auto"/>
                <w:sz w:val="24"/>
                <w:szCs w:val="24"/>
                <w:highlight w:val="none"/>
                <w:lang w:val="en-US" w:eastAsia="zh-CN"/>
              </w:rPr>
              <w:t>热封膜完</w:t>
            </w:r>
            <w:r>
              <w:rPr>
                <w:rFonts w:hint="eastAsia" w:hAnsi="宋体" w:cs="宋体"/>
                <w:color w:val="auto"/>
                <w:sz w:val="24"/>
                <w:szCs w:val="24"/>
                <w:highlight w:val="none"/>
                <w:lang w:val="en-US" w:eastAsia="zh-CN"/>
              </w:rPr>
              <w:t>成印刷后需要进行分切处理，处理过程中会产生</w:t>
            </w:r>
            <w:r>
              <w:rPr>
                <w:rFonts w:hint="eastAsia" w:cs="Times New Roman"/>
                <w:color w:val="auto"/>
                <w:sz w:val="24"/>
                <w:szCs w:val="24"/>
                <w:highlight w:val="none"/>
                <w:shd w:val="clear" w:color="auto" w:fill="auto"/>
                <w:lang w:val="en-US" w:eastAsia="zh-CN"/>
              </w:rPr>
              <w:t>废边角料</w:t>
            </w:r>
            <w:r>
              <w:rPr>
                <w:rFonts w:hint="eastAsia" w:hAnsi="宋体" w:cs="宋体"/>
                <w:color w:val="auto"/>
                <w:sz w:val="24"/>
                <w:szCs w:val="24"/>
                <w:highlight w:val="none"/>
                <w:lang w:val="en-US" w:eastAsia="zh-CN"/>
              </w:rPr>
              <w:t>。根据企业提供的资料，产生量约有0.2t/a</w:t>
            </w:r>
            <w:r>
              <w:rPr>
                <w:rFonts w:hint="eastAsia" w:cs="Times New Roman"/>
                <w:color w:val="auto"/>
                <w:sz w:val="24"/>
                <w:lang w:val="en-US" w:eastAsia="zh-CN"/>
              </w:rPr>
              <w:t>，收集后统一暂存于</w:t>
            </w:r>
            <w:r>
              <w:rPr>
                <w:rFonts w:hint="eastAsia" w:cs="Times New Roman"/>
                <w:bCs/>
                <w:color w:val="auto"/>
                <w:sz w:val="24"/>
                <w:lang w:val="en-US" w:eastAsia="zh-CN"/>
              </w:rPr>
              <w:t>一般固废暂存间，最后外售综合利用</w:t>
            </w:r>
            <w:r>
              <w:rPr>
                <w:rFonts w:hint="eastAsia" w:cs="Times New Roman"/>
                <w:color w:val="auto"/>
                <w:sz w:val="24"/>
                <w:lang w:val="en-US" w:eastAsia="zh-CN"/>
              </w:rPr>
              <w:t>。</w:t>
            </w:r>
          </w:p>
          <w:p w14:paraId="7D3EFFA3">
            <w:pPr>
              <w:pStyle w:val="90"/>
              <w:snapToGrid w:val="0"/>
              <w:spacing w:line="360" w:lineRule="auto"/>
              <w:ind w:left="0" w:right="0"/>
              <w:textAlignment w:val="auto"/>
              <w:rPr>
                <w:rFonts w:hint="eastAsia"/>
                <w:color w:val="auto"/>
                <w:szCs w:val="24"/>
                <w:lang w:val="en-US" w:eastAsia="zh-CN"/>
              </w:rPr>
            </w:pPr>
            <w:r>
              <w:rPr>
                <w:b/>
                <w:bCs/>
                <w:color w:val="auto"/>
                <w:sz w:val="24"/>
                <w:szCs w:val="24"/>
              </w:rPr>
              <w:t>危险废物产生情况如下：</w:t>
            </w:r>
          </w:p>
          <w:p w14:paraId="630BD457">
            <w:pPr>
              <w:pStyle w:val="90"/>
              <w:snapToGrid w:val="0"/>
              <w:spacing w:line="360" w:lineRule="auto"/>
              <w:ind w:left="0" w:right="0" w:firstLine="480" w:firstLineChars="200"/>
              <w:textAlignment w:val="auto"/>
              <w:rPr>
                <w:rFonts w:hint="eastAsia"/>
                <w:color w:val="auto"/>
                <w:sz w:val="24"/>
                <w:szCs w:val="24"/>
                <w:lang w:val="en-US" w:eastAsia="zh-CN"/>
              </w:rPr>
            </w:pPr>
            <w:r>
              <w:rPr>
                <w:rFonts w:hint="eastAsia"/>
                <w:color w:val="auto"/>
                <w:sz w:val="24"/>
                <w:szCs w:val="24"/>
                <w:lang w:val="en-US" w:eastAsia="zh-CN"/>
              </w:rPr>
              <w:t>废活性炭：</w:t>
            </w:r>
          </w:p>
          <w:p w14:paraId="0446C61C">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color w:val="auto"/>
                <w:sz w:val="24"/>
                <w:szCs w:val="24"/>
                <w:lang w:eastAsia="zh-CN"/>
              </w:rPr>
            </w:pPr>
            <w:r>
              <w:rPr>
                <w:rFonts w:hint="eastAsia" w:cs="Times New Roman"/>
                <w:bCs/>
                <w:color w:val="auto"/>
                <w:sz w:val="24"/>
                <w:lang w:val="en-US" w:eastAsia="zh-CN"/>
              </w:rPr>
              <w:t>项目设有一套二级活性炭吸附装置用于处理生产过程中产生的有机废气，处理过程中活性炭逐渐饱和，处理效率下降，企业每季度更换一次，</w:t>
            </w:r>
            <w:r>
              <w:rPr>
                <w:color w:val="auto"/>
                <w:sz w:val="24"/>
                <w:szCs w:val="24"/>
              </w:rPr>
              <w:t>活性炭箱体积为</w:t>
            </w:r>
            <w:r>
              <w:rPr>
                <w:rFonts w:hint="eastAsia"/>
                <w:color w:val="auto"/>
                <w:sz w:val="24"/>
                <w:szCs w:val="24"/>
                <w:lang w:val="en-US" w:eastAsia="zh-CN"/>
              </w:rPr>
              <w:t>5</w:t>
            </w:r>
            <w:r>
              <w:rPr>
                <w:color w:val="auto"/>
                <w:sz w:val="24"/>
                <w:szCs w:val="24"/>
              </w:rPr>
              <w:t>.38立方米，需</w:t>
            </w:r>
            <w:r>
              <w:rPr>
                <w:rFonts w:hint="eastAsia"/>
                <w:color w:val="auto"/>
                <w:sz w:val="24"/>
                <w:szCs w:val="24"/>
                <w:lang w:val="en-US" w:eastAsia="zh-CN"/>
              </w:rPr>
              <w:t>4</w:t>
            </w:r>
            <w:r>
              <w:rPr>
                <w:color w:val="auto"/>
                <w:sz w:val="24"/>
                <w:szCs w:val="24"/>
              </w:rPr>
              <w:t>00kg活性炭填充</w:t>
            </w:r>
            <w:r>
              <w:rPr>
                <w:rFonts w:hint="eastAsia"/>
                <w:color w:val="auto"/>
                <w:sz w:val="24"/>
                <w:szCs w:val="24"/>
                <w:lang w:eastAsia="zh-CN"/>
              </w:rPr>
              <w:t>，</w:t>
            </w:r>
            <w:r>
              <w:rPr>
                <w:rFonts w:hint="eastAsia"/>
                <w:color w:val="auto"/>
                <w:sz w:val="24"/>
                <w:szCs w:val="24"/>
                <w:lang w:val="en-US" w:eastAsia="zh-CN"/>
              </w:rPr>
              <w:t>则废活性炭产生量为1.6t/a</w:t>
            </w:r>
            <w:r>
              <w:rPr>
                <w:rFonts w:hint="eastAsia" w:cs="Times New Roman"/>
                <w:bCs/>
                <w:color w:val="auto"/>
                <w:sz w:val="24"/>
                <w:lang w:val="en-US" w:eastAsia="zh-CN"/>
              </w:rPr>
              <w:t>；装置运行过程中可对废气进行吸附，根据废气工程分析，活性炭吸附废气总量约为0.274t/a，则废活性炭产生总量为1.874t/a，</w:t>
            </w:r>
            <w:r>
              <w:rPr>
                <w:rFonts w:hint="default" w:ascii="Times New Roman" w:hAnsi="Times New Roman" w:eastAsia="宋体" w:cs="Times New Roman"/>
                <w:bCs/>
                <w:color w:val="auto"/>
                <w:sz w:val="24"/>
              </w:rPr>
              <w:t>废物类别</w:t>
            </w:r>
            <w:r>
              <w:rPr>
                <w:rFonts w:hint="eastAsia" w:cs="Times New Roman"/>
                <w:bCs/>
                <w:color w:val="auto"/>
                <w:sz w:val="24"/>
                <w:lang w:val="en-US" w:eastAsia="zh-CN"/>
              </w:rPr>
              <w:t>及废物代码</w:t>
            </w:r>
            <w:r>
              <w:rPr>
                <w:rFonts w:hint="default" w:ascii="Times New Roman" w:hAnsi="Times New Roman" w:eastAsia="宋体" w:cs="Times New Roman"/>
                <w:bCs/>
                <w:color w:val="auto"/>
                <w:sz w:val="24"/>
              </w:rPr>
              <w:t>为</w:t>
            </w:r>
            <w:r>
              <w:rPr>
                <w:bCs/>
                <w:color w:val="auto"/>
                <w:sz w:val="24"/>
                <w:szCs w:val="24"/>
              </w:rPr>
              <w:t>HW4</w:t>
            </w:r>
            <w:r>
              <w:rPr>
                <w:rFonts w:hint="eastAsia"/>
                <w:bCs/>
                <w:color w:val="auto"/>
                <w:sz w:val="24"/>
                <w:szCs w:val="24"/>
                <w:lang w:val="en-US" w:eastAsia="zh-CN"/>
              </w:rPr>
              <w:t>9</w:t>
            </w:r>
            <w:r>
              <w:rPr>
                <w:bCs/>
                <w:color w:val="auto"/>
                <w:sz w:val="24"/>
                <w:szCs w:val="24"/>
              </w:rPr>
              <w:t>（</w:t>
            </w:r>
            <w:r>
              <w:rPr>
                <w:color w:val="auto"/>
                <w:sz w:val="24"/>
                <w:szCs w:val="24"/>
                <w:lang w:bidi="ar"/>
              </w:rPr>
              <w:t>900-039-49</w:t>
            </w:r>
            <w:r>
              <w:rPr>
                <w:bCs/>
                <w:color w:val="auto"/>
                <w:sz w:val="24"/>
                <w:szCs w:val="24"/>
              </w:rPr>
              <w:t>）</w:t>
            </w:r>
            <w:r>
              <w:rPr>
                <w:rFonts w:hint="eastAsia" w:ascii="Times New Roman" w:hAnsi="Times New Roman" w:eastAsia="宋体" w:cs="Times New Roman"/>
                <w:bCs/>
                <w:color w:val="auto"/>
                <w:sz w:val="24"/>
              </w:rPr>
              <w:t>，</w:t>
            </w:r>
            <w:r>
              <w:rPr>
                <w:rFonts w:hint="eastAsia" w:cs="Times New Roman"/>
                <w:bCs/>
                <w:color w:val="auto"/>
                <w:sz w:val="24"/>
                <w:lang w:val="en-US" w:eastAsia="zh-CN"/>
              </w:rPr>
              <w:t>收</w:t>
            </w:r>
            <w:r>
              <w:rPr>
                <w:rFonts w:hint="eastAsia" w:cs="Times New Roman"/>
                <w:color w:val="auto"/>
                <w:sz w:val="24"/>
                <w:szCs w:val="24"/>
                <w:lang w:val="en-US" w:eastAsia="zh-CN"/>
              </w:rPr>
              <w:t>集后统一暂存于危废</w:t>
            </w:r>
            <w:r>
              <w:rPr>
                <w:rFonts w:hint="eastAsia" w:cs="Times New Roman"/>
                <w:bCs/>
                <w:color w:val="auto"/>
                <w:sz w:val="24"/>
                <w:szCs w:val="24"/>
                <w:lang w:val="en-US" w:eastAsia="zh-CN"/>
              </w:rPr>
              <w:t>暂存间内</w:t>
            </w:r>
            <w:r>
              <w:rPr>
                <w:rFonts w:hint="default" w:ascii="Times New Roman" w:hAnsi="Times New Roman" w:eastAsia="宋体" w:cs="Times New Roman"/>
                <w:bCs/>
                <w:color w:val="auto"/>
                <w:sz w:val="24"/>
              </w:rPr>
              <w:t>，</w:t>
            </w:r>
            <w:r>
              <w:rPr>
                <w:rFonts w:hint="eastAsia"/>
                <w:color w:val="auto"/>
                <w:sz w:val="24"/>
                <w:szCs w:val="24"/>
                <w:lang w:val="en-US" w:eastAsia="zh-CN"/>
              </w:rPr>
              <w:t>后委托</w:t>
            </w:r>
            <w:r>
              <w:rPr>
                <w:color w:val="auto"/>
                <w:sz w:val="24"/>
                <w:szCs w:val="24"/>
              </w:rPr>
              <w:t>有资质单位进行处置</w:t>
            </w:r>
            <w:r>
              <w:rPr>
                <w:rFonts w:hint="eastAsia"/>
                <w:color w:val="auto"/>
                <w:sz w:val="24"/>
                <w:szCs w:val="24"/>
                <w:lang w:eastAsia="zh-CN"/>
              </w:rPr>
              <w:t>。</w:t>
            </w:r>
          </w:p>
          <w:p w14:paraId="49710DCA">
            <w:pPr>
              <w:pStyle w:val="90"/>
              <w:snapToGrid w:val="0"/>
              <w:spacing w:line="360" w:lineRule="auto"/>
              <w:ind w:left="0" w:right="0" w:firstLine="480" w:firstLineChars="200"/>
              <w:textAlignment w:val="auto"/>
              <w:rPr>
                <w:rFonts w:hint="eastAsia"/>
                <w:color w:val="auto"/>
                <w:sz w:val="24"/>
                <w:szCs w:val="24"/>
                <w:lang w:val="en-US" w:eastAsia="zh-CN"/>
              </w:rPr>
            </w:pPr>
            <w:r>
              <w:rPr>
                <w:rFonts w:hint="eastAsia"/>
                <w:color w:val="auto"/>
                <w:sz w:val="24"/>
                <w:szCs w:val="24"/>
                <w:lang w:val="en-US" w:eastAsia="zh-CN"/>
              </w:rPr>
              <w:t>废包装桶：</w:t>
            </w:r>
          </w:p>
          <w:p w14:paraId="6C1DFD14">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color w:val="auto"/>
                <w:sz w:val="24"/>
                <w:szCs w:val="24"/>
                <w:lang w:val="en-US" w:eastAsia="zh-CN"/>
              </w:rPr>
            </w:pPr>
            <w:r>
              <w:rPr>
                <w:rFonts w:hint="eastAsia" w:cs="Times New Roman"/>
                <w:bCs/>
                <w:color w:val="auto"/>
                <w:sz w:val="24"/>
                <w:lang w:val="en-US" w:eastAsia="zh-CN"/>
              </w:rPr>
              <w:t>项目油墨、水性油墨、稀释剂采用桶装，使用完后会产生废包装桶。其中水性油墨使用量为3.4t/a，包装规格为25kg/桶，产生废包装桶136个，重约0.408t；油墨使用量为0.1t/a，包装规格为25kg/桶，产生废包装桶4个，重约0.012t；稀释剂使用量为0.02t/a，包装规格为10kg/桶，产生废包装桶2个，重约0.006t。项目废包装桶总产生量约0.426t/a，</w:t>
            </w:r>
            <w:r>
              <w:rPr>
                <w:rFonts w:hint="default" w:ascii="Times New Roman" w:hAnsi="Times New Roman" w:eastAsia="宋体" w:cs="Times New Roman"/>
                <w:bCs/>
                <w:color w:val="auto"/>
                <w:sz w:val="24"/>
              </w:rPr>
              <w:t>废物类别</w:t>
            </w:r>
            <w:r>
              <w:rPr>
                <w:rFonts w:hint="eastAsia" w:cs="Times New Roman"/>
                <w:bCs/>
                <w:color w:val="auto"/>
                <w:sz w:val="24"/>
                <w:lang w:val="en-US" w:eastAsia="zh-CN"/>
              </w:rPr>
              <w:t>及废物代码</w:t>
            </w:r>
            <w:r>
              <w:rPr>
                <w:rFonts w:hint="default" w:ascii="Times New Roman" w:hAnsi="Times New Roman" w:eastAsia="宋体" w:cs="Times New Roman"/>
                <w:bCs/>
                <w:color w:val="auto"/>
                <w:sz w:val="24"/>
              </w:rPr>
              <w:t>为</w:t>
            </w:r>
            <w:r>
              <w:rPr>
                <w:bCs/>
                <w:color w:val="auto"/>
                <w:sz w:val="24"/>
                <w:szCs w:val="24"/>
              </w:rPr>
              <w:t>HW4</w:t>
            </w:r>
            <w:r>
              <w:rPr>
                <w:rFonts w:hint="eastAsia"/>
                <w:bCs/>
                <w:color w:val="auto"/>
                <w:sz w:val="24"/>
                <w:szCs w:val="24"/>
                <w:lang w:val="en-US" w:eastAsia="zh-CN"/>
              </w:rPr>
              <w:t>9</w:t>
            </w:r>
            <w:r>
              <w:rPr>
                <w:bCs/>
                <w:color w:val="auto"/>
                <w:sz w:val="24"/>
                <w:szCs w:val="24"/>
              </w:rPr>
              <w:t>（</w:t>
            </w:r>
            <w:r>
              <w:rPr>
                <w:color w:val="auto"/>
                <w:sz w:val="24"/>
                <w:szCs w:val="24"/>
                <w:lang w:bidi="ar"/>
              </w:rPr>
              <w:t>900-0</w:t>
            </w:r>
            <w:r>
              <w:rPr>
                <w:rFonts w:hint="eastAsia"/>
                <w:color w:val="auto"/>
                <w:sz w:val="24"/>
                <w:szCs w:val="24"/>
                <w:lang w:val="en-US" w:eastAsia="zh-CN" w:bidi="ar"/>
              </w:rPr>
              <w:t>41</w:t>
            </w:r>
            <w:r>
              <w:rPr>
                <w:color w:val="auto"/>
                <w:sz w:val="24"/>
                <w:szCs w:val="24"/>
                <w:lang w:bidi="ar"/>
              </w:rPr>
              <w:t>-49</w:t>
            </w:r>
            <w:r>
              <w:rPr>
                <w:bCs/>
                <w:color w:val="auto"/>
                <w:sz w:val="24"/>
                <w:szCs w:val="24"/>
              </w:rPr>
              <w:t>）</w:t>
            </w:r>
            <w:r>
              <w:rPr>
                <w:rFonts w:hint="eastAsia" w:ascii="Times New Roman" w:hAnsi="Times New Roman" w:eastAsia="宋体" w:cs="Times New Roman"/>
                <w:bCs/>
                <w:color w:val="auto"/>
                <w:sz w:val="24"/>
              </w:rPr>
              <w:t>，</w:t>
            </w:r>
            <w:r>
              <w:rPr>
                <w:rFonts w:hint="eastAsia" w:cs="Times New Roman"/>
                <w:color w:val="auto"/>
                <w:sz w:val="24"/>
                <w:szCs w:val="24"/>
                <w:lang w:val="en-US" w:eastAsia="zh-CN"/>
              </w:rPr>
              <w:t>收集后统一暂存于危废</w:t>
            </w:r>
            <w:r>
              <w:rPr>
                <w:rFonts w:hint="eastAsia" w:cs="Times New Roman"/>
                <w:bCs/>
                <w:color w:val="auto"/>
                <w:sz w:val="24"/>
                <w:szCs w:val="24"/>
                <w:lang w:val="en-US" w:eastAsia="zh-CN"/>
              </w:rPr>
              <w:t>暂存间内</w:t>
            </w:r>
            <w:r>
              <w:rPr>
                <w:rFonts w:hint="default" w:ascii="Times New Roman" w:hAnsi="Times New Roman" w:eastAsia="宋体" w:cs="Times New Roman"/>
                <w:bCs/>
                <w:color w:val="auto"/>
                <w:sz w:val="24"/>
              </w:rPr>
              <w:t>，</w:t>
            </w:r>
            <w:r>
              <w:rPr>
                <w:rFonts w:hint="eastAsia"/>
                <w:color w:val="auto"/>
                <w:sz w:val="24"/>
                <w:szCs w:val="24"/>
                <w:lang w:val="en-US" w:eastAsia="zh-CN"/>
              </w:rPr>
              <w:t>后</w:t>
            </w:r>
            <w:r>
              <w:rPr>
                <w:color w:val="auto"/>
                <w:sz w:val="24"/>
                <w:szCs w:val="24"/>
              </w:rPr>
              <w:t>交由有资质单位进行处置。</w:t>
            </w:r>
          </w:p>
          <w:p w14:paraId="7D75D530">
            <w:pPr>
              <w:pStyle w:val="90"/>
              <w:snapToGrid w:val="0"/>
              <w:spacing w:line="360" w:lineRule="auto"/>
              <w:ind w:left="0" w:right="0" w:firstLine="480" w:firstLineChars="200"/>
              <w:textAlignment w:val="auto"/>
              <w:rPr>
                <w:rFonts w:hint="eastAsia"/>
                <w:color w:val="auto"/>
                <w:sz w:val="24"/>
                <w:szCs w:val="24"/>
                <w:lang w:val="en-US" w:eastAsia="zh-CN"/>
              </w:rPr>
            </w:pPr>
            <w:r>
              <w:rPr>
                <w:rFonts w:hint="eastAsia"/>
                <w:color w:val="auto"/>
                <w:sz w:val="24"/>
                <w:szCs w:val="24"/>
                <w:lang w:val="en-US" w:eastAsia="zh-CN"/>
              </w:rPr>
              <w:t>废润滑油：</w:t>
            </w:r>
          </w:p>
          <w:p w14:paraId="38DBA5F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lang w:eastAsia="zh-CN"/>
              </w:rPr>
            </w:pPr>
            <w:r>
              <w:rPr>
                <w:color w:val="auto"/>
                <w:sz w:val="24"/>
                <w:szCs w:val="24"/>
              </w:rPr>
              <w:t>项目定期对厂区设备进行检修，检修过程中会产生废</w:t>
            </w:r>
            <w:r>
              <w:rPr>
                <w:rFonts w:hint="eastAsia"/>
                <w:color w:val="auto"/>
                <w:sz w:val="24"/>
                <w:szCs w:val="24"/>
              </w:rPr>
              <w:t>润滑</w:t>
            </w:r>
            <w:r>
              <w:rPr>
                <w:color w:val="auto"/>
                <w:sz w:val="24"/>
                <w:szCs w:val="24"/>
              </w:rPr>
              <w:t>油，</w:t>
            </w:r>
            <w:r>
              <w:rPr>
                <w:rFonts w:hint="eastAsia" w:hAnsi="宋体" w:cs="宋体"/>
                <w:color w:val="auto"/>
                <w:sz w:val="24"/>
                <w:szCs w:val="24"/>
                <w:highlight w:val="none"/>
                <w:lang w:val="en-US" w:eastAsia="zh-CN"/>
              </w:rPr>
              <w:t>根据企业提供的资料，</w:t>
            </w:r>
            <w:r>
              <w:rPr>
                <w:color w:val="auto"/>
                <w:sz w:val="24"/>
                <w:szCs w:val="24"/>
              </w:rPr>
              <w:t>产生量约为0.02t/a，</w:t>
            </w:r>
            <w:r>
              <w:rPr>
                <w:rFonts w:hint="default" w:ascii="Times New Roman" w:hAnsi="Times New Roman" w:eastAsia="宋体" w:cs="Times New Roman"/>
                <w:bCs/>
                <w:color w:val="auto"/>
                <w:sz w:val="24"/>
              </w:rPr>
              <w:t>废物类别</w:t>
            </w:r>
            <w:r>
              <w:rPr>
                <w:rFonts w:hint="eastAsia" w:cs="Times New Roman"/>
                <w:bCs/>
                <w:color w:val="auto"/>
                <w:sz w:val="24"/>
                <w:lang w:val="en-US" w:eastAsia="zh-CN"/>
              </w:rPr>
              <w:t>及废物代码</w:t>
            </w:r>
            <w:r>
              <w:rPr>
                <w:rFonts w:hint="default" w:ascii="Times New Roman" w:hAnsi="Times New Roman" w:eastAsia="宋体" w:cs="Times New Roman"/>
                <w:bCs/>
                <w:color w:val="auto"/>
                <w:sz w:val="24"/>
              </w:rPr>
              <w:t>为</w:t>
            </w:r>
            <w:r>
              <w:rPr>
                <w:bCs/>
                <w:color w:val="auto"/>
                <w:sz w:val="24"/>
                <w:szCs w:val="24"/>
              </w:rPr>
              <w:t>HW</w:t>
            </w:r>
            <w:r>
              <w:rPr>
                <w:rFonts w:hint="eastAsia"/>
                <w:bCs/>
                <w:color w:val="auto"/>
                <w:sz w:val="24"/>
                <w:szCs w:val="24"/>
                <w:lang w:val="en-US" w:eastAsia="zh-CN"/>
              </w:rPr>
              <w:t>08</w:t>
            </w:r>
            <w:r>
              <w:rPr>
                <w:color w:val="auto"/>
                <w:sz w:val="24"/>
                <w:szCs w:val="24"/>
              </w:rPr>
              <w:t>（900-2</w:t>
            </w:r>
            <w:r>
              <w:rPr>
                <w:rFonts w:hint="eastAsia"/>
                <w:color w:val="auto"/>
                <w:sz w:val="24"/>
                <w:szCs w:val="24"/>
              </w:rPr>
              <w:t>14</w:t>
            </w:r>
            <w:r>
              <w:rPr>
                <w:color w:val="auto"/>
                <w:sz w:val="24"/>
                <w:szCs w:val="24"/>
              </w:rPr>
              <w:t>-08），</w:t>
            </w:r>
            <w:r>
              <w:rPr>
                <w:rFonts w:hint="eastAsia" w:cs="Times New Roman"/>
                <w:color w:val="auto"/>
                <w:sz w:val="24"/>
                <w:szCs w:val="24"/>
                <w:lang w:val="en-US" w:eastAsia="zh-CN"/>
              </w:rPr>
              <w:t>集后统一暂存于危废</w:t>
            </w:r>
            <w:r>
              <w:rPr>
                <w:rFonts w:hint="eastAsia" w:cs="Times New Roman"/>
                <w:bCs/>
                <w:color w:val="auto"/>
                <w:sz w:val="24"/>
                <w:szCs w:val="24"/>
                <w:lang w:val="en-US" w:eastAsia="zh-CN"/>
              </w:rPr>
              <w:t>暂存间内</w:t>
            </w:r>
            <w:r>
              <w:rPr>
                <w:rFonts w:hint="default" w:ascii="Times New Roman" w:hAnsi="Times New Roman" w:eastAsia="宋体" w:cs="Times New Roman"/>
                <w:bCs/>
                <w:color w:val="auto"/>
                <w:sz w:val="24"/>
              </w:rPr>
              <w:t>，</w:t>
            </w:r>
            <w:r>
              <w:rPr>
                <w:rFonts w:hint="eastAsia"/>
                <w:color w:val="auto"/>
                <w:sz w:val="24"/>
                <w:szCs w:val="24"/>
                <w:lang w:val="en-US" w:eastAsia="zh-CN"/>
              </w:rPr>
              <w:t>后委托</w:t>
            </w:r>
            <w:r>
              <w:rPr>
                <w:color w:val="auto"/>
                <w:sz w:val="24"/>
                <w:szCs w:val="24"/>
              </w:rPr>
              <w:t>有资质单位进行处置</w:t>
            </w:r>
            <w:r>
              <w:rPr>
                <w:rFonts w:hint="eastAsia"/>
                <w:color w:val="auto"/>
                <w:sz w:val="24"/>
                <w:szCs w:val="24"/>
                <w:lang w:eastAsia="zh-CN"/>
              </w:rPr>
              <w:t>。</w:t>
            </w:r>
          </w:p>
          <w:p w14:paraId="105AF274">
            <w:pPr>
              <w:pStyle w:val="90"/>
              <w:snapToGrid w:val="0"/>
              <w:spacing w:line="360" w:lineRule="auto"/>
              <w:ind w:left="0" w:right="0" w:firstLine="480" w:firstLineChars="200"/>
              <w:textAlignment w:val="auto"/>
              <w:rPr>
                <w:rFonts w:hint="eastAsia"/>
                <w:color w:val="auto"/>
                <w:sz w:val="24"/>
                <w:szCs w:val="24"/>
                <w:lang w:val="en-US" w:eastAsia="zh-CN"/>
              </w:rPr>
            </w:pPr>
            <w:r>
              <w:rPr>
                <w:rFonts w:hint="eastAsia"/>
                <w:color w:val="auto"/>
                <w:sz w:val="24"/>
                <w:szCs w:val="24"/>
                <w:lang w:val="en-US" w:eastAsia="zh-CN"/>
              </w:rPr>
              <w:t>废印刷机凹版：</w:t>
            </w:r>
          </w:p>
          <w:p w14:paraId="259DC80A">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color w:val="auto"/>
                <w:sz w:val="24"/>
                <w:szCs w:val="24"/>
                <w:lang w:val="en-US" w:eastAsia="zh-CN"/>
              </w:rPr>
            </w:pPr>
            <w:r>
              <w:rPr>
                <w:rFonts w:hint="eastAsia"/>
                <w:color w:val="auto"/>
                <w:sz w:val="24"/>
                <w:szCs w:val="24"/>
                <w:lang w:val="en-US" w:eastAsia="zh-CN"/>
              </w:rPr>
              <w:t>印刷过程中</w:t>
            </w:r>
            <w:r>
              <w:rPr>
                <w:color w:val="auto"/>
                <w:sz w:val="24"/>
                <w:szCs w:val="24"/>
              </w:rPr>
              <w:t>，</w:t>
            </w:r>
            <w:r>
              <w:rPr>
                <w:rFonts w:hint="eastAsia"/>
                <w:color w:val="auto"/>
                <w:sz w:val="24"/>
                <w:szCs w:val="24"/>
                <w:lang w:val="en-US" w:eastAsia="zh-CN"/>
              </w:rPr>
              <w:t>印刷机凹版可能出现损坏需要进行更换的情况，该过程会产废印刷机凹版，根据企业提供的资料，产生量约为0.05t/a，</w:t>
            </w:r>
            <w:r>
              <w:rPr>
                <w:rFonts w:hint="default" w:ascii="Times New Roman" w:hAnsi="Times New Roman" w:eastAsia="宋体" w:cs="Times New Roman"/>
                <w:bCs/>
                <w:color w:val="auto"/>
                <w:sz w:val="24"/>
              </w:rPr>
              <w:t>废物类别</w:t>
            </w:r>
            <w:r>
              <w:rPr>
                <w:rFonts w:hint="eastAsia" w:cs="Times New Roman"/>
                <w:bCs/>
                <w:color w:val="auto"/>
                <w:sz w:val="24"/>
                <w:lang w:val="en-US" w:eastAsia="zh-CN"/>
              </w:rPr>
              <w:t>及废物代码</w:t>
            </w:r>
            <w:r>
              <w:rPr>
                <w:rFonts w:hint="default" w:ascii="Times New Roman" w:hAnsi="Times New Roman" w:eastAsia="宋体" w:cs="Times New Roman"/>
                <w:bCs/>
                <w:color w:val="auto"/>
                <w:sz w:val="24"/>
              </w:rPr>
              <w:t>为</w:t>
            </w:r>
            <w:r>
              <w:rPr>
                <w:bCs/>
                <w:color w:val="auto"/>
                <w:sz w:val="24"/>
                <w:szCs w:val="24"/>
              </w:rPr>
              <w:t>HW4</w:t>
            </w:r>
            <w:r>
              <w:rPr>
                <w:rFonts w:hint="eastAsia"/>
                <w:bCs/>
                <w:color w:val="auto"/>
                <w:sz w:val="24"/>
                <w:szCs w:val="24"/>
                <w:lang w:val="en-US" w:eastAsia="zh-CN"/>
              </w:rPr>
              <w:t>9</w:t>
            </w:r>
            <w:r>
              <w:rPr>
                <w:bCs/>
                <w:color w:val="auto"/>
                <w:sz w:val="24"/>
                <w:szCs w:val="24"/>
              </w:rPr>
              <w:t>（</w:t>
            </w:r>
            <w:r>
              <w:rPr>
                <w:color w:val="auto"/>
                <w:sz w:val="24"/>
                <w:szCs w:val="24"/>
                <w:lang w:bidi="ar"/>
              </w:rPr>
              <w:t>900-0</w:t>
            </w:r>
            <w:r>
              <w:rPr>
                <w:rFonts w:hint="eastAsia"/>
                <w:color w:val="auto"/>
                <w:sz w:val="24"/>
                <w:szCs w:val="24"/>
                <w:lang w:val="en-US" w:eastAsia="zh-CN" w:bidi="ar"/>
              </w:rPr>
              <w:t>41</w:t>
            </w:r>
            <w:r>
              <w:rPr>
                <w:color w:val="auto"/>
                <w:sz w:val="24"/>
                <w:szCs w:val="24"/>
                <w:lang w:bidi="ar"/>
              </w:rPr>
              <w:t>-49</w:t>
            </w:r>
            <w:r>
              <w:rPr>
                <w:bCs/>
                <w:color w:val="auto"/>
                <w:sz w:val="24"/>
                <w:szCs w:val="24"/>
              </w:rPr>
              <w:t>）</w:t>
            </w:r>
            <w:r>
              <w:rPr>
                <w:rFonts w:hint="eastAsia"/>
                <w:bCs/>
                <w:color w:val="auto"/>
                <w:sz w:val="24"/>
                <w:szCs w:val="24"/>
                <w:lang w:eastAsia="zh-CN"/>
              </w:rPr>
              <w:t>，</w:t>
            </w:r>
            <w:r>
              <w:rPr>
                <w:rFonts w:hint="eastAsia" w:cs="Times New Roman"/>
                <w:color w:val="auto"/>
                <w:sz w:val="24"/>
                <w:szCs w:val="24"/>
                <w:lang w:val="en-US" w:eastAsia="zh-CN"/>
              </w:rPr>
              <w:t>收集后统一暂存于危废</w:t>
            </w:r>
            <w:r>
              <w:rPr>
                <w:rFonts w:hint="eastAsia" w:cs="Times New Roman"/>
                <w:bCs/>
                <w:color w:val="auto"/>
                <w:sz w:val="24"/>
                <w:szCs w:val="24"/>
                <w:lang w:val="en-US" w:eastAsia="zh-CN"/>
              </w:rPr>
              <w:t>暂存间内</w:t>
            </w:r>
            <w:r>
              <w:rPr>
                <w:rFonts w:hint="default" w:ascii="Times New Roman" w:hAnsi="Times New Roman" w:eastAsia="宋体" w:cs="Times New Roman"/>
                <w:bCs/>
                <w:color w:val="auto"/>
                <w:sz w:val="24"/>
              </w:rPr>
              <w:t>，</w:t>
            </w:r>
            <w:r>
              <w:rPr>
                <w:rFonts w:hint="eastAsia"/>
                <w:color w:val="auto"/>
                <w:sz w:val="24"/>
                <w:szCs w:val="24"/>
                <w:lang w:val="en-US" w:eastAsia="zh-CN"/>
              </w:rPr>
              <w:t>后委托</w:t>
            </w:r>
            <w:r>
              <w:rPr>
                <w:color w:val="auto"/>
                <w:sz w:val="24"/>
                <w:szCs w:val="24"/>
              </w:rPr>
              <w:t>有资质单位进行处置。</w:t>
            </w:r>
          </w:p>
          <w:p w14:paraId="53CEB714">
            <w:pPr>
              <w:pStyle w:val="90"/>
              <w:snapToGrid w:val="0"/>
              <w:spacing w:line="360" w:lineRule="auto"/>
              <w:ind w:left="0" w:right="0" w:firstLine="480" w:firstLineChars="200"/>
              <w:textAlignment w:val="auto"/>
              <w:rPr>
                <w:rFonts w:hint="eastAsia"/>
                <w:color w:val="auto"/>
                <w:sz w:val="24"/>
                <w:szCs w:val="24"/>
                <w:lang w:val="en-US" w:eastAsia="zh-CN"/>
              </w:rPr>
            </w:pPr>
            <w:r>
              <w:rPr>
                <w:rFonts w:hint="eastAsia"/>
                <w:color w:val="auto"/>
                <w:sz w:val="24"/>
                <w:szCs w:val="24"/>
                <w:lang w:val="en-US" w:eastAsia="zh-CN"/>
              </w:rPr>
              <w:t>涂料渣：</w:t>
            </w:r>
          </w:p>
          <w:p w14:paraId="23521DF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color w:val="auto"/>
                <w:sz w:val="24"/>
                <w:szCs w:val="24"/>
                <w:lang w:val="en-US" w:eastAsia="zh-CN"/>
              </w:rPr>
            </w:pPr>
            <w:r>
              <w:rPr>
                <w:rFonts w:hint="eastAsia"/>
                <w:color w:val="auto"/>
                <w:sz w:val="24"/>
                <w:szCs w:val="24"/>
                <w:lang w:val="en-US" w:eastAsia="zh-CN"/>
              </w:rPr>
              <w:t>印刷过程中</w:t>
            </w:r>
            <w:r>
              <w:rPr>
                <w:color w:val="auto"/>
                <w:sz w:val="24"/>
                <w:szCs w:val="24"/>
              </w:rPr>
              <w:t>，</w:t>
            </w:r>
            <w:r>
              <w:rPr>
                <w:rFonts w:hint="eastAsia"/>
                <w:color w:val="auto"/>
                <w:sz w:val="24"/>
                <w:szCs w:val="24"/>
                <w:lang w:val="en-US" w:eastAsia="zh-CN"/>
              </w:rPr>
              <w:t>印刷机凹版上会沾染极少量的油墨、水性油墨残渣，根据建设单位提供的资料，每天需要使用专用刮板对印刷机凹版进行一次清理，单次清理出的涂料残渣量几乎忽略不计。由于涂料残渣为当天清理，涂料还未产生凝固，因此清理出的涂料残渣重新密闭于涂料桶内，后回用于生产。</w:t>
            </w:r>
          </w:p>
          <w:p w14:paraId="7F9D1D12">
            <w:pPr>
              <w:pStyle w:val="90"/>
              <w:snapToGrid w:val="0"/>
              <w:spacing w:line="360" w:lineRule="auto"/>
              <w:ind w:left="0" w:right="0" w:firstLine="480" w:firstLineChars="200"/>
              <w:textAlignment w:val="auto"/>
              <w:rPr>
                <w:rFonts w:hint="eastAsia"/>
                <w:color w:val="auto"/>
                <w:sz w:val="24"/>
                <w:szCs w:val="24"/>
                <w:lang w:val="en-US" w:eastAsia="zh-CN"/>
              </w:rPr>
            </w:pPr>
            <w:r>
              <w:rPr>
                <w:rFonts w:hint="eastAsia"/>
                <w:color w:val="auto"/>
                <w:sz w:val="24"/>
                <w:szCs w:val="24"/>
                <w:lang w:val="en-US" w:eastAsia="zh-CN"/>
              </w:rPr>
              <w:t>废润滑油桶：</w:t>
            </w:r>
          </w:p>
          <w:p w14:paraId="3131A78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lang w:eastAsia="zh-CN"/>
              </w:rPr>
            </w:pPr>
            <w:r>
              <w:rPr>
                <w:color w:val="auto"/>
                <w:sz w:val="24"/>
                <w:szCs w:val="24"/>
              </w:rPr>
              <w:t>项目定期对厂区设备进行检修，检修过程中</w:t>
            </w:r>
            <w:r>
              <w:rPr>
                <w:rFonts w:hint="eastAsia"/>
                <w:color w:val="auto"/>
                <w:sz w:val="24"/>
                <w:szCs w:val="24"/>
                <w:lang w:val="en-US" w:eastAsia="zh-CN"/>
              </w:rPr>
              <w:t>需使用到</w:t>
            </w:r>
            <w:r>
              <w:rPr>
                <w:rFonts w:hint="eastAsia"/>
                <w:color w:val="auto"/>
                <w:sz w:val="24"/>
                <w:szCs w:val="24"/>
              </w:rPr>
              <w:t>润滑</w:t>
            </w:r>
            <w:r>
              <w:rPr>
                <w:color w:val="auto"/>
                <w:sz w:val="24"/>
                <w:szCs w:val="24"/>
              </w:rPr>
              <w:t>油，</w:t>
            </w:r>
            <w:r>
              <w:rPr>
                <w:rFonts w:hint="eastAsia"/>
                <w:color w:val="auto"/>
                <w:sz w:val="24"/>
                <w:szCs w:val="24"/>
                <w:lang w:val="en-US" w:eastAsia="zh-CN"/>
              </w:rPr>
              <w:t>因此会产生废润滑油桶。</w:t>
            </w:r>
            <w:r>
              <w:rPr>
                <w:rFonts w:hint="eastAsia" w:hAnsi="宋体" w:cs="宋体"/>
                <w:color w:val="auto"/>
                <w:sz w:val="24"/>
                <w:szCs w:val="24"/>
                <w:highlight w:val="none"/>
                <w:lang w:val="en-US" w:eastAsia="zh-CN"/>
              </w:rPr>
              <w:t>根据建设单位提供的资料，</w:t>
            </w:r>
            <w:r>
              <w:rPr>
                <w:color w:val="auto"/>
                <w:sz w:val="24"/>
                <w:szCs w:val="24"/>
              </w:rPr>
              <w:t>产生量约为0.0</w:t>
            </w:r>
            <w:r>
              <w:rPr>
                <w:rFonts w:hint="eastAsia"/>
                <w:color w:val="auto"/>
                <w:sz w:val="24"/>
                <w:szCs w:val="24"/>
                <w:lang w:val="en-US" w:eastAsia="zh-CN"/>
              </w:rPr>
              <w:t>02</w:t>
            </w:r>
            <w:r>
              <w:rPr>
                <w:color w:val="auto"/>
                <w:sz w:val="24"/>
                <w:szCs w:val="24"/>
              </w:rPr>
              <w:t>t/a，</w:t>
            </w:r>
            <w:r>
              <w:rPr>
                <w:rFonts w:hint="default" w:ascii="Times New Roman" w:hAnsi="Times New Roman" w:eastAsia="宋体" w:cs="Times New Roman"/>
                <w:bCs/>
                <w:color w:val="auto"/>
                <w:sz w:val="24"/>
              </w:rPr>
              <w:t>废物类别</w:t>
            </w:r>
            <w:r>
              <w:rPr>
                <w:rFonts w:hint="eastAsia" w:cs="Times New Roman"/>
                <w:bCs/>
                <w:color w:val="auto"/>
                <w:sz w:val="24"/>
                <w:lang w:val="en-US" w:eastAsia="zh-CN"/>
              </w:rPr>
              <w:t>及废物代码</w:t>
            </w:r>
            <w:r>
              <w:rPr>
                <w:rFonts w:hint="default" w:ascii="Times New Roman" w:hAnsi="Times New Roman" w:eastAsia="宋体" w:cs="Times New Roman"/>
                <w:bCs/>
                <w:color w:val="auto"/>
                <w:sz w:val="24"/>
              </w:rPr>
              <w:t>为</w:t>
            </w:r>
            <w:r>
              <w:rPr>
                <w:bCs/>
                <w:color w:val="auto"/>
                <w:sz w:val="24"/>
                <w:szCs w:val="24"/>
              </w:rPr>
              <w:t>HW</w:t>
            </w:r>
            <w:r>
              <w:rPr>
                <w:rFonts w:hint="eastAsia"/>
                <w:bCs/>
                <w:color w:val="auto"/>
                <w:sz w:val="24"/>
                <w:szCs w:val="24"/>
                <w:lang w:val="en-US" w:eastAsia="zh-CN"/>
              </w:rPr>
              <w:t>08</w:t>
            </w:r>
            <w:r>
              <w:rPr>
                <w:color w:val="auto"/>
                <w:sz w:val="24"/>
                <w:szCs w:val="24"/>
              </w:rPr>
              <w:t>（900-</w:t>
            </w:r>
            <w:r>
              <w:rPr>
                <w:rFonts w:hint="eastAsia"/>
                <w:color w:val="auto"/>
                <w:sz w:val="24"/>
                <w:szCs w:val="24"/>
                <w:lang w:val="en-US" w:eastAsia="zh-CN"/>
              </w:rPr>
              <w:t>249</w:t>
            </w:r>
            <w:r>
              <w:rPr>
                <w:color w:val="auto"/>
                <w:sz w:val="24"/>
                <w:szCs w:val="24"/>
              </w:rPr>
              <w:t>-08），</w:t>
            </w:r>
            <w:r>
              <w:rPr>
                <w:rFonts w:hint="eastAsia" w:cs="Times New Roman"/>
                <w:color w:val="auto"/>
                <w:sz w:val="24"/>
                <w:szCs w:val="24"/>
                <w:lang w:val="en-US" w:eastAsia="zh-CN"/>
              </w:rPr>
              <w:t>集后统一暂存于危废</w:t>
            </w:r>
            <w:r>
              <w:rPr>
                <w:rFonts w:hint="eastAsia" w:cs="Times New Roman"/>
                <w:bCs/>
                <w:color w:val="auto"/>
                <w:sz w:val="24"/>
                <w:szCs w:val="24"/>
                <w:lang w:val="en-US" w:eastAsia="zh-CN"/>
              </w:rPr>
              <w:t>暂存间内</w:t>
            </w:r>
            <w:r>
              <w:rPr>
                <w:rFonts w:hint="default" w:ascii="Times New Roman" w:hAnsi="Times New Roman" w:eastAsia="宋体" w:cs="Times New Roman"/>
                <w:bCs/>
                <w:color w:val="auto"/>
                <w:sz w:val="24"/>
              </w:rPr>
              <w:t>，</w:t>
            </w:r>
            <w:r>
              <w:rPr>
                <w:rFonts w:hint="eastAsia"/>
                <w:color w:val="auto"/>
                <w:sz w:val="24"/>
                <w:szCs w:val="24"/>
                <w:lang w:val="en-US" w:eastAsia="zh-CN"/>
              </w:rPr>
              <w:t>后委托</w:t>
            </w:r>
            <w:r>
              <w:rPr>
                <w:color w:val="auto"/>
                <w:sz w:val="24"/>
                <w:szCs w:val="24"/>
              </w:rPr>
              <w:t>有资质单位进行处置</w:t>
            </w:r>
            <w:r>
              <w:rPr>
                <w:rFonts w:hint="eastAsia"/>
                <w:color w:val="auto"/>
                <w:sz w:val="24"/>
                <w:szCs w:val="24"/>
                <w:lang w:eastAsia="zh-CN"/>
              </w:rPr>
              <w:t>。</w:t>
            </w:r>
          </w:p>
          <w:p w14:paraId="3527ECF7">
            <w:pPr>
              <w:pStyle w:val="1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default"/>
                <w:color w:val="auto"/>
                <w:szCs w:val="24"/>
                <w:lang w:val="en-US" w:eastAsia="zh-CN"/>
              </w:rPr>
            </w:pPr>
            <w:r>
              <w:rPr>
                <w:rFonts w:hint="eastAsia"/>
                <w:color w:val="auto"/>
                <w:szCs w:val="24"/>
                <w:lang w:val="en-US" w:eastAsia="zh-CN"/>
              </w:rPr>
              <w:t>废劳保用品：</w:t>
            </w:r>
          </w:p>
          <w:p w14:paraId="00B67FBF">
            <w:pPr>
              <w:pStyle w:val="90"/>
              <w:snapToGrid w:val="0"/>
              <w:spacing w:line="360" w:lineRule="auto"/>
              <w:ind w:left="0" w:right="0"/>
              <w:jc w:val="both"/>
              <w:textAlignment w:val="auto"/>
              <w:rPr>
                <w:rFonts w:hint="default" w:cs="Times New Roman"/>
                <w:bCs/>
                <w:color w:val="auto"/>
                <w:sz w:val="24"/>
                <w:lang w:val="en-US" w:eastAsia="zh-CN"/>
              </w:rPr>
            </w:pPr>
            <w:r>
              <w:rPr>
                <w:rFonts w:hint="eastAsia"/>
                <w:b w:val="0"/>
                <w:bCs w:val="0"/>
                <w:color w:val="auto"/>
                <w:sz w:val="24"/>
                <w:szCs w:val="24"/>
                <w:lang w:val="en-US" w:eastAsia="zh-CN"/>
              </w:rPr>
              <w:t>员工日常生产过程中需要穿戴劳保用品，因此会产生</w:t>
            </w:r>
            <w:r>
              <w:rPr>
                <w:rFonts w:hint="eastAsia"/>
                <w:color w:val="auto"/>
                <w:sz w:val="24"/>
                <w:szCs w:val="24"/>
                <w:lang w:val="en-US" w:eastAsia="zh-CN"/>
              </w:rPr>
              <w:t>废劳保用品</w:t>
            </w:r>
            <w:r>
              <w:rPr>
                <w:rFonts w:hint="eastAsia"/>
                <w:b w:val="0"/>
                <w:bCs w:val="0"/>
                <w:color w:val="auto"/>
                <w:sz w:val="24"/>
                <w:szCs w:val="24"/>
                <w:lang w:val="en-US" w:eastAsia="zh-CN"/>
              </w:rPr>
              <w:t>，根据企业提供的资料，项目</w:t>
            </w:r>
            <w:r>
              <w:rPr>
                <w:rFonts w:hint="eastAsia"/>
                <w:color w:val="auto"/>
                <w:sz w:val="24"/>
                <w:szCs w:val="24"/>
                <w:lang w:val="en-US" w:eastAsia="zh-CN"/>
              </w:rPr>
              <w:t>废劳保用品</w:t>
            </w:r>
            <w:r>
              <w:rPr>
                <w:rFonts w:hint="eastAsia"/>
                <w:b w:val="0"/>
                <w:bCs w:val="0"/>
                <w:color w:val="auto"/>
                <w:sz w:val="24"/>
                <w:szCs w:val="24"/>
                <w:lang w:val="en-US" w:eastAsia="zh-CN"/>
              </w:rPr>
              <w:t>产生量约为0.02t/a，</w:t>
            </w:r>
            <w:r>
              <w:rPr>
                <w:rFonts w:hint="eastAsia"/>
                <w:color w:val="auto"/>
                <w:sz w:val="24"/>
                <w:szCs w:val="24"/>
                <w:lang w:val="en-US" w:eastAsia="zh-CN"/>
              </w:rPr>
              <w:t>废物类别为</w:t>
            </w:r>
            <w:r>
              <w:rPr>
                <w:rFonts w:hint="default" w:ascii="Times New Roman" w:hAnsi="Times New Roman" w:cs="Times New Roman"/>
                <w:color w:val="auto"/>
                <w:sz w:val="24"/>
                <w:szCs w:val="24"/>
              </w:rPr>
              <w:t>HW49</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900-041-49</w:t>
            </w:r>
            <w:r>
              <w:rPr>
                <w:rFonts w:hint="default" w:ascii="Times New Roman" w:hAnsi="Times New Roman" w:cs="Times New Roman"/>
                <w:color w:val="auto"/>
                <w:sz w:val="24"/>
                <w:szCs w:val="24"/>
                <w:lang w:eastAsia="zh-CN"/>
              </w:rPr>
              <w:t>）</w:t>
            </w:r>
            <w:r>
              <w:rPr>
                <w:rFonts w:hint="eastAsia"/>
                <w:color w:val="auto"/>
                <w:szCs w:val="24"/>
                <w:lang w:val="en-US" w:eastAsia="zh-CN"/>
              </w:rPr>
              <w:t>，</w:t>
            </w:r>
            <w:r>
              <w:rPr>
                <w:rFonts w:hint="eastAsia" w:ascii="Times New Roman" w:hAnsi="Times New Roman" w:cs="Times New Roman"/>
                <w:color w:val="auto"/>
                <w:sz w:val="24"/>
                <w:szCs w:val="24"/>
                <w:lang w:val="en-US" w:eastAsia="zh-CN"/>
              </w:rPr>
              <w:t>根据《国家危险废物名录（2025版）》，未分类收集的废弃的含油劳保用品在不与其它危险废物接触的情况下，可以全过程不按危险废物管理</w:t>
            </w:r>
            <w:r>
              <w:rPr>
                <w:rFonts w:hint="eastAsia"/>
                <w:b w:val="0"/>
                <w:bCs w:val="0"/>
                <w:color w:val="auto"/>
                <w:sz w:val="24"/>
                <w:szCs w:val="24"/>
                <w:lang w:val="en-US" w:eastAsia="zh-CN"/>
              </w:rPr>
              <w:t>。本项目生产过程中陆续产生的</w:t>
            </w:r>
            <w:r>
              <w:rPr>
                <w:rFonts w:hint="eastAsia" w:ascii="Times New Roman" w:hAnsi="Times New Roman" w:cs="Times New Roman"/>
                <w:color w:val="auto"/>
                <w:sz w:val="24"/>
                <w:szCs w:val="24"/>
                <w:lang w:val="en-US" w:eastAsia="zh-CN"/>
              </w:rPr>
              <w:t>废</w:t>
            </w:r>
            <w:r>
              <w:rPr>
                <w:rFonts w:hint="eastAsia"/>
                <w:color w:val="auto"/>
                <w:sz w:val="24"/>
                <w:szCs w:val="24"/>
                <w:lang w:val="en-US" w:eastAsia="zh-CN"/>
              </w:rPr>
              <w:t>劳保用品使用收纳箱收集后，</w:t>
            </w:r>
            <w:r>
              <w:rPr>
                <w:rFonts w:hint="eastAsia" w:cs="Times New Roman"/>
                <w:color w:val="auto"/>
                <w:sz w:val="24"/>
                <w:szCs w:val="24"/>
                <w:lang w:val="en-US" w:eastAsia="zh-CN"/>
              </w:rPr>
              <w:t>暂存于</w:t>
            </w:r>
            <w:r>
              <w:rPr>
                <w:rFonts w:hint="eastAsia" w:cs="Times New Roman"/>
                <w:bCs/>
                <w:color w:val="auto"/>
                <w:sz w:val="24"/>
                <w:szCs w:val="24"/>
                <w:lang w:val="en-US" w:eastAsia="zh-CN"/>
              </w:rPr>
              <w:t>一般固废暂存间</w:t>
            </w:r>
            <w:r>
              <w:rPr>
                <w:rFonts w:hint="eastAsia"/>
                <w:color w:val="auto"/>
                <w:sz w:val="24"/>
                <w:szCs w:val="24"/>
                <w:lang w:val="en-US" w:eastAsia="zh-CN"/>
              </w:rPr>
              <w:t>，后由相关单位处理。</w:t>
            </w:r>
          </w:p>
          <w:p w14:paraId="7743FE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color w:val="auto"/>
                <w:sz w:val="24"/>
                <w:szCs w:val="24"/>
              </w:rPr>
              <w:t>本项目固体废物包括一般固</w:t>
            </w:r>
            <w:r>
              <w:rPr>
                <w:rFonts w:hint="eastAsia"/>
                <w:color w:val="auto"/>
                <w:sz w:val="24"/>
                <w:szCs w:val="24"/>
              </w:rPr>
              <w:t>体废物</w:t>
            </w:r>
            <w:r>
              <w:rPr>
                <w:color w:val="auto"/>
                <w:sz w:val="24"/>
                <w:szCs w:val="24"/>
              </w:rPr>
              <w:t>、危险废物和生活垃圾，产生和处置情况见表4-1</w:t>
            </w:r>
            <w:r>
              <w:rPr>
                <w:rFonts w:hint="eastAsia"/>
                <w:color w:val="auto"/>
                <w:sz w:val="24"/>
                <w:szCs w:val="24"/>
                <w:lang w:val="en-US" w:eastAsia="zh-CN"/>
              </w:rPr>
              <w:t>6、</w:t>
            </w:r>
            <w:r>
              <w:rPr>
                <w:color w:val="auto"/>
                <w:sz w:val="24"/>
                <w:szCs w:val="24"/>
              </w:rPr>
              <w:t>表4-1</w:t>
            </w:r>
            <w:r>
              <w:rPr>
                <w:rFonts w:hint="eastAsia"/>
                <w:color w:val="auto"/>
                <w:sz w:val="24"/>
                <w:szCs w:val="24"/>
                <w:lang w:val="en-US" w:eastAsia="zh-CN"/>
              </w:rPr>
              <w:t>7</w:t>
            </w:r>
            <w:r>
              <w:rPr>
                <w:color w:val="auto"/>
                <w:sz w:val="24"/>
                <w:szCs w:val="24"/>
              </w:rPr>
              <w:t>。</w:t>
            </w:r>
          </w:p>
          <w:p w14:paraId="259227FF">
            <w:pPr>
              <w:jc w:val="center"/>
              <w:rPr>
                <w:b/>
                <w:bCs/>
                <w:color w:val="auto"/>
                <w:sz w:val="24"/>
                <w:lang w:val="zh-CN"/>
              </w:rPr>
            </w:pPr>
            <w:r>
              <w:rPr>
                <w:b/>
                <w:bCs/>
                <w:color w:val="auto"/>
                <w:sz w:val="24"/>
                <w:lang w:val="zh-CN"/>
              </w:rPr>
              <w:t>表4-1</w:t>
            </w:r>
            <w:r>
              <w:rPr>
                <w:rFonts w:hint="eastAsia"/>
                <w:b/>
                <w:bCs/>
                <w:color w:val="auto"/>
                <w:sz w:val="24"/>
                <w:lang w:val="en-US" w:eastAsia="zh-CN"/>
              </w:rPr>
              <w:t xml:space="preserve">6  </w:t>
            </w:r>
            <w:r>
              <w:rPr>
                <w:b/>
                <w:bCs/>
                <w:color w:val="auto"/>
                <w:sz w:val="24"/>
                <w:lang w:val="zh-CN"/>
              </w:rPr>
              <w:t>固体废物污染源产生、排放汇总表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1047"/>
              <w:gridCol w:w="922"/>
              <w:gridCol w:w="1570"/>
              <w:gridCol w:w="755"/>
              <w:gridCol w:w="901"/>
              <w:gridCol w:w="1069"/>
              <w:gridCol w:w="1335"/>
            </w:tblGrid>
            <w:tr w14:paraId="75BFE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893" w:type="dxa"/>
                  <w:vAlign w:val="center"/>
                </w:tcPr>
                <w:p w14:paraId="5CD5A58C">
                  <w:pPr>
                    <w:widowControl/>
                    <w:jc w:val="center"/>
                    <w:textAlignment w:val="center"/>
                    <w:rPr>
                      <w:color w:val="auto"/>
                      <w:sz w:val="21"/>
                      <w:szCs w:val="21"/>
                    </w:rPr>
                  </w:pPr>
                  <w:r>
                    <w:rPr>
                      <w:b/>
                      <w:bCs/>
                      <w:color w:val="auto"/>
                      <w:sz w:val="21"/>
                      <w:szCs w:val="21"/>
                    </w:rPr>
                    <w:t>固废产生环节</w:t>
                  </w:r>
                </w:p>
              </w:tc>
              <w:tc>
                <w:tcPr>
                  <w:tcW w:w="1092" w:type="dxa"/>
                  <w:vAlign w:val="center"/>
                </w:tcPr>
                <w:p w14:paraId="12506733">
                  <w:pPr>
                    <w:widowControl/>
                    <w:jc w:val="center"/>
                    <w:textAlignment w:val="center"/>
                    <w:rPr>
                      <w:color w:val="auto"/>
                      <w:sz w:val="21"/>
                      <w:szCs w:val="21"/>
                    </w:rPr>
                  </w:pPr>
                  <w:r>
                    <w:rPr>
                      <w:b/>
                      <w:bCs/>
                      <w:color w:val="auto"/>
                      <w:sz w:val="21"/>
                      <w:szCs w:val="21"/>
                    </w:rPr>
                    <w:t>固废名称</w:t>
                  </w:r>
                </w:p>
              </w:tc>
              <w:tc>
                <w:tcPr>
                  <w:tcW w:w="958" w:type="dxa"/>
                  <w:vAlign w:val="center"/>
                </w:tcPr>
                <w:p w14:paraId="091DC0B3">
                  <w:pPr>
                    <w:widowControl/>
                    <w:jc w:val="center"/>
                    <w:textAlignment w:val="center"/>
                    <w:rPr>
                      <w:color w:val="auto"/>
                      <w:sz w:val="21"/>
                      <w:szCs w:val="21"/>
                    </w:rPr>
                  </w:pPr>
                  <w:r>
                    <w:rPr>
                      <w:b/>
                      <w:bCs/>
                      <w:color w:val="auto"/>
                      <w:sz w:val="21"/>
                      <w:szCs w:val="21"/>
                    </w:rPr>
                    <w:t>固废属性</w:t>
                  </w:r>
                </w:p>
              </w:tc>
              <w:tc>
                <w:tcPr>
                  <w:tcW w:w="1313" w:type="dxa"/>
                  <w:vAlign w:val="center"/>
                </w:tcPr>
                <w:p w14:paraId="2964E367">
                  <w:pPr>
                    <w:widowControl/>
                    <w:jc w:val="center"/>
                    <w:textAlignment w:val="center"/>
                    <w:rPr>
                      <w:color w:val="auto"/>
                      <w:sz w:val="21"/>
                      <w:szCs w:val="21"/>
                    </w:rPr>
                  </w:pPr>
                  <w:r>
                    <w:rPr>
                      <w:b/>
                      <w:bCs/>
                      <w:color w:val="auto"/>
                      <w:sz w:val="21"/>
                      <w:szCs w:val="21"/>
                    </w:rPr>
                    <w:t>代码</w:t>
                  </w:r>
                </w:p>
              </w:tc>
              <w:tc>
                <w:tcPr>
                  <w:tcW w:w="779" w:type="dxa"/>
                  <w:vAlign w:val="center"/>
                </w:tcPr>
                <w:p w14:paraId="5FDE9CE9">
                  <w:pPr>
                    <w:pStyle w:val="7"/>
                    <w:ind w:left="0" w:firstLine="0"/>
                    <w:jc w:val="center"/>
                    <w:rPr>
                      <w:color w:val="auto"/>
                      <w:sz w:val="21"/>
                      <w:szCs w:val="21"/>
                    </w:rPr>
                  </w:pPr>
                  <w:r>
                    <w:rPr>
                      <w:b/>
                      <w:bCs/>
                      <w:color w:val="auto"/>
                      <w:sz w:val="21"/>
                      <w:szCs w:val="21"/>
                    </w:rPr>
                    <w:t>物理性状</w:t>
                  </w:r>
                </w:p>
              </w:tc>
              <w:tc>
                <w:tcPr>
                  <w:tcW w:w="907" w:type="dxa"/>
                  <w:vAlign w:val="center"/>
                </w:tcPr>
                <w:p w14:paraId="37E9B271">
                  <w:pPr>
                    <w:pStyle w:val="7"/>
                    <w:ind w:left="0" w:firstLine="0"/>
                    <w:jc w:val="center"/>
                    <w:rPr>
                      <w:color w:val="auto"/>
                      <w:sz w:val="21"/>
                      <w:szCs w:val="21"/>
                    </w:rPr>
                  </w:pPr>
                  <w:r>
                    <w:rPr>
                      <w:b/>
                      <w:bCs/>
                      <w:color w:val="auto"/>
                      <w:sz w:val="21"/>
                      <w:szCs w:val="21"/>
                    </w:rPr>
                    <w:t>产生量t/a</w:t>
                  </w:r>
                </w:p>
              </w:tc>
              <w:tc>
                <w:tcPr>
                  <w:tcW w:w="1116" w:type="dxa"/>
                  <w:vAlign w:val="center"/>
                </w:tcPr>
                <w:p w14:paraId="2C2C81BF">
                  <w:pPr>
                    <w:widowControl/>
                    <w:jc w:val="center"/>
                    <w:textAlignment w:val="center"/>
                    <w:rPr>
                      <w:color w:val="auto"/>
                      <w:sz w:val="21"/>
                      <w:szCs w:val="21"/>
                    </w:rPr>
                  </w:pPr>
                  <w:r>
                    <w:rPr>
                      <w:b/>
                      <w:bCs/>
                      <w:color w:val="auto"/>
                      <w:sz w:val="21"/>
                      <w:szCs w:val="21"/>
                    </w:rPr>
                    <w:t>贮存方式</w:t>
                  </w:r>
                </w:p>
              </w:tc>
              <w:tc>
                <w:tcPr>
                  <w:tcW w:w="1402" w:type="dxa"/>
                  <w:vAlign w:val="center"/>
                </w:tcPr>
                <w:p w14:paraId="4440D7C8">
                  <w:pPr>
                    <w:widowControl/>
                    <w:jc w:val="center"/>
                    <w:textAlignment w:val="center"/>
                    <w:rPr>
                      <w:color w:val="auto"/>
                      <w:sz w:val="21"/>
                      <w:szCs w:val="21"/>
                    </w:rPr>
                  </w:pPr>
                  <w:r>
                    <w:rPr>
                      <w:b/>
                      <w:bCs/>
                      <w:color w:val="auto"/>
                      <w:sz w:val="21"/>
                      <w:szCs w:val="21"/>
                    </w:rPr>
                    <w:t>利用处置方式和去向</w:t>
                  </w:r>
                </w:p>
              </w:tc>
            </w:tr>
            <w:tr w14:paraId="2C2DA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vAlign w:val="center"/>
                </w:tcPr>
                <w:p w14:paraId="5CC364B7">
                  <w:pPr>
                    <w:widowControl/>
                    <w:jc w:val="center"/>
                    <w:textAlignment w:val="center"/>
                    <w:rPr>
                      <w:color w:val="auto"/>
                      <w:sz w:val="21"/>
                      <w:szCs w:val="21"/>
                    </w:rPr>
                  </w:pPr>
                  <w:r>
                    <w:rPr>
                      <w:rFonts w:hint="eastAsia"/>
                      <w:color w:val="auto"/>
                      <w:kern w:val="0"/>
                      <w:sz w:val="21"/>
                      <w:szCs w:val="21"/>
                      <w:lang w:bidi="ar"/>
                    </w:rPr>
                    <w:t>员工生活</w:t>
                  </w:r>
                </w:p>
              </w:tc>
              <w:tc>
                <w:tcPr>
                  <w:tcW w:w="1092" w:type="dxa"/>
                  <w:vAlign w:val="center"/>
                </w:tcPr>
                <w:p w14:paraId="02278FA0">
                  <w:pPr>
                    <w:widowControl/>
                    <w:jc w:val="center"/>
                    <w:textAlignment w:val="center"/>
                    <w:rPr>
                      <w:color w:val="auto"/>
                      <w:sz w:val="21"/>
                      <w:szCs w:val="21"/>
                    </w:rPr>
                  </w:pPr>
                  <w:r>
                    <w:rPr>
                      <w:rFonts w:hint="eastAsia"/>
                      <w:color w:val="auto"/>
                      <w:kern w:val="0"/>
                      <w:sz w:val="21"/>
                      <w:szCs w:val="21"/>
                      <w:lang w:bidi="ar"/>
                    </w:rPr>
                    <w:t>生活垃圾</w:t>
                  </w:r>
                </w:p>
              </w:tc>
              <w:tc>
                <w:tcPr>
                  <w:tcW w:w="958" w:type="dxa"/>
                  <w:vAlign w:val="center"/>
                </w:tcPr>
                <w:p w14:paraId="273E127D">
                  <w:pPr>
                    <w:widowControl/>
                    <w:jc w:val="center"/>
                    <w:textAlignment w:val="center"/>
                    <w:rPr>
                      <w:color w:val="auto"/>
                      <w:sz w:val="21"/>
                      <w:szCs w:val="21"/>
                    </w:rPr>
                  </w:pPr>
                  <w:r>
                    <w:rPr>
                      <w:rFonts w:hint="eastAsia"/>
                      <w:color w:val="auto"/>
                      <w:kern w:val="0"/>
                      <w:sz w:val="21"/>
                      <w:szCs w:val="21"/>
                      <w:lang w:bidi="ar"/>
                    </w:rPr>
                    <w:t>生活垃圾</w:t>
                  </w:r>
                </w:p>
              </w:tc>
              <w:tc>
                <w:tcPr>
                  <w:tcW w:w="1313" w:type="dxa"/>
                  <w:vAlign w:val="center"/>
                </w:tcPr>
                <w:p w14:paraId="3735093C">
                  <w:pPr>
                    <w:widowControl/>
                    <w:jc w:val="center"/>
                    <w:textAlignment w:val="center"/>
                    <w:rPr>
                      <w:color w:val="auto"/>
                      <w:sz w:val="21"/>
                      <w:szCs w:val="21"/>
                    </w:rPr>
                  </w:pPr>
                  <w:r>
                    <w:rPr>
                      <w:color w:val="auto"/>
                      <w:sz w:val="21"/>
                      <w:szCs w:val="21"/>
                    </w:rPr>
                    <w:t>900-099-S64</w:t>
                  </w:r>
                </w:p>
              </w:tc>
              <w:tc>
                <w:tcPr>
                  <w:tcW w:w="779" w:type="dxa"/>
                  <w:vAlign w:val="center"/>
                </w:tcPr>
                <w:p w14:paraId="4915B2C0">
                  <w:pPr>
                    <w:widowControl/>
                    <w:jc w:val="center"/>
                    <w:textAlignment w:val="center"/>
                    <w:rPr>
                      <w:color w:val="auto"/>
                      <w:sz w:val="21"/>
                      <w:szCs w:val="21"/>
                    </w:rPr>
                  </w:pPr>
                  <w:r>
                    <w:rPr>
                      <w:rFonts w:hint="eastAsia"/>
                      <w:color w:val="auto"/>
                      <w:sz w:val="21"/>
                      <w:szCs w:val="21"/>
                    </w:rPr>
                    <w:t>固态</w:t>
                  </w:r>
                </w:p>
              </w:tc>
              <w:tc>
                <w:tcPr>
                  <w:tcW w:w="907" w:type="dxa"/>
                  <w:vAlign w:val="center"/>
                </w:tcPr>
                <w:p w14:paraId="6EB35983">
                  <w:pPr>
                    <w:widowControl/>
                    <w:jc w:val="center"/>
                    <w:textAlignment w:val="center"/>
                    <w:rPr>
                      <w:rFonts w:hint="default" w:eastAsia="宋体"/>
                      <w:color w:val="auto"/>
                      <w:sz w:val="21"/>
                      <w:szCs w:val="21"/>
                      <w:lang w:val="en-US" w:eastAsia="zh-CN"/>
                    </w:rPr>
                  </w:pPr>
                  <w:r>
                    <w:rPr>
                      <w:rFonts w:hint="eastAsia"/>
                      <w:color w:val="auto"/>
                      <w:sz w:val="21"/>
                      <w:szCs w:val="21"/>
                      <w:lang w:val="en-US" w:eastAsia="zh-CN"/>
                    </w:rPr>
                    <w:t>2.015</w:t>
                  </w:r>
                </w:p>
              </w:tc>
              <w:tc>
                <w:tcPr>
                  <w:tcW w:w="1116" w:type="dxa"/>
                  <w:vAlign w:val="center"/>
                </w:tcPr>
                <w:p w14:paraId="708BE9F3">
                  <w:pPr>
                    <w:widowControl/>
                    <w:jc w:val="center"/>
                    <w:textAlignment w:val="center"/>
                    <w:rPr>
                      <w:color w:val="auto"/>
                      <w:sz w:val="21"/>
                      <w:szCs w:val="21"/>
                    </w:rPr>
                  </w:pPr>
                  <w:r>
                    <w:rPr>
                      <w:rFonts w:hint="eastAsia"/>
                      <w:color w:val="auto"/>
                      <w:kern w:val="0"/>
                      <w:sz w:val="21"/>
                      <w:szCs w:val="21"/>
                      <w:lang w:bidi="ar"/>
                    </w:rPr>
                    <w:t>垃圾桶</w:t>
                  </w:r>
                </w:p>
              </w:tc>
              <w:tc>
                <w:tcPr>
                  <w:tcW w:w="1402" w:type="dxa"/>
                  <w:vAlign w:val="center"/>
                </w:tcPr>
                <w:p w14:paraId="201B9F1C">
                  <w:pPr>
                    <w:widowControl/>
                    <w:jc w:val="center"/>
                    <w:textAlignment w:val="center"/>
                    <w:rPr>
                      <w:color w:val="auto"/>
                      <w:sz w:val="21"/>
                      <w:szCs w:val="21"/>
                    </w:rPr>
                  </w:pPr>
                  <w:r>
                    <w:rPr>
                      <w:color w:val="auto"/>
                      <w:sz w:val="21"/>
                      <w:szCs w:val="21"/>
                    </w:rPr>
                    <w:t>环卫部门清运</w:t>
                  </w:r>
                </w:p>
              </w:tc>
            </w:tr>
            <w:tr w14:paraId="6D102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vAlign w:val="center"/>
                </w:tcPr>
                <w:p w14:paraId="77E8EAFB">
                  <w:pPr>
                    <w:widowControl/>
                    <w:jc w:val="center"/>
                    <w:textAlignment w:val="center"/>
                    <w:rPr>
                      <w:color w:val="auto"/>
                      <w:sz w:val="21"/>
                      <w:szCs w:val="21"/>
                    </w:rPr>
                  </w:pPr>
                  <w:r>
                    <w:rPr>
                      <w:rFonts w:hint="eastAsia"/>
                      <w:color w:val="auto"/>
                      <w:sz w:val="21"/>
                      <w:szCs w:val="21"/>
                    </w:rPr>
                    <w:t>生产</w:t>
                  </w:r>
                </w:p>
              </w:tc>
              <w:tc>
                <w:tcPr>
                  <w:tcW w:w="1092" w:type="dxa"/>
                  <w:vAlign w:val="center"/>
                </w:tcPr>
                <w:p w14:paraId="317B5CE1">
                  <w:pPr>
                    <w:widowControl/>
                    <w:jc w:val="center"/>
                    <w:textAlignment w:val="center"/>
                    <w:rPr>
                      <w:rFonts w:hint="default" w:eastAsia="宋体"/>
                      <w:color w:val="auto"/>
                      <w:sz w:val="21"/>
                      <w:szCs w:val="21"/>
                      <w:lang w:val="en-US" w:eastAsia="zh-CN"/>
                    </w:rPr>
                  </w:pPr>
                  <w:r>
                    <w:rPr>
                      <w:rFonts w:hint="eastAsia"/>
                      <w:color w:val="auto"/>
                      <w:sz w:val="21"/>
                      <w:szCs w:val="21"/>
                      <w:lang w:val="en-US" w:eastAsia="zh-CN"/>
                    </w:rPr>
                    <w:t>废包装材料</w:t>
                  </w:r>
                </w:p>
              </w:tc>
              <w:tc>
                <w:tcPr>
                  <w:tcW w:w="958" w:type="dxa"/>
                  <w:vMerge w:val="restart"/>
                  <w:vAlign w:val="center"/>
                </w:tcPr>
                <w:p w14:paraId="27BE8596">
                  <w:pPr>
                    <w:widowControl/>
                    <w:jc w:val="center"/>
                    <w:textAlignment w:val="center"/>
                    <w:rPr>
                      <w:color w:val="auto"/>
                      <w:sz w:val="21"/>
                      <w:szCs w:val="21"/>
                    </w:rPr>
                  </w:pPr>
                  <w:r>
                    <w:rPr>
                      <w:rFonts w:hint="eastAsia"/>
                      <w:color w:val="auto"/>
                      <w:sz w:val="21"/>
                      <w:szCs w:val="21"/>
                    </w:rPr>
                    <w:t>一般固体废物</w:t>
                  </w:r>
                </w:p>
              </w:tc>
              <w:tc>
                <w:tcPr>
                  <w:tcW w:w="1313" w:type="dxa"/>
                  <w:shd w:val="clear" w:color="auto" w:fill="auto"/>
                  <w:vAlign w:val="center"/>
                </w:tcPr>
                <w:p w14:paraId="35E65A35">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kern w:val="0"/>
                      <w:sz w:val="21"/>
                      <w:szCs w:val="21"/>
                      <w:lang w:val="en-US" w:eastAsia="zh-CN" w:bidi="ar"/>
                    </w:rPr>
                    <w:t>900-005-S17</w:t>
                  </w:r>
                </w:p>
              </w:tc>
              <w:tc>
                <w:tcPr>
                  <w:tcW w:w="779" w:type="dxa"/>
                  <w:vAlign w:val="center"/>
                </w:tcPr>
                <w:p w14:paraId="796F86F9">
                  <w:pPr>
                    <w:widowControl/>
                    <w:jc w:val="center"/>
                    <w:textAlignment w:val="center"/>
                    <w:rPr>
                      <w:color w:val="auto"/>
                      <w:sz w:val="21"/>
                      <w:szCs w:val="21"/>
                    </w:rPr>
                  </w:pPr>
                  <w:r>
                    <w:rPr>
                      <w:rFonts w:hint="eastAsia"/>
                      <w:color w:val="auto"/>
                      <w:sz w:val="21"/>
                      <w:szCs w:val="21"/>
                    </w:rPr>
                    <w:t>固态</w:t>
                  </w:r>
                </w:p>
              </w:tc>
              <w:tc>
                <w:tcPr>
                  <w:tcW w:w="907" w:type="dxa"/>
                  <w:vAlign w:val="center"/>
                </w:tcPr>
                <w:p w14:paraId="4FEC3E5D">
                  <w:pPr>
                    <w:widowControl/>
                    <w:jc w:val="center"/>
                    <w:textAlignment w:val="center"/>
                    <w:rPr>
                      <w:rFonts w:hint="default" w:eastAsia="宋体"/>
                      <w:color w:val="auto"/>
                      <w:sz w:val="21"/>
                      <w:szCs w:val="21"/>
                      <w:lang w:val="en-US" w:eastAsia="zh-CN"/>
                    </w:rPr>
                  </w:pPr>
                  <w:r>
                    <w:rPr>
                      <w:rFonts w:hint="eastAsia"/>
                      <w:color w:val="auto"/>
                      <w:kern w:val="0"/>
                      <w:sz w:val="21"/>
                      <w:szCs w:val="21"/>
                      <w:lang w:val="en-US" w:eastAsia="zh-CN" w:bidi="ar"/>
                    </w:rPr>
                    <w:t>0.5</w:t>
                  </w:r>
                </w:p>
              </w:tc>
              <w:tc>
                <w:tcPr>
                  <w:tcW w:w="1116" w:type="dxa"/>
                  <w:vMerge w:val="restart"/>
                  <w:vAlign w:val="center"/>
                </w:tcPr>
                <w:p w14:paraId="70D5A230">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一般固废暂存间</w:t>
                  </w:r>
                </w:p>
              </w:tc>
              <w:tc>
                <w:tcPr>
                  <w:tcW w:w="1402" w:type="dxa"/>
                  <w:vAlign w:val="center"/>
                </w:tcPr>
                <w:p w14:paraId="51250518">
                  <w:pPr>
                    <w:widowControl/>
                    <w:jc w:val="center"/>
                    <w:textAlignment w:val="center"/>
                    <w:rPr>
                      <w:rFonts w:hint="default" w:eastAsia="宋体"/>
                      <w:color w:val="auto"/>
                      <w:sz w:val="21"/>
                      <w:szCs w:val="21"/>
                      <w:lang w:val="en-US" w:eastAsia="zh-CN"/>
                    </w:rPr>
                  </w:pPr>
                  <w:r>
                    <w:rPr>
                      <w:rFonts w:hint="eastAsia"/>
                      <w:color w:val="auto"/>
                      <w:sz w:val="21"/>
                      <w:szCs w:val="21"/>
                      <w:lang w:val="en-US" w:eastAsia="zh-CN"/>
                    </w:rPr>
                    <w:t>外售综合利用</w:t>
                  </w:r>
                </w:p>
              </w:tc>
            </w:tr>
            <w:tr w14:paraId="1138C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vAlign w:val="center"/>
                </w:tcPr>
                <w:p w14:paraId="1165D47C">
                  <w:pPr>
                    <w:widowControl/>
                    <w:jc w:val="center"/>
                    <w:textAlignment w:val="center"/>
                    <w:rPr>
                      <w:color w:val="auto"/>
                      <w:sz w:val="21"/>
                      <w:szCs w:val="21"/>
                    </w:rPr>
                  </w:pPr>
                  <w:r>
                    <w:rPr>
                      <w:rFonts w:hint="eastAsia"/>
                      <w:color w:val="auto"/>
                      <w:kern w:val="0"/>
                      <w:sz w:val="21"/>
                      <w:szCs w:val="21"/>
                      <w:lang w:bidi="ar"/>
                    </w:rPr>
                    <w:t>生产</w:t>
                  </w:r>
                </w:p>
              </w:tc>
              <w:tc>
                <w:tcPr>
                  <w:tcW w:w="1092" w:type="dxa"/>
                  <w:vAlign w:val="center"/>
                </w:tcPr>
                <w:p w14:paraId="7075422C">
                  <w:pPr>
                    <w:widowControl/>
                    <w:jc w:val="center"/>
                    <w:textAlignment w:val="center"/>
                    <w:rPr>
                      <w:rFonts w:hint="default" w:eastAsia="宋体"/>
                      <w:color w:val="auto"/>
                      <w:sz w:val="21"/>
                      <w:szCs w:val="21"/>
                      <w:lang w:val="en-US" w:eastAsia="zh-CN"/>
                    </w:rPr>
                  </w:pPr>
                  <w:r>
                    <w:rPr>
                      <w:rFonts w:hint="eastAsia" w:cs="Times New Roman"/>
                      <w:color w:val="auto"/>
                      <w:sz w:val="21"/>
                      <w:szCs w:val="21"/>
                      <w:highlight w:val="none"/>
                      <w:shd w:val="clear" w:color="auto" w:fill="auto"/>
                      <w:lang w:val="en-US" w:eastAsia="zh-CN"/>
                    </w:rPr>
                    <w:t>废边角料</w:t>
                  </w:r>
                </w:p>
              </w:tc>
              <w:tc>
                <w:tcPr>
                  <w:tcW w:w="958" w:type="dxa"/>
                  <w:vMerge w:val="continue"/>
                  <w:vAlign w:val="center"/>
                </w:tcPr>
                <w:p w14:paraId="3EDBB017">
                  <w:pPr>
                    <w:widowControl/>
                    <w:jc w:val="center"/>
                    <w:textAlignment w:val="center"/>
                    <w:rPr>
                      <w:color w:val="auto"/>
                      <w:sz w:val="21"/>
                      <w:szCs w:val="21"/>
                    </w:rPr>
                  </w:pPr>
                </w:p>
              </w:tc>
              <w:tc>
                <w:tcPr>
                  <w:tcW w:w="1313" w:type="dxa"/>
                  <w:vAlign w:val="center"/>
                </w:tcPr>
                <w:p w14:paraId="6C216872">
                  <w:pPr>
                    <w:widowControl/>
                    <w:jc w:val="center"/>
                    <w:textAlignment w:val="center"/>
                    <w:rPr>
                      <w:color w:val="auto"/>
                      <w:sz w:val="21"/>
                      <w:szCs w:val="21"/>
                    </w:rPr>
                  </w:pPr>
                  <w:r>
                    <w:rPr>
                      <w:rFonts w:hint="eastAsia"/>
                      <w:color w:val="auto"/>
                      <w:kern w:val="0"/>
                      <w:sz w:val="21"/>
                      <w:szCs w:val="21"/>
                      <w:lang w:val="en-US" w:eastAsia="zh-CN" w:bidi="ar"/>
                    </w:rPr>
                    <w:t>900-003-S17</w:t>
                  </w:r>
                </w:p>
              </w:tc>
              <w:tc>
                <w:tcPr>
                  <w:tcW w:w="779" w:type="dxa"/>
                  <w:vAlign w:val="center"/>
                </w:tcPr>
                <w:p w14:paraId="39F91E93">
                  <w:pPr>
                    <w:widowControl/>
                    <w:jc w:val="center"/>
                    <w:textAlignment w:val="center"/>
                    <w:rPr>
                      <w:color w:val="auto"/>
                      <w:sz w:val="21"/>
                      <w:szCs w:val="21"/>
                    </w:rPr>
                  </w:pPr>
                  <w:r>
                    <w:rPr>
                      <w:rFonts w:hint="eastAsia"/>
                      <w:color w:val="auto"/>
                      <w:sz w:val="21"/>
                      <w:szCs w:val="21"/>
                    </w:rPr>
                    <w:t>固态</w:t>
                  </w:r>
                </w:p>
              </w:tc>
              <w:tc>
                <w:tcPr>
                  <w:tcW w:w="907" w:type="dxa"/>
                  <w:vAlign w:val="center"/>
                </w:tcPr>
                <w:p w14:paraId="5BC0BC35">
                  <w:pPr>
                    <w:widowControl/>
                    <w:jc w:val="center"/>
                    <w:textAlignment w:val="center"/>
                    <w:rPr>
                      <w:rFonts w:hint="eastAsia" w:eastAsia="宋体"/>
                      <w:color w:val="auto"/>
                      <w:sz w:val="21"/>
                      <w:szCs w:val="21"/>
                      <w:lang w:val="en-US" w:eastAsia="zh-CN"/>
                    </w:rPr>
                  </w:pPr>
                  <w:r>
                    <w:rPr>
                      <w:rFonts w:hint="eastAsia"/>
                      <w:color w:val="auto"/>
                      <w:kern w:val="0"/>
                      <w:sz w:val="21"/>
                      <w:szCs w:val="21"/>
                      <w:lang w:bidi="ar"/>
                    </w:rPr>
                    <w:t>0.</w:t>
                  </w:r>
                  <w:r>
                    <w:rPr>
                      <w:rFonts w:hint="eastAsia"/>
                      <w:color w:val="auto"/>
                      <w:kern w:val="0"/>
                      <w:sz w:val="21"/>
                      <w:szCs w:val="21"/>
                      <w:lang w:val="en-US" w:eastAsia="zh-CN" w:bidi="ar"/>
                    </w:rPr>
                    <w:t>2</w:t>
                  </w:r>
                </w:p>
              </w:tc>
              <w:tc>
                <w:tcPr>
                  <w:tcW w:w="1116" w:type="dxa"/>
                  <w:vMerge w:val="continue"/>
                  <w:shd w:val="clear" w:color="auto" w:fill="auto"/>
                  <w:vAlign w:val="center"/>
                </w:tcPr>
                <w:p w14:paraId="4CC5F2A8">
                  <w:pPr>
                    <w:widowControl/>
                    <w:jc w:val="center"/>
                    <w:textAlignment w:val="center"/>
                    <w:rPr>
                      <w:rFonts w:ascii="Times New Roman" w:hAnsi="Times New Roman" w:eastAsia="宋体" w:cs="Times New Roman"/>
                      <w:color w:val="auto"/>
                      <w:kern w:val="2"/>
                      <w:sz w:val="21"/>
                      <w:szCs w:val="21"/>
                      <w:lang w:val="en-US" w:eastAsia="zh-CN" w:bidi="ar-SA"/>
                    </w:rPr>
                  </w:pPr>
                </w:p>
              </w:tc>
              <w:tc>
                <w:tcPr>
                  <w:tcW w:w="1402" w:type="dxa"/>
                  <w:shd w:val="clear" w:color="auto" w:fill="auto"/>
                  <w:vAlign w:val="center"/>
                </w:tcPr>
                <w:p w14:paraId="622B615F">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外售综合利用</w:t>
                  </w:r>
                </w:p>
              </w:tc>
            </w:tr>
          </w:tbl>
          <w:p w14:paraId="3939791D">
            <w:pPr>
              <w:jc w:val="center"/>
              <w:rPr>
                <w:b/>
                <w:bCs/>
                <w:color w:val="auto"/>
                <w:sz w:val="24"/>
                <w:lang w:val="zh-CN"/>
              </w:rPr>
            </w:pPr>
            <w:r>
              <w:rPr>
                <w:b/>
                <w:bCs/>
                <w:color w:val="auto"/>
                <w:sz w:val="24"/>
                <w:lang w:val="zh-CN"/>
              </w:rPr>
              <w:t>表4-1</w:t>
            </w:r>
            <w:r>
              <w:rPr>
                <w:rFonts w:hint="eastAsia"/>
                <w:b/>
                <w:bCs/>
                <w:color w:val="auto"/>
                <w:sz w:val="24"/>
                <w:lang w:val="en-US" w:eastAsia="zh-CN"/>
              </w:rPr>
              <w:t xml:space="preserve">7  </w:t>
            </w:r>
            <w:r>
              <w:rPr>
                <w:b/>
                <w:bCs/>
                <w:color w:val="auto"/>
                <w:sz w:val="24"/>
                <w:lang w:val="zh-CN"/>
              </w:rPr>
              <w:t>项目危险废物污染源产生、排放汇总表</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4"/>
              <w:gridCol w:w="974"/>
              <w:gridCol w:w="1297"/>
              <w:gridCol w:w="1084"/>
              <w:gridCol w:w="1437"/>
              <w:gridCol w:w="957"/>
              <w:gridCol w:w="667"/>
              <w:gridCol w:w="673"/>
              <w:gridCol w:w="917"/>
            </w:tblGrid>
            <w:tr w14:paraId="29557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 w:type="pct"/>
                  <w:vAlign w:val="center"/>
                </w:tcPr>
                <w:p w14:paraId="49C426CE">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b/>
                      <w:bCs/>
                      <w:color w:val="auto"/>
                      <w:sz w:val="21"/>
                      <w:szCs w:val="21"/>
                    </w:rPr>
                    <w:t>序号</w:t>
                  </w:r>
                </w:p>
              </w:tc>
              <w:tc>
                <w:tcPr>
                  <w:tcW w:w="591" w:type="pct"/>
                  <w:vAlign w:val="center"/>
                </w:tcPr>
                <w:p w14:paraId="4162F8E9">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b/>
                      <w:bCs/>
                      <w:color w:val="auto"/>
                      <w:sz w:val="21"/>
                      <w:szCs w:val="21"/>
                    </w:rPr>
                    <w:t>贮存场所（设施）名称</w:t>
                  </w:r>
                </w:p>
              </w:tc>
              <w:tc>
                <w:tcPr>
                  <w:tcW w:w="782" w:type="pct"/>
                  <w:vAlign w:val="center"/>
                </w:tcPr>
                <w:p w14:paraId="47DAD914">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b/>
                      <w:bCs/>
                      <w:color w:val="auto"/>
                      <w:sz w:val="21"/>
                      <w:szCs w:val="21"/>
                    </w:rPr>
                    <w:t>危险废物名称</w:t>
                  </w:r>
                </w:p>
              </w:tc>
              <w:tc>
                <w:tcPr>
                  <w:tcW w:w="656" w:type="pct"/>
                  <w:vAlign w:val="center"/>
                </w:tcPr>
                <w:p w14:paraId="7DEA2C4A">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b/>
                      <w:bCs/>
                      <w:color w:val="auto"/>
                      <w:sz w:val="21"/>
                      <w:szCs w:val="21"/>
                    </w:rPr>
                    <w:t>危废产生环节</w:t>
                  </w:r>
                </w:p>
              </w:tc>
              <w:tc>
                <w:tcPr>
                  <w:tcW w:w="789" w:type="pct"/>
                  <w:vAlign w:val="center"/>
                </w:tcPr>
                <w:p w14:paraId="20CC3C21">
                  <w:pPr>
                    <w:pStyle w:val="7"/>
                    <w:keepNext w:val="0"/>
                    <w:keepLines w:val="0"/>
                    <w:pageBreakBefore w:val="0"/>
                    <w:kinsoku/>
                    <w:wordWrap/>
                    <w:overflowPunct/>
                    <w:topLinePunct w:val="0"/>
                    <w:bidi w:val="0"/>
                    <w:snapToGrid/>
                    <w:spacing w:line="240" w:lineRule="auto"/>
                    <w:ind w:left="0" w:firstLine="0"/>
                    <w:jc w:val="center"/>
                    <w:rPr>
                      <w:color w:val="auto"/>
                      <w:sz w:val="21"/>
                      <w:szCs w:val="21"/>
                    </w:rPr>
                  </w:pPr>
                  <w:r>
                    <w:rPr>
                      <w:b/>
                      <w:bCs/>
                      <w:color w:val="auto"/>
                      <w:sz w:val="21"/>
                      <w:szCs w:val="21"/>
                    </w:rPr>
                    <w:t>危险废物代码</w:t>
                  </w:r>
                </w:p>
              </w:tc>
              <w:tc>
                <w:tcPr>
                  <w:tcW w:w="514" w:type="pct"/>
                  <w:vAlign w:val="center"/>
                </w:tcPr>
                <w:p w14:paraId="6859066D">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b/>
                      <w:bCs/>
                      <w:color w:val="auto"/>
                      <w:sz w:val="21"/>
                      <w:szCs w:val="21"/>
                    </w:rPr>
                    <w:t>产生量（t/a）</w:t>
                  </w:r>
                </w:p>
              </w:tc>
              <w:tc>
                <w:tcPr>
                  <w:tcW w:w="410" w:type="pct"/>
                  <w:vAlign w:val="center"/>
                </w:tcPr>
                <w:p w14:paraId="30B38570">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b/>
                      <w:bCs/>
                      <w:color w:val="auto"/>
                      <w:sz w:val="21"/>
                      <w:szCs w:val="21"/>
                    </w:rPr>
                    <w:t>物理状性</w:t>
                  </w:r>
                </w:p>
              </w:tc>
              <w:tc>
                <w:tcPr>
                  <w:tcW w:w="413" w:type="pct"/>
                  <w:vAlign w:val="center"/>
                </w:tcPr>
                <w:p w14:paraId="574A56F6">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b/>
                      <w:bCs/>
                      <w:color w:val="auto"/>
                      <w:sz w:val="21"/>
                      <w:szCs w:val="21"/>
                    </w:rPr>
                    <w:t>贮存周期</w:t>
                  </w:r>
                </w:p>
              </w:tc>
              <w:tc>
                <w:tcPr>
                  <w:tcW w:w="557" w:type="pct"/>
                  <w:vAlign w:val="center"/>
                </w:tcPr>
                <w:p w14:paraId="07ED7C80">
                  <w:pPr>
                    <w:keepNext w:val="0"/>
                    <w:keepLines w:val="0"/>
                    <w:pageBreakBefore w:val="0"/>
                    <w:widowControl/>
                    <w:kinsoku/>
                    <w:wordWrap/>
                    <w:overflowPunct/>
                    <w:topLinePunct w:val="0"/>
                    <w:bidi w:val="0"/>
                    <w:snapToGrid/>
                    <w:spacing w:line="240" w:lineRule="auto"/>
                    <w:jc w:val="center"/>
                    <w:textAlignment w:val="center"/>
                    <w:rPr>
                      <w:b/>
                      <w:bCs/>
                      <w:color w:val="auto"/>
                      <w:sz w:val="21"/>
                      <w:szCs w:val="21"/>
                    </w:rPr>
                  </w:pPr>
                  <w:r>
                    <w:rPr>
                      <w:b/>
                      <w:bCs/>
                      <w:color w:val="auto"/>
                      <w:sz w:val="21"/>
                      <w:szCs w:val="21"/>
                    </w:rPr>
                    <w:t>污染防治措施</w:t>
                  </w:r>
                </w:p>
              </w:tc>
            </w:tr>
            <w:tr w14:paraId="270A5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4" w:type="pct"/>
                  <w:vAlign w:val="center"/>
                </w:tcPr>
                <w:p w14:paraId="19D63BEE">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1</w:t>
                  </w:r>
                </w:p>
              </w:tc>
              <w:tc>
                <w:tcPr>
                  <w:tcW w:w="591" w:type="pct"/>
                  <w:vMerge w:val="restart"/>
                  <w:vAlign w:val="center"/>
                </w:tcPr>
                <w:p w14:paraId="3AFD1036">
                  <w:pPr>
                    <w:widowControl/>
                    <w:jc w:val="center"/>
                    <w:textAlignment w:val="center"/>
                    <w:rPr>
                      <w:color w:val="auto"/>
                      <w:sz w:val="24"/>
                    </w:rPr>
                  </w:pPr>
                  <w:r>
                    <w:rPr>
                      <w:rFonts w:hint="eastAsia"/>
                      <w:color w:val="auto"/>
                      <w:lang w:val="en-US" w:eastAsia="zh-CN"/>
                    </w:rPr>
                    <w:t>危废</w:t>
                  </w:r>
                  <w:r>
                    <w:rPr>
                      <w:color w:val="auto"/>
                    </w:rPr>
                    <w:t>暂存间</w:t>
                  </w:r>
                </w:p>
              </w:tc>
              <w:tc>
                <w:tcPr>
                  <w:tcW w:w="782" w:type="pct"/>
                  <w:vAlign w:val="center"/>
                </w:tcPr>
                <w:p w14:paraId="59B008DF">
                  <w:pPr>
                    <w:widowControl/>
                    <w:jc w:val="center"/>
                    <w:textAlignment w:val="center"/>
                    <w:rPr>
                      <w:color w:val="auto"/>
                      <w:szCs w:val="21"/>
                    </w:rPr>
                  </w:pPr>
                  <w:r>
                    <w:rPr>
                      <w:rFonts w:hint="eastAsia"/>
                      <w:color w:val="auto"/>
                      <w:szCs w:val="21"/>
                      <w:lang w:val="en-US" w:eastAsia="zh-CN"/>
                    </w:rPr>
                    <w:t>废活性炭</w:t>
                  </w:r>
                </w:p>
              </w:tc>
              <w:tc>
                <w:tcPr>
                  <w:tcW w:w="656" w:type="pct"/>
                  <w:vAlign w:val="center"/>
                </w:tcPr>
                <w:p w14:paraId="6D960BD1">
                  <w:pPr>
                    <w:widowControl/>
                    <w:jc w:val="center"/>
                    <w:textAlignment w:val="center"/>
                    <w:rPr>
                      <w:rFonts w:hint="default" w:eastAsia="宋体"/>
                      <w:color w:val="auto"/>
                      <w:szCs w:val="21"/>
                      <w:lang w:val="en-US" w:eastAsia="zh-CN"/>
                    </w:rPr>
                  </w:pPr>
                  <w:r>
                    <w:rPr>
                      <w:rFonts w:hint="eastAsia"/>
                      <w:color w:val="auto"/>
                      <w:szCs w:val="21"/>
                      <w:lang w:val="en-US" w:eastAsia="zh-CN"/>
                    </w:rPr>
                    <w:t>废气处理</w:t>
                  </w:r>
                </w:p>
              </w:tc>
              <w:tc>
                <w:tcPr>
                  <w:tcW w:w="789" w:type="pct"/>
                  <w:vAlign w:val="center"/>
                </w:tcPr>
                <w:p w14:paraId="7E8A2826">
                  <w:pPr>
                    <w:widowControl/>
                    <w:spacing w:line="240" w:lineRule="auto"/>
                    <w:ind w:firstLine="0" w:firstLineChars="0"/>
                    <w:jc w:val="center"/>
                    <w:rPr>
                      <w:color w:val="auto"/>
                      <w:sz w:val="21"/>
                      <w:szCs w:val="21"/>
                    </w:rPr>
                  </w:pPr>
                  <w:r>
                    <w:rPr>
                      <w:color w:val="auto"/>
                      <w:sz w:val="21"/>
                      <w:szCs w:val="21"/>
                      <w:lang w:bidi="ar"/>
                    </w:rPr>
                    <w:t>900-039-49</w:t>
                  </w:r>
                </w:p>
              </w:tc>
              <w:tc>
                <w:tcPr>
                  <w:tcW w:w="514" w:type="pct"/>
                  <w:vAlign w:val="center"/>
                </w:tcPr>
                <w:p w14:paraId="5F7BBB28">
                  <w:pPr>
                    <w:widowControl/>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1.874</w:t>
                  </w:r>
                </w:p>
              </w:tc>
              <w:tc>
                <w:tcPr>
                  <w:tcW w:w="410" w:type="pct"/>
                  <w:shd w:val="clear" w:color="auto" w:fill="auto"/>
                  <w:vAlign w:val="center"/>
                </w:tcPr>
                <w:p w14:paraId="1455C274">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固</w:t>
                  </w:r>
                  <w:r>
                    <w:rPr>
                      <w:color w:val="auto"/>
                      <w:szCs w:val="21"/>
                    </w:rPr>
                    <w:t>态</w:t>
                  </w:r>
                </w:p>
              </w:tc>
              <w:tc>
                <w:tcPr>
                  <w:tcW w:w="413" w:type="pct"/>
                  <w:vMerge w:val="restart"/>
                  <w:shd w:val="clear" w:color="auto" w:fill="auto"/>
                  <w:vAlign w:val="center"/>
                </w:tcPr>
                <w:p w14:paraId="6912C370">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12个月</w:t>
                  </w:r>
                </w:p>
              </w:tc>
              <w:tc>
                <w:tcPr>
                  <w:tcW w:w="943" w:type="dxa"/>
                  <w:vMerge w:val="restart"/>
                  <w:vAlign w:val="center"/>
                </w:tcPr>
                <w:p w14:paraId="6894FF03">
                  <w:pPr>
                    <w:pStyle w:val="5"/>
                    <w:spacing w:line="240" w:lineRule="auto"/>
                    <w:ind w:firstLine="0" w:firstLineChars="0"/>
                    <w:jc w:val="center"/>
                    <w:rPr>
                      <w:color w:val="auto"/>
                      <w:kern w:val="0"/>
                      <w:szCs w:val="21"/>
                      <w:lang w:bidi="ar"/>
                    </w:rPr>
                  </w:pPr>
                  <w:r>
                    <w:rPr>
                      <w:rFonts w:hint="eastAsia"/>
                      <w:color w:val="auto"/>
                      <w:sz w:val="21"/>
                      <w:szCs w:val="21"/>
                      <w:lang w:val="en-US" w:eastAsia="zh-CN"/>
                    </w:rPr>
                    <w:t>委托有资质的单位处理</w:t>
                  </w:r>
                </w:p>
              </w:tc>
            </w:tr>
            <w:tr w14:paraId="3CF66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4" w:type="pct"/>
                  <w:vAlign w:val="center"/>
                </w:tcPr>
                <w:p w14:paraId="35E49160">
                  <w:pPr>
                    <w:widowControl/>
                    <w:jc w:val="center"/>
                    <w:textAlignment w:val="center"/>
                    <w:rPr>
                      <w:rFonts w:hint="default"/>
                      <w:color w:val="auto"/>
                      <w:kern w:val="0"/>
                      <w:szCs w:val="21"/>
                      <w:lang w:val="en-US" w:eastAsia="zh-CN" w:bidi="ar"/>
                    </w:rPr>
                  </w:pPr>
                  <w:r>
                    <w:rPr>
                      <w:rFonts w:hint="eastAsia"/>
                      <w:color w:val="auto"/>
                      <w:kern w:val="0"/>
                      <w:szCs w:val="21"/>
                      <w:lang w:val="en-US" w:eastAsia="zh-CN" w:bidi="ar"/>
                    </w:rPr>
                    <w:t>2</w:t>
                  </w:r>
                </w:p>
              </w:tc>
              <w:tc>
                <w:tcPr>
                  <w:tcW w:w="591" w:type="pct"/>
                  <w:vMerge w:val="continue"/>
                  <w:vAlign w:val="center"/>
                </w:tcPr>
                <w:p w14:paraId="080C52CF">
                  <w:pPr>
                    <w:widowControl/>
                    <w:jc w:val="center"/>
                    <w:textAlignment w:val="center"/>
                    <w:rPr>
                      <w:rFonts w:hint="eastAsia"/>
                      <w:color w:val="auto"/>
                      <w:lang w:val="en-US" w:eastAsia="zh-CN"/>
                    </w:rPr>
                  </w:pPr>
                </w:p>
              </w:tc>
              <w:tc>
                <w:tcPr>
                  <w:tcW w:w="782" w:type="pct"/>
                  <w:vAlign w:val="center"/>
                </w:tcPr>
                <w:p w14:paraId="7593B0B6">
                  <w:pPr>
                    <w:widowControl/>
                    <w:jc w:val="center"/>
                    <w:textAlignment w:val="center"/>
                    <w:rPr>
                      <w:rFonts w:hint="default"/>
                      <w:color w:val="auto"/>
                      <w:szCs w:val="21"/>
                      <w:lang w:val="en-US" w:eastAsia="zh-CN"/>
                    </w:rPr>
                  </w:pPr>
                  <w:r>
                    <w:rPr>
                      <w:rFonts w:hint="eastAsia"/>
                      <w:color w:val="auto"/>
                      <w:szCs w:val="21"/>
                      <w:lang w:val="en-US" w:eastAsia="zh-CN"/>
                    </w:rPr>
                    <w:t>废包装桶</w:t>
                  </w:r>
                </w:p>
              </w:tc>
              <w:tc>
                <w:tcPr>
                  <w:tcW w:w="656" w:type="pct"/>
                  <w:vAlign w:val="center"/>
                </w:tcPr>
                <w:p w14:paraId="3FFDE0A0">
                  <w:pPr>
                    <w:widowControl/>
                    <w:jc w:val="center"/>
                    <w:textAlignment w:val="center"/>
                    <w:rPr>
                      <w:rFonts w:hint="default"/>
                      <w:color w:val="auto"/>
                      <w:szCs w:val="21"/>
                      <w:lang w:val="en-US" w:eastAsia="zh-CN"/>
                    </w:rPr>
                  </w:pPr>
                  <w:r>
                    <w:rPr>
                      <w:rFonts w:hint="eastAsia"/>
                      <w:color w:val="auto"/>
                      <w:szCs w:val="21"/>
                      <w:lang w:val="en-US" w:eastAsia="zh-CN"/>
                    </w:rPr>
                    <w:t>印刷生产需求</w:t>
                  </w:r>
                </w:p>
              </w:tc>
              <w:tc>
                <w:tcPr>
                  <w:tcW w:w="789" w:type="pct"/>
                  <w:shd w:val="clear" w:color="auto" w:fill="auto"/>
                  <w:vAlign w:val="center"/>
                </w:tcPr>
                <w:p w14:paraId="60179265">
                  <w:pPr>
                    <w:widowControl/>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lang w:bidi="ar"/>
                    </w:rPr>
                    <w:t>900-0</w:t>
                  </w:r>
                  <w:r>
                    <w:rPr>
                      <w:rFonts w:hint="eastAsia"/>
                      <w:color w:val="auto"/>
                      <w:sz w:val="21"/>
                      <w:szCs w:val="21"/>
                      <w:lang w:val="en-US" w:eastAsia="zh-CN" w:bidi="ar"/>
                    </w:rPr>
                    <w:t>41</w:t>
                  </w:r>
                  <w:r>
                    <w:rPr>
                      <w:color w:val="auto"/>
                      <w:sz w:val="21"/>
                      <w:szCs w:val="21"/>
                      <w:lang w:bidi="ar"/>
                    </w:rPr>
                    <w:t>-49</w:t>
                  </w:r>
                </w:p>
              </w:tc>
              <w:tc>
                <w:tcPr>
                  <w:tcW w:w="514" w:type="pct"/>
                  <w:vAlign w:val="center"/>
                </w:tcPr>
                <w:p w14:paraId="51F13788">
                  <w:pPr>
                    <w:widowControl/>
                    <w:jc w:val="center"/>
                    <w:textAlignment w:val="center"/>
                    <w:rPr>
                      <w:rFonts w:hint="default"/>
                      <w:color w:val="auto"/>
                      <w:kern w:val="0"/>
                      <w:szCs w:val="21"/>
                      <w:lang w:val="en-US" w:eastAsia="zh-CN" w:bidi="ar"/>
                    </w:rPr>
                  </w:pPr>
                  <w:r>
                    <w:rPr>
                      <w:rFonts w:hint="eastAsia"/>
                      <w:color w:val="auto"/>
                      <w:kern w:val="0"/>
                      <w:szCs w:val="21"/>
                      <w:lang w:val="en-US" w:eastAsia="zh-CN" w:bidi="ar"/>
                    </w:rPr>
                    <w:t>0.426</w:t>
                  </w:r>
                </w:p>
              </w:tc>
              <w:tc>
                <w:tcPr>
                  <w:tcW w:w="410" w:type="pct"/>
                  <w:shd w:val="clear" w:color="auto" w:fill="auto"/>
                  <w:vAlign w:val="center"/>
                </w:tcPr>
                <w:p w14:paraId="6868D09E">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固</w:t>
                  </w:r>
                  <w:r>
                    <w:rPr>
                      <w:color w:val="auto"/>
                      <w:sz w:val="21"/>
                      <w:szCs w:val="21"/>
                    </w:rPr>
                    <w:t>态</w:t>
                  </w:r>
                </w:p>
              </w:tc>
              <w:tc>
                <w:tcPr>
                  <w:tcW w:w="413" w:type="pct"/>
                  <w:vMerge w:val="continue"/>
                  <w:shd w:val="clear" w:color="auto" w:fill="auto"/>
                  <w:vAlign w:val="center"/>
                </w:tcPr>
                <w:p w14:paraId="26598297">
                  <w:pPr>
                    <w:widowControl/>
                    <w:jc w:val="center"/>
                    <w:textAlignment w:val="center"/>
                    <w:rPr>
                      <w:rFonts w:hint="eastAsia"/>
                      <w:color w:val="auto"/>
                      <w:szCs w:val="21"/>
                      <w:lang w:val="en-US" w:eastAsia="zh-CN"/>
                    </w:rPr>
                  </w:pPr>
                </w:p>
              </w:tc>
              <w:tc>
                <w:tcPr>
                  <w:tcW w:w="557" w:type="pct"/>
                  <w:vMerge w:val="continue"/>
                  <w:vAlign w:val="center"/>
                </w:tcPr>
                <w:p w14:paraId="3F17F1D5">
                  <w:pPr>
                    <w:widowControl/>
                    <w:jc w:val="center"/>
                    <w:textAlignment w:val="center"/>
                    <w:rPr>
                      <w:color w:val="auto"/>
                      <w:szCs w:val="21"/>
                    </w:rPr>
                  </w:pPr>
                </w:p>
              </w:tc>
            </w:tr>
            <w:tr w14:paraId="12011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4" w:type="pct"/>
                  <w:vAlign w:val="center"/>
                </w:tcPr>
                <w:p w14:paraId="397FCA11">
                  <w:pPr>
                    <w:widowControl/>
                    <w:jc w:val="center"/>
                    <w:textAlignment w:val="center"/>
                    <w:rPr>
                      <w:rFonts w:hint="eastAsia" w:eastAsia="宋体"/>
                      <w:color w:val="auto"/>
                      <w:sz w:val="24"/>
                      <w:lang w:eastAsia="zh-CN"/>
                    </w:rPr>
                  </w:pPr>
                  <w:r>
                    <w:rPr>
                      <w:rFonts w:hint="eastAsia"/>
                      <w:color w:val="auto"/>
                      <w:kern w:val="0"/>
                      <w:szCs w:val="21"/>
                      <w:lang w:val="en-US" w:eastAsia="zh-CN" w:bidi="ar"/>
                    </w:rPr>
                    <w:t>3</w:t>
                  </w:r>
                </w:p>
              </w:tc>
              <w:tc>
                <w:tcPr>
                  <w:tcW w:w="591" w:type="pct"/>
                  <w:vMerge w:val="continue"/>
                  <w:vAlign w:val="center"/>
                </w:tcPr>
                <w:p w14:paraId="5504D3B0">
                  <w:pPr>
                    <w:widowControl/>
                    <w:jc w:val="center"/>
                    <w:textAlignment w:val="center"/>
                    <w:rPr>
                      <w:color w:val="auto"/>
                      <w:sz w:val="24"/>
                    </w:rPr>
                  </w:pPr>
                </w:p>
              </w:tc>
              <w:tc>
                <w:tcPr>
                  <w:tcW w:w="782" w:type="pct"/>
                  <w:vAlign w:val="center"/>
                </w:tcPr>
                <w:p w14:paraId="3A847D5B">
                  <w:pPr>
                    <w:widowControl/>
                    <w:jc w:val="center"/>
                    <w:textAlignment w:val="center"/>
                    <w:rPr>
                      <w:rFonts w:hint="default" w:eastAsia="宋体"/>
                      <w:color w:val="auto"/>
                      <w:szCs w:val="21"/>
                      <w:lang w:val="en-US" w:eastAsia="zh-CN"/>
                    </w:rPr>
                  </w:pPr>
                  <w:r>
                    <w:rPr>
                      <w:rFonts w:hint="eastAsia"/>
                      <w:color w:val="auto"/>
                      <w:szCs w:val="21"/>
                      <w:lang w:val="en-US" w:eastAsia="zh-CN"/>
                    </w:rPr>
                    <w:t>废润滑油</w:t>
                  </w:r>
                </w:p>
              </w:tc>
              <w:tc>
                <w:tcPr>
                  <w:tcW w:w="656" w:type="pct"/>
                  <w:vAlign w:val="center"/>
                </w:tcPr>
                <w:p w14:paraId="15505ED7">
                  <w:pPr>
                    <w:widowControl/>
                    <w:jc w:val="center"/>
                    <w:textAlignment w:val="center"/>
                    <w:rPr>
                      <w:rFonts w:hint="default" w:eastAsia="宋体"/>
                      <w:color w:val="auto"/>
                      <w:szCs w:val="21"/>
                      <w:lang w:val="en-US" w:eastAsia="zh-CN"/>
                    </w:rPr>
                  </w:pPr>
                  <w:r>
                    <w:rPr>
                      <w:rFonts w:hint="eastAsia"/>
                      <w:color w:val="auto"/>
                      <w:szCs w:val="21"/>
                      <w:lang w:val="en-US" w:eastAsia="zh-CN"/>
                    </w:rPr>
                    <w:t>机械保养</w:t>
                  </w:r>
                </w:p>
              </w:tc>
              <w:tc>
                <w:tcPr>
                  <w:tcW w:w="789" w:type="pct"/>
                  <w:vAlign w:val="center"/>
                </w:tcPr>
                <w:p w14:paraId="33EB63D2">
                  <w:pPr>
                    <w:widowControl/>
                    <w:spacing w:line="240" w:lineRule="auto"/>
                    <w:ind w:firstLine="0" w:firstLineChars="0"/>
                    <w:jc w:val="center"/>
                    <w:rPr>
                      <w:rFonts w:hint="default" w:ascii="Times New Roman" w:hAnsi="Times New Roman" w:eastAsia="宋体" w:cs="Times New Roman"/>
                      <w:color w:val="auto"/>
                      <w:sz w:val="21"/>
                      <w:szCs w:val="21"/>
                      <w:lang w:val="en-US" w:eastAsia="zh-CN"/>
                    </w:rPr>
                  </w:pPr>
                  <w:r>
                    <w:rPr>
                      <w:color w:val="auto"/>
                      <w:sz w:val="21"/>
                      <w:szCs w:val="21"/>
                      <w:lang w:bidi="ar"/>
                    </w:rPr>
                    <w:t>900-</w:t>
                  </w:r>
                  <w:r>
                    <w:rPr>
                      <w:rFonts w:hint="eastAsia"/>
                      <w:color w:val="auto"/>
                      <w:sz w:val="21"/>
                      <w:szCs w:val="21"/>
                      <w:lang w:val="en-US" w:eastAsia="zh-CN" w:bidi="ar"/>
                    </w:rPr>
                    <w:t>217</w:t>
                  </w:r>
                  <w:r>
                    <w:rPr>
                      <w:color w:val="auto"/>
                      <w:sz w:val="21"/>
                      <w:szCs w:val="21"/>
                      <w:lang w:bidi="ar"/>
                    </w:rPr>
                    <w:t>-</w:t>
                  </w:r>
                  <w:r>
                    <w:rPr>
                      <w:rFonts w:hint="eastAsia"/>
                      <w:color w:val="auto"/>
                      <w:sz w:val="21"/>
                      <w:szCs w:val="21"/>
                      <w:lang w:val="en-US" w:eastAsia="zh-CN" w:bidi="ar"/>
                    </w:rPr>
                    <w:t>08</w:t>
                  </w:r>
                </w:p>
              </w:tc>
              <w:tc>
                <w:tcPr>
                  <w:tcW w:w="514" w:type="pct"/>
                  <w:vAlign w:val="center"/>
                </w:tcPr>
                <w:p w14:paraId="7895BC62">
                  <w:pPr>
                    <w:widowControl/>
                    <w:jc w:val="center"/>
                    <w:textAlignment w:val="center"/>
                    <w:rPr>
                      <w:rFonts w:hint="default" w:eastAsia="宋体"/>
                      <w:color w:val="auto"/>
                      <w:sz w:val="21"/>
                      <w:szCs w:val="21"/>
                      <w:lang w:val="en-US" w:eastAsia="zh-CN"/>
                    </w:rPr>
                  </w:pPr>
                  <w:r>
                    <w:rPr>
                      <w:rFonts w:hint="eastAsia" w:cs="Times New Roman"/>
                      <w:bCs/>
                      <w:color w:val="auto"/>
                      <w:sz w:val="21"/>
                      <w:szCs w:val="21"/>
                      <w:lang w:val="en-US" w:eastAsia="zh-CN"/>
                    </w:rPr>
                    <w:t>0.02</w:t>
                  </w:r>
                </w:p>
              </w:tc>
              <w:tc>
                <w:tcPr>
                  <w:tcW w:w="410" w:type="pct"/>
                  <w:vAlign w:val="center"/>
                </w:tcPr>
                <w:p w14:paraId="210CE274">
                  <w:pPr>
                    <w:widowControl/>
                    <w:jc w:val="center"/>
                    <w:textAlignment w:val="center"/>
                    <w:rPr>
                      <w:color w:val="auto"/>
                      <w:sz w:val="21"/>
                      <w:szCs w:val="21"/>
                    </w:rPr>
                  </w:pPr>
                  <w:r>
                    <w:rPr>
                      <w:rFonts w:hint="eastAsia"/>
                      <w:color w:val="auto"/>
                      <w:sz w:val="21"/>
                      <w:szCs w:val="21"/>
                      <w:lang w:val="en-US" w:eastAsia="zh-CN"/>
                    </w:rPr>
                    <w:t>固</w:t>
                  </w:r>
                  <w:r>
                    <w:rPr>
                      <w:color w:val="auto"/>
                      <w:sz w:val="21"/>
                      <w:szCs w:val="21"/>
                    </w:rPr>
                    <w:t>态</w:t>
                  </w:r>
                </w:p>
              </w:tc>
              <w:tc>
                <w:tcPr>
                  <w:tcW w:w="413" w:type="pct"/>
                  <w:vMerge w:val="continue"/>
                  <w:vAlign w:val="center"/>
                </w:tcPr>
                <w:p w14:paraId="211CD14A">
                  <w:pPr>
                    <w:widowControl/>
                    <w:jc w:val="center"/>
                    <w:textAlignment w:val="center"/>
                    <w:rPr>
                      <w:rFonts w:hint="default" w:eastAsia="宋体"/>
                      <w:color w:val="auto"/>
                      <w:sz w:val="21"/>
                      <w:szCs w:val="21"/>
                      <w:lang w:val="en-US" w:eastAsia="zh-CN"/>
                    </w:rPr>
                  </w:pPr>
                </w:p>
              </w:tc>
              <w:tc>
                <w:tcPr>
                  <w:tcW w:w="557" w:type="pct"/>
                  <w:vMerge w:val="continue"/>
                  <w:vAlign w:val="center"/>
                </w:tcPr>
                <w:p w14:paraId="4410A1D1">
                  <w:pPr>
                    <w:widowControl/>
                    <w:jc w:val="center"/>
                    <w:textAlignment w:val="center"/>
                    <w:rPr>
                      <w:color w:val="auto"/>
                      <w:kern w:val="0"/>
                      <w:szCs w:val="21"/>
                      <w:lang w:bidi="ar"/>
                    </w:rPr>
                  </w:pPr>
                </w:p>
              </w:tc>
            </w:tr>
            <w:tr w14:paraId="754DF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4" w:type="pct"/>
                  <w:vAlign w:val="center"/>
                </w:tcPr>
                <w:p w14:paraId="2AC83C23">
                  <w:pPr>
                    <w:widowControl/>
                    <w:jc w:val="center"/>
                    <w:textAlignment w:val="center"/>
                    <w:rPr>
                      <w:rFonts w:hint="default"/>
                      <w:color w:val="auto"/>
                      <w:kern w:val="0"/>
                      <w:szCs w:val="21"/>
                      <w:lang w:val="en-US" w:eastAsia="zh-CN" w:bidi="ar"/>
                    </w:rPr>
                  </w:pPr>
                  <w:r>
                    <w:rPr>
                      <w:rFonts w:hint="eastAsia"/>
                      <w:color w:val="auto"/>
                      <w:kern w:val="0"/>
                      <w:szCs w:val="21"/>
                      <w:lang w:val="en-US" w:eastAsia="zh-CN" w:bidi="ar"/>
                    </w:rPr>
                    <w:t>4</w:t>
                  </w:r>
                </w:p>
              </w:tc>
              <w:tc>
                <w:tcPr>
                  <w:tcW w:w="591" w:type="pct"/>
                  <w:vMerge w:val="continue"/>
                  <w:vAlign w:val="center"/>
                </w:tcPr>
                <w:p w14:paraId="60D4B6FA">
                  <w:pPr>
                    <w:widowControl/>
                    <w:jc w:val="center"/>
                    <w:textAlignment w:val="center"/>
                    <w:rPr>
                      <w:color w:val="auto"/>
                      <w:sz w:val="24"/>
                    </w:rPr>
                  </w:pPr>
                </w:p>
              </w:tc>
              <w:tc>
                <w:tcPr>
                  <w:tcW w:w="782" w:type="pct"/>
                  <w:vAlign w:val="center"/>
                </w:tcPr>
                <w:p w14:paraId="4A94D33C">
                  <w:pPr>
                    <w:widowControl/>
                    <w:jc w:val="center"/>
                    <w:textAlignment w:val="center"/>
                    <w:rPr>
                      <w:rFonts w:hint="default"/>
                      <w:color w:val="auto"/>
                      <w:szCs w:val="21"/>
                      <w:lang w:val="en-US" w:eastAsia="zh-CN"/>
                    </w:rPr>
                  </w:pPr>
                  <w:r>
                    <w:rPr>
                      <w:rFonts w:hint="eastAsia"/>
                      <w:color w:val="auto"/>
                      <w:szCs w:val="21"/>
                      <w:lang w:val="en-US" w:eastAsia="zh-CN"/>
                    </w:rPr>
                    <w:t>废印刷机凹版</w:t>
                  </w:r>
                </w:p>
              </w:tc>
              <w:tc>
                <w:tcPr>
                  <w:tcW w:w="656" w:type="pct"/>
                  <w:vAlign w:val="center"/>
                </w:tcPr>
                <w:p w14:paraId="3427DDA0">
                  <w:pPr>
                    <w:widowControl/>
                    <w:jc w:val="center"/>
                    <w:textAlignment w:val="center"/>
                    <w:rPr>
                      <w:rFonts w:hint="default"/>
                      <w:color w:val="auto"/>
                      <w:szCs w:val="21"/>
                      <w:lang w:val="en-US" w:eastAsia="zh-CN"/>
                    </w:rPr>
                  </w:pPr>
                  <w:r>
                    <w:rPr>
                      <w:rFonts w:hint="eastAsia"/>
                      <w:color w:val="auto"/>
                      <w:szCs w:val="21"/>
                      <w:lang w:val="en-US" w:eastAsia="zh-CN"/>
                    </w:rPr>
                    <w:t>印刷</w:t>
                  </w:r>
                </w:p>
              </w:tc>
              <w:tc>
                <w:tcPr>
                  <w:tcW w:w="789" w:type="pct"/>
                  <w:shd w:val="clear" w:color="auto" w:fill="auto"/>
                  <w:vAlign w:val="center"/>
                </w:tcPr>
                <w:p w14:paraId="5885E21B">
                  <w:pPr>
                    <w:widowControl/>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lang w:bidi="ar"/>
                    </w:rPr>
                    <w:t>900-0</w:t>
                  </w:r>
                  <w:r>
                    <w:rPr>
                      <w:rFonts w:hint="eastAsia"/>
                      <w:color w:val="auto"/>
                      <w:sz w:val="21"/>
                      <w:szCs w:val="21"/>
                      <w:lang w:val="en-US" w:eastAsia="zh-CN" w:bidi="ar"/>
                    </w:rPr>
                    <w:t>41</w:t>
                  </w:r>
                  <w:r>
                    <w:rPr>
                      <w:color w:val="auto"/>
                      <w:sz w:val="21"/>
                      <w:szCs w:val="21"/>
                      <w:lang w:bidi="ar"/>
                    </w:rPr>
                    <w:t>-49</w:t>
                  </w:r>
                </w:p>
              </w:tc>
              <w:tc>
                <w:tcPr>
                  <w:tcW w:w="514" w:type="pct"/>
                  <w:vAlign w:val="center"/>
                </w:tcPr>
                <w:p w14:paraId="5D0631CB">
                  <w:pPr>
                    <w:widowControl/>
                    <w:jc w:val="center"/>
                    <w:textAlignment w:val="center"/>
                    <w:rPr>
                      <w:rFonts w:hint="default" w:cs="Times New Roman"/>
                      <w:bCs/>
                      <w:color w:val="auto"/>
                      <w:sz w:val="21"/>
                      <w:szCs w:val="21"/>
                      <w:lang w:val="en-US" w:eastAsia="zh-CN"/>
                    </w:rPr>
                  </w:pPr>
                  <w:r>
                    <w:rPr>
                      <w:rFonts w:hint="eastAsia" w:cs="Times New Roman"/>
                      <w:bCs/>
                      <w:color w:val="auto"/>
                      <w:sz w:val="21"/>
                      <w:szCs w:val="21"/>
                      <w:lang w:val="en-US" w:eastAsia="zh-CN"/>
                    </w:rPr>
                    <w:t>0.05</w:t>
                  </w:r>
                </w:p>
              </w:tc>
              <w:tc>
                <w:tcPr>
                  <w:tcW w:w="410" w:type="pct"/>
                  <w:shd w:val="clear" w:color="auto" w:fill="auto"/>
                  <w:vAlign w:val="center"/>
                </w:tcPr>
                <w:p w14:paraId="02C0A17D">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固</w:t>
                  </w:r>
                  <w:r>
                    <w:rPr>
                      <w:color w:val="auto"/>
                      <w:sz w:val="21"/>
                      <w:szCs w:val="21"/>
                    </w:rPr>
                    <w:t>态</w:t>
                  </w:r>
                </w:p>
              </w:tc>
              <w:tc>
                <w:tcPr>
                  <w:tcW w:w="413" w:type="pct"/>
                  <w:vMerge w:val="continue"/>
                  <w:vAlign w:val="center"/>
                </w:tcPr>
                <w:p w14:paraId="751B5747">
                  <w:pPr>
                    <w:widowControl/>
                    <w:jc w:val="center"/>
                    <w:textAlignment w:val="center"/>
                    <w:rPr>
                      <w:rFonts w:hint="default" w:eastAsia="宋体"/>
                      <w:color w:val="auto"/>
                      <w:sz w:val="21"/>
                      <w:szCs w:val="21"/>
                      <w:lang w:val="en-US" w:eastAsia="zh-CN"/>
                    </w:rPr>
                  </w:pPr>
                </w:p>
              </w:tc>
              <w:tc>
                <w:tcPr>
                  <w:tcW w:w="557" w:type="pct"/>
                  <w:vMerge w:val="continue"/>
                  <w:vAlign w:val="center"/>
                </w:tcPr>
                <w:p w14:paraId="43FE393D">
                  <w:pPr>
                    <w:widowControl/>
                    <w:jc w:val="center"/>
                    <w:textAlignment w:val="center"/>
                    <w:rPr>
                      <w:color w:val="auto"/>
                      <w:kern w:val="0"/>
                      <w:szCs w:val="21"/>
                      <w:lang w:bidi="ar"/>
                    </w:rPr>
                  </w:pPr>
                </w:p>
              </w:tc>
            </w:tr>
            <w:tr w14:paraId="5AA3C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4" w:type="pct"/>
                  <w:vAlign w:val="center"/>
                </w:tcPr>
                <w:p w14:paraId="2139DF54">
                  <w:pPr>
                    <w:widowControl/>
                    <w:jc w:val="center"/>
                    <w:textAlignment w:val="center"/>
                    <w:rPr>
                      <w:rFonts w:hint="default"/>
                      <w:color w:val="auto"/>
                      <w:kern w:val="0"/>
                      <w:szCs w:val="21"/>
                      <w:lang w:val="en-US" w:eastAsia="zh-CN" w:bidi="ar"/>
                    </w:rPr>
                  </w:pPr>
                  <w:r>
                    <w:rPr>
                      <w:rFonts w:hint="eastAsia"/>
                      <w:color w:val="auto"/>
                      <w:kern w:val="0"/>
                      <w:szCs w:val="21"/>
                      <w:lang w:val="en-US" w:eastAsia="zh-CN" w:bidi="ar"/>
                    </w:rPr>
                    <w:t>5</w:t>
                  </w:r>
                </w:p>
              </w:tc>
              <w:tc>
                <w:tcPr>
                  <w:tcW w:w="591" w:type="pct"/>
                  <w:vMerge w:val="continue"/>
                  <w:vAlign w:val="center"/>
                </w:tcPr>
                <w:p w14:paraId="5A21ECD7">
                  <w:pPr>
                    <w:widowControl/>
                    <w:jc w:val="center"/>
                    <w:textAlignment w:val="center"/>
                    <w:rPr>
                      <w:color w:val="auto"/>
                      <w:sz w:val="24"/>
                    </w:rPr>
                  </w:pPr>
                </w:p>
              </w:tc>
              <w:tc>
                <w:tcPr>
                  <w:tcW w:w="782" w:type="pct"/>
                  <w:vAlign w:val="center"/>
                </w:tcPr>
                <w:p w14:paraId="57770327">
                  <w:pPr>
                    <w:widowControl/>
                    <w:jc w:val="center"/>
                    <w:textAlignment w:val="center"/>
                    <w:rPr>
                      <w:rFonts w:hint="default"/>
                      <w:color w:val="auto"/>
                      <w:szCs w:val="21"/>
                      <w:lang w:val="en-US" w:eastAsia="zh-CN"/>
                    </w:rPr>
                  </w:pPr>
                  <w:r>
                    <w:rPr>
                      <w:rFonts w:hint="eastAsia"/>
                      <w:color w:val="auto"/>
                      <w:szCs w:val="21"/>
                      <w:lang w:val="en-US" w:eastAsia="zh-CN"/>
                    </w:rPr>
                    <w:t>废润滑油桶</w:t>
                  </w:r>
                </w:p>
              </w:tc>
              <w:tc>
                <w:tcPr>
                  <w:tcW w:w="656" w:type="pct"/>
                  <w:shd w:val="clear" w:color="auto" w:fill="auto"/>
                  <w:vAlign w:val="center"/>
                </w:tcPr>
                <w:p w14:paraId="39FECB83">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机械保养</w:t>
                  </w:r>
                </w:p>
              </w:tc>
              <w:tc>
                <w:tcPr>
                  <w:tcW w:w="789" w:type="pct"/>
                  <w:shd w:val="clear" w:color="auto" w:fill="auto"/>
                  <w:vAlign w:val="center"/>
                </w:tcPr>
                <w:p w14:paraId="0BCB4C5B">
                  <w:pPr>
                    <w:widowControl/>
                    <w:spacing w:line="240" w:lineRule="auto"/>
                    <w:ind w:firstLine="0" w:firstLineChars="0"/>
                    <w:jc w:val="center"/>
                    <w:rPr>
                      <w:color w:val="auto"/>
                      <w:sz w:val="21"/>
                      <w:szCs w:val="21"/>
                      <w:lang w:bidi="ar"/>
                    </w:rPr>
                  </w:pPr>
                  <w:r>
                    <w:rPr>
                      <w:color w:val="auto"/>
                      <w:sz w:val="21"/>
                      <w:szCs w:val="21"/>
                    </w:rPr>
                    <w:t>900-</w:t>
                  </w:r>
                  <w:r>
                    <w:rPr>
                      <w:rFonts w:hint="eastAsia"/>
                      <w:color w:val="auto"/>
                      <w:sz w:val="21"/>
                      <w:szCs w:val="21"/>
                      <w:lang w:val="en-US" w:eastAsia="zh-CN"/>
                    </w:rPr>
                    <w:t>249</w:t>
                  </w:r>
                  <w:r>
                    <w:rPr>
                      <w:color w:val="auto"/>
                      <w:sz w:val="21"/>
                      <w:szCs w:val="21"/>
                    </w:rPr>
                    <w:t>-08</w:t>
                  </w:r>
                </w:p>
              </w:tc>
              <w:tc>
                <w:tcPr>
                  <w:tcW w:w="514" w:type="pct"/>
                  <w:vAlign w:val="center"/>
                </w:tcPr>
                <w:p w14:paraId="71511DC6">
                  <w:pPr>
                    <w:widowControl/>
                    <w:jc w:val="center"/>
                    <w:textAlignment w:val="center"/>
                    <w:rPr>
                      <w:rFonts w:hint="default" w:cs="Times New Roman"/>
                      <w:bCs/>
                      <w:color w:val="auto"/>
                      <w:sz w:val="21"/>
                      <w:szCs w:val="21"/>
                      <w:lang w:val="en-US" w:eastAsia="zh-CN"/>
                    </w:rPr>
                  </w:pPr>
                  <w:r>
                    <w:rPr>
                      <w:rFonts w:hint="eastAsia" w:cs="Times New Roman"/>
                      <w:bCs/>
                      <w:color w:val="auto"/>
                      <w:sz w:val="21"/>
                      <w:szCs w:val="21"/>
                      <w:lang w:val="en-US" w:eastAsia="zh-CN"/>
                    </w:rPr>
                    <w:t>0.002</w:t>
                  </w:r>
                </w:p>
              </w:tc>
              <w:tc>
                <w:tcPr>
                  <w:tcW w:w="410" w:type="pct"/>
                  <w:shd w:val="clear" w:color="auto" w:fill="auto"/>
                  <w:vAlign w:val="center"/>
                </w:tcPr>
                <w:p w14:paraId="18D5C652">
                  <w:pPr>
                    <w:widowControl/>
                    <w:jc w:val="center"/>
                    <w:textAlignment w:val="center"/>
                    <w:rPr>
                      <w:rFonts w:hint="eastAsia"/>
                      <w:color w:val="auto"/>
                      <w:sz w:val="21"/>
                      <w:szCs w:val="21"/>
                      <w:lang w:val="en-US" w:eastAsia="zh-CN"/>
                    </w:rPr>
                  </w:pPr>
                  <w:r>
                    <w:rPr>
                      <w:rFonts w:hint="eastAsia"/>
                      <w:color w:val="auto"/>
                      <w:sz w:val="21"/>
                      <w:szCs w:val="21"/>
                      <w:lang w:val="en-US" w:eastAsia="zh-CN"/>
                    </w:rPr>
                    <w:t>固</w:t>
                  </w:r>
                  <w:r>
                    <w:rPr>
                      <w:color w:val="auto"/>
                      <w:sz w:val="21"/>
                      <w:szCs w:val="21"/>
                    </w:rPr>
                    <w:t>态</w:t>
                  </w:r>
                </w:p>
              </w:tc>
              <w:tc>
                <w:tcPr>
                  <w:tcW w:w="413" w:type="pct"/>
                  <w:vMerge w:val="continue"/>
                  <w:vAlign w:val="center"/>
                </w:tcPr>
                <w:p w14:paraId="66686C5A">
                  <w:pPr>
                    <w:widowControl/>
                    <w:jc w:val="center"/>
                    <w:textAlignment w:val="center"/>
                    <w:rPr>
                      <w:rFonts w:hint="default" w:eastAsia="宋体"/>
                      <w:color w:val="auto"/>
                      <w:sz w:val="21"/>
                      <w:szCs w:val="21"/>
                      <w:lang w:val="en-US" w:eastAsia="zh-CN"/>
                    </w:rPr>
                  </w:pPr>
                </w:p>
              </w:tc>
              <w:tc>
                <w:tcPr>
                  <w:tcW w:w="557" w:type="pct"/>
                  <w:vMerge w:val="continue"/>
                  <w:vAlign w:val="center"/>
                </w:tcPr>
                <w:p w14:paraId="08D7F8C8">
                  <w:pPr>
                    <w:widowControl/>
                    <w:jc w:val="center"/>
                    <w:textAlignment w:val="center"/>
                    <w:rPr>
                      <w:color w:val="auto"/>
                      <w:kern w:val="0"/>
                      <w:szCs w:val="21"/>
                      <w:lang w:bidi="ar"/>
                    </w:rPr>
                  </w:pPr>
                </w:p>
              </w:tc>
            </w:tr>
            <w:tr w14:paraId="24FF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4" w:type="pct"/>
                  <w:vAlign w:val="center"/>
                </w:tcPr>
                <w:p w14:paraId="3BE467FD">
                  <w:pPr>
                    <w:widowControl/>
                    <w:jc w:val="center"/>
                    <w:textAlignment w:val="center"/>
                    <w:rPr>
                      <w:rFonts w:hint="default"/>
                      <w:color w:val="auto"/>
                      <w:kern w:val="0"/>
                      <w:szCs w:val="21"/>
                      <w:lang w:val="en-US" w:eastAsia="zh-CN" w:bidi="ar"/>
                    </w:rPr>
                  </w:pPr>
                  <w:r>
                    <w:rPr>
                      <w:rFonts w:hint="eastAsia"/>
                      <w:color w:val="auto"/>
                      <w:kern w:val="0"/>
                      <w:szCs w:val="21"/>
                      <w:lang w:val="en-US" w:eastAsia="zh-CN" w:bidi="ar"/>
                    </w:rPr>
                    <w:t>6</w:t>
                  </w:r>
                </w:p>
              </w:tc>
              <w:tc>
                <w:tcPr>
                  <w:tcW w:w="591" w:type="pct"/>
                  <w:shd w:val="clear" w:color="auto" w:fill="auto"/>
                  <w:vAlign w:val="center"/>
                </w:tcPr>
                <w:p w14:paraId="688A30FE">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一般固废暂存间</w:t>
                  </w:r>
                </w:p>
              </w:tc>
              <w:tc>
                <w:tcPr>
                  <w:tcW w:w="782" w:type="pct"/>
                  <w:vAlign w:val="center"/>
                </w:tcPr>
                <w:p w14:paraId="4E01D046">
                  <w:pPr>
                    <w:widowControl/>
                    <w:jc w:val="center"/>
                    <w:textAlignment w:val="center"/>
                    <w:rPr>
                      <w:rFonts w:hint="default"/>
                      <w:color w:val="auto"/>
                      <w:szCs w:val="21"/>
                      <w:lang w:val="en-US" w:eastAsia="zh-CN"/>
                    </w:rPr>
                  </w:pPr>
                  <w:r>
                    <w:rPr>
                      <w:rFonts w:hint="eastAsia"/>
                      <w:color w:val="auto"/>
                      <w:szCs w:val="21"/>
                      <w:lang w:val="en-US" w:eastAsia="zh-CN"/>
                    </w:rPr>
                    <w:t>废劳保用品</w:t>
                  </w:r>
                </w:p>
              </w:tc>
              <w:tc>
                <w:tcPr>
                  <w:tcW w:w="656" w:type="pct"/>
                  <w:vAlign w:val="center"/>
                </w:tcPr>
                <w:p w14:paraId="565E90E4">
                  <w:pPr>
                    <w:widowControl/>
                    <w:jc w:val="center"/>
                    <w:textAlignment w:val="center"/>
                    <w:rPr>
                      <w:rFonts w:hint="default"/>
                      <w:color w:val="auto"/>
                      <w:szCs w:val="21"/>
                      <w:lang w:val="en-US" w:eastAsia="zh-CN"/>
                    </w:rPr>
                  </w:pPr>
                  <w:r>
                    <w:rPr>
                      <w:rFonts w:hint="eastAsia"/>
                      <w:color w:val="auto"/>
                      <w:szCs w:val="21"/>
                      <w:lang w:val="en-US" w:eastAsia="zh-CN"/>
                    </w:rPr>
                    <w:t>员工生产</w:t>
                  </w:r>
                </w:p>
              </w:tc>
              <w:tc>
                <w:tcPr>
                  <w:tcW w:w="789" w:type="pct"/>
                  <w:shd w:val="clear" w:color="auto" w:fill="auto"/>
                  <w:vAlign w:val="center"/>
                </w:tcPr>
                <w:p w14:paraId="1E5670C4">
                  <w:pPr>
                    <w:widowControl/>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lang w:bidi="ar"/>
                    </w:rPr>
                    <w:t>900-0</w:t>
                  </w:r>
                  <w:r>
                    <w:rPr>
                      <w:rFonts w:hint="eastAsia"/>
                      <w:color w:val="auto"/>
                      <w:sz w:val="21"/>
                      <w:szCs w:val="21"/>
                      <w:lang w:val="en-US" w:eastAsia="zh-CN" w:bidi="ar"/>
                    </w:rPr>
                    <w:t>41</w:t>
                  </w:r>
                  <w:r>
                    <w:rPr>
                      <w:color w:val="auto"/>
                      <w:sz w:val="21"/>
                      <w:szCs w:val="21"/>
                      <w:lang w:bidi="ar"/>
                    </w:rPr>
                    <w:t>-49</w:t>
                  </w:r>
                </w:p>
              </w:tc>
              <w:tc>
                <w:tcPr>
                  <w:tcW w:w="514" w:type="pct"/>
                  <w:vAlign w:val="center"/>
                </w:tcPr>
                <w:p w14:paraId="0C24E325">
                  <w:pPr>
                    <w:widowControl/>
                    <w:jc w:val="center"/>
                    <w:textAlignment w:val="center"/>
                    <w:rPr>
                      <w:rFonts w:hint="default" w:cs="Times New Roman"/>
                      <w:bCs/>
                      <w:color w:val="auto"/>
                      <w:sz w:val="21"/>
                      <w:szCs w:val="21"/>
                      <w:lang w:val="en-US" w:eastAsia="zh-CN"/>
                    </w:rPr>
                  </w:pPr>
                  <w:r>
                    <w:rPr>
                      <w:rFonts w:hint="eastAsia" w:cs="Times New Roman"/>
                      <w:bCs/>
                      <w:color w:val="auto"/>
                      <w:sz w:val="21"/>
                      <w:szCs w:val="21"/>
                      <w:lang w:val="en-US" w:eastAsia="zh-CN"/>
                    </w:rPr>
                    <w:t>0.02</w:t>
                  </w:r>
                </w:p>
              </w:tc>
              <w:tc>
                <w:tcPr>
                  <w:tcW w:w="410" w:type="pct"/>
                  <w:shd w:val="clear" w:color="auto" w:fill="auto"/>
                  <w:vAlign w:val="center"/>
                </w:tcPr>
                <w:p w14:paraId="7BE220B6">
                  <w:pPr>
                    <w:widowControl/>
                    <w:jc w:val="center"/>
                    <w:textAlignment w:val="center"/>
                    <w:rPr>
                      <w:rFonts w:hint="eastAsia"/>
                      <w:color w:val="auto"/>
                      <w:sz w:val="21"/>
                      <w:szCs w:val="21"/>
                      <w:lang w:val="en-US" w:eastAsia="zh-CN"/>
                    </w:rPr>
                  </w:pPr>
                  <w:r>
                    <w:rPr>
                      <w:rFonts w:hint="eastAsia"/>
                      <w:color w:val="auto"/>
                      <w:sz w:val="21"/>
                      <w:szCs w:val="21"/>
                      <w:lang w:val="en-US" w:eastAsia="zh-CN"/>
                    </w:rPr>
                    <w:t>固</w:t>
                  </w:r>
                  <w:r>
                    <w:rPr>
                      <w:color w:val="auto"/>
                      <w:sz w:val="21"/>
                      <w:szCs w:val="21"/>
                    </w:rPr>
                    <w:t>态</w:t>
                  </w:r>
                </w:p>
              </w:tc>
              <w:tc>
                <w:tcPr>
                  <w:tcW w:w="413" w:type="pct"/>
                  <w:vMerge w:val="continue"/>
                  <w:vAlign w:val="center"/>
                </w:tcPr>
                <w:p w14:paraId="6D9FF1B7">
                  <w:pPr>
                    <w:widowControl/>
                    <w:jc w:val="center"/>
                    <w:textAlignment w:val="center"/>
                    <w:rPr>
                      <w:rFonts w:hint="default" w:eastAsia="宋体"/>
                      <w:color w:val="auto"/>
                      <w:sz w:val="21"/>
                      <w:szCs w:val="21"/>
                      <w:lang w:val="en-US" w:eastAsia="zh-CN"/>
                    </w:rPr>
                  </w:pPr>
                </w:p>
              </w:tc>
              <w:tc>
                <w:tcPr>
                  <w:tcW w:w="557" w:type="pct"/>
                  <w:vAlign w:val="center"/>
                </w:tcPr>
                <w:p w14:paraId="7798806F">
                  <w:pPr>
                    <w:widowControl/>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交由相关单位处理</w:t>
                  </w:r>
                </w:p>
              </w:tc>
            </w:tr>
          </w:tbl>
          <w:p w14:paraId="529839A0">
            <w:pPr>
              <w:pStyle w:val="15"/>
              <w:spacing w:line="360" w:lineRule="auto"/>
              <w:ind w:left="0" w:leftChars="0" w:firstLine="480" w:firstLineChars="200"/>
              <w:rPr>
                <w:color w:val="auto"/>
                <w:sz w:val="24"/>
              </w:rPr>
            </w:pPr>
            <w:r>
              <w:rPr>
                <w:color w:val="auto"/>
                <w:sz w:val="24"/>
              </w:rPr>
              <w:t>综上，建设项目对产生的固体废弃物严格按照上述措施处理、处置和利用后，对周围环境及人体不会产生影响，也不会造成二次污染，暂存仓库也满足贮存要求，故采取的固废治理措施是可行、可靠的。</w:t>
            </w:r>
          </w:p>
          <w:p w14:paraId="3A6408CC">
            <w:pPr>
              <w:spacing w:line="360" w:lineRule="auto"/>
              <w:ind w:firstLine="482" w:firstLineChars="200"/>
              <w:rPr>
                <w:b/>
                <w:bCs/>
                <w:color w:val="auto"/>
                <w:sz w:val="24"/>
              </w:rPr>
            </w:pPr>
            <w:r>
              <w:rPr>
                <w:rFonts w:hint="eastAsia"/>
                <w:b/>
                <w:bCs/>
                <w:color w:val="auto"/>
                <w:sz w:val="24"/>
                <w:lang w:val="en-US" w:eastAsia="zh-CN"/>
              </w:rPr>
              <w:t>2、</w:t>
            </w:r>
            <w:r>
              <w:rPr>
                <w:b/>
                <w:bCs/>
                <w:color w:val="auto"/>
                <w:sz w:val="24"/>
              </w:rPr>
              <w:t>固体废物环境保护措施</w:t>
            </w:r>
          </w:p>
          <w:p w14:paraId="102698D0">
            <w:pPr>
              <w:spacing w:line="360" w:lineRule="auto"/>
              <w:ind w:firstLine="480" w:firstLineChars="200"/>
              <w:rPr>
                <w:rFonts w:hint="default" w:eastAsia="宋体"/>
                <w:color w:val="auto"/>
                <w:sz w:val="24"/>
                <w:lang w:val="en-US" w:eastAsia="zh-CN"/>
              </w:rPr>
            </w:pPr>
            <w:r>
              <w:rPr>
                <w:color w:val="auto"/>
                <w:sz w:val="24"/>
              </w:rPr>
              <w:t>本项目</w:t>
            </w:r>
            <w:r>
              <w:rPr>
                <w:rFonts w:hint="eastAsia"/>
                <w:color w:val="auto"/>
                <w:sz w:val="24"/>
                <w:lang w:val="en-US" w:eastAsia="zh-CN"/>
              </w:rPr>
              <w:t>设有1间</w:t>
            </w:r>
            <w:r>
              <w:rPr>
                <w:color w:val="auto"/>
                <w:sz w:val="24"/>
              </w:rPr>
              <w:t>一般固废暂存间</w:t>
            </w:r>
            <w:r>
              <w:rPr>
                <w:rFonts w:hint="eastAsia"/>
                <w:color w:val="auto"/>
                <w:sz w:val="24"/>
                <w:lang w:eastAsia="zh-CN"/>
              </w:rPr>
              <w:t>，</w:t>
            </w:r>
            <w:r>
              <w:rPr>
                <w:rFonts w:hint="eastAsia"/>
                <w:color w:val="auto"/>
                <w:sz w:val="24"/>
                <w:lang w:val="en-US" w:eastAsia="zh-CN"/>
              </w:rPr>
              <w:t>建筑面积20</w:t>
            </w:r>
            <w:r>
              <w:rPr>
                <w:color w:val="auto"/>
                <w:sz w:val="24"/>
              </w:rPr>
              <w:t>m</w:t>
            </w:r>
            <w:r>
              <w:rPr>
                <w:color w:val="auto"/>
                <w:sz w:val="24"/>
                <w:vertAlign w:val="superscript"/>
              </w:rPr>
              <w:t>2</w:t>
            </w:r>
            <w:r>
              <w:rPr>
                <w:rFonts w:hint="eastAsia"/>
                <w:color w:val="auto"/>
                <w:sz w:val="24"/>
                <w:vertAlign w:val="baseline"/>
                <w:lang w:val="en-US" w:eastAsia="zh-CN"/>
              </w:rPr>
              <w:t>，</w:t>
            </w:r>
            <w:r>
              <w:rPr>
                <w:color w:val="auto"/>
                <w:sz w:val="24"/>
              </w:rPr>
              <w:t>地面</w:t>
            </w:r>
            <w:r>
              <w:rPr>
                <w:rFonts w:hint="eastAsia"/>
                <w:color w:val="auto"/>
                <w:sz w:val="24"/>
              </w:rPr>
              <w:t>已做</w:t>
            </w:r>
            <w:r>
              <w:rPr>
                <w:color w:val="auto"/>
                <w:sz w:val="24"/>
              </w:rPr>
              <w:t>防渗漏处理，设计贮存周期为</w:t>
            </w:r>
            <w:r>
              <w:rPr>
                <w:rFonts w:hint="eastAsia"/>
                <w:color w:val="auto"/>
                <w:sz w:val="24"/>
                <w:lang w:val="en-US" w:eastAsia="zh-CN"/>
              </w:rPr>
              <w:t>1</w:t>
            </w:r>
            <w:r>
              <w:rPr>
                <w:rFonts w:hint="eastAsia"/>
                <w:color w:val="auto"/>
                <w:sz w:val="24"/>
              </w:rPr>
              <w:t>2</w:t>
            </w:r>
            <w:r>
              <w:rPr>
                <w:color w:val="auto"/>
                <w:sz w:val="24"/>
              </w:rPr>
              <w:t>个月，贮存能力为</w:t>
            </w:r>
            <w:r>
              <w:rPr>
                <w:rFonts w:hint="eastAsia"/>
                <w:color w:val="auto"/>
                <w:sz w:val="24"/>
                <w:lang w:val="en-US" w:eastAsia="zh-CN"/>
              </w:rPr>
              <w:t>20</w:t>
            </w:r>
            <w:r>
              <w:rPr>
                <w:color w:val="auto"/>
                <w:sz w:val="24"/>
              </w:rPr>
              <w:t>t</w:t>
            </w:r>
            <w:r>
              <w:rPr>
                <w:rFonts w:hint="eastAsia"/>
                <w:color w:val="auto"/>
                <w:sz w:val="24"/>
                <w:lang w:eastAsia="zh-CN"/>
              </w:rPr>
              <w:t>。</w:t>
            </w:r>
            <w:r>
              <w:rPr>
                <w:color w:val="auto"/>
                <w:sz w:val="24"/>
              </w:rPr>
              <w:t>项目一般固体废物</w:t>
            </w:r>
            <w:r>
              <w:rPr>
                <w:rFonts w:hint="eastAsia"/>
                <w:color w:val="auto"/>
                <w:sz w:val="24"/>
                <w:lang w:val="en-US" w:eastAsia="zh-CN"/>
              </w:rPr>
              <w:t>最大</w:t>
            </w:r>
            <w:r>
              <w:rPr>
                <w:color w:val="auto"/>
                <w:sz w:val="24"/>
              </w:rPr>
              <w:t>暂存量为</w:t>
            </w:r>
            <w:r>
              <w:rPr>
                <w:rFonts w:hint="eastAsia"/>
                <w:color w:val="auto"/>
                <w:sz w:val="24"/>
                <w:lang w:val="en-US" w:eastAsia="zh-CN"/>
              </w:rPr>
              <w:t>0.72</w:t>
            </w:r>
            <w:r>
              <w:rPr>
                <w:color w:val="auto"/>
                <w:sz w:val="24"/>
              </w:rPr>
              <w:t>t</w:t>
            </w:r>
            <w:r>
              <w:rPr>
                <w:rFonts w:hint="eastAsia"/>
                <w:color w:val="auto"/>
                <w:sz w:val="24"/>
                <w:lang w:eastAsia="zh-CN"/>
              </w:rPr>
              <w:t>；</w:t>
            </w:r>
            <w:r>
              <w:rPr>
                <w:rFonts w:hint="eastAsia"/>
                <w:color w:val="auto"/>
                <w:sz w:val="24"/>
                <w:lang w:val="en-US" w:eastAsia="zh-CN"/>
              </w:rPr>
              <w:t>设有1间危废暂存间，建筑面积15</w:t>
            </w:r>
            <w:r>
              <w:rPr>
                <w:color w:val="auto"/>
                <w:sz w:val="24"/>
              </w:rPr>
              <w:t>m</w:t>
            </w:r>
            <w:r>
              <w:rPr>
                <w:color w:val="auto"/>
                <w:sz w:val="24"/>
                <w:vertAlign w:val="superscript"/>
              </w:rPr>
              <w:t>2</w:t>
            </w:r>
            <w:r>
              <w:rPr>
                <w:color w:val="auto"/>
                <w:sz w:val="24"/>
              </w:rPr>
              <w:t>，</w:t>
            </w:r>
            <w:r>
              <w:rPr>
                <w:rFonts w:hint="eastAsia"/>
                <w:color w:val="auto"/>
                <w:sz w:val="24"/>
                <w:vertAlign w:val="baseline"/>
                <w:lang w:val="en-US" w:eastAsia="zh-CN"/>
              </w:rPr>
              <w:t>属于独立封闭式空间，</w:t>
            </w:r>
            <w:r>
              <w:rPr>
                <w:color w:val="auto"/>
                <w:sz w:val="24"/>
              </w:rPr>
              <w:t>地面</w:t>
            </w:r>
            <w:r>
              <w:rPr>
                <w:rFonts w:hint="eastAsia"/>
                <w:color w:val="auto"/>
                <w:sz w:val="24"/>
              </w:rPr>
              <w:t>已做</w:t>
            </w:r>
            <w:r>
              <w:rPr>
                <w:color w:val="auto"/>
                <w:sz w:val="24"/>
              </w:rPr>
              <w:t>防渗漏处理，设计贮存周期为</w:t>
            </w:r>
            <w:r>
              <w:rPr>
                <w:rFonts w:hint="eastAsia"/>
                <w:color w:val="auto"/>
                <w:sz w:val="24"/>
                <w:lang w:val="en-US" w:eastAsia="zh-CN"/>
              </w:rPr>
              <w:t>12</w:t>
            </w:r>
            <w:r>
              <w:rPr>
                <w:color w:val="auto"/>
                <w:sz w:val="24"/>
              </w:rPr>
              <w:t>个月，贮存能力为</w:t>
            </w:r>
            <w:r>
              <w:rPr>
                <w:rFonts w:hint="eastAsia"/>
                <w:color w:val="auto"/>
                <w:sz w:val="24"/>
                <w:lang w:val="en-US" w:eastAsia="zh-CN"/>
              </w:rPr>
              <w:t>15</w:t>
            </w:r>
            <w:r>
              <w:rPr>
                <w:color w:val="auto"/>
                <w:sz w:val="24"/>
              </w:rPr>
              <w:t>t</w:t>
            </w:r>
            <w:r>
              <w:rPr>
                <w:rFonts w:hint="eastAsia"/>
                <w:color w:val="auto"/>
                <w:sz w:val="24"/>
                <w:lang w:eastAsia="zh-CN"/>
              </w:rPr>
              <w:t>，</w:t>
            </w:r>
            <w:r>
              <w:rPr>
                <w:color w:val="auto"/>
                <w:sz w:val="24"/>
              </w:rPr>
              <w:t>项目</w:t>
            </w:r>
            <w:r>
              <w:rPr>
                <w:rFonts w:hint="eastAsia"/>
                <w:color w:val="auto"/>
                <w:sz w:val="24"/>
                <w:lang w:val="en-US" w:eastAsia="zh-CN"/>
              </w:rPr>
              <w:t>危险废物最大</w:t>
            </w:r>
            <w:r>
              <w:rPr>
                <w:color w:val="auto"/>
                <w:sz w:val="24"/>
              </w:rPr>
              <w:t>暂存量为</w:t>
            </w:r>
            <w:r>
              <w:rPr>
                <w:rFonts w:hint="eastAsia"/>
                <w:color w:val="auto"/>
                <w:sz w:val="24"/>
                <w:lang w:val="en-US" w:eastAsia="zh-CN"/>
              </w:rPr>
              <w:t>2.372</w:t>
            </w:r>
            <w:r>
              <w:rPr>
                <w:color w:val="auto"/>
                <w:sz w:val="24"/>
              </w:rPr>
              <w:t>t</w:t>
            </w:r>
            <w:r>
              <w:rPr>
                <w:rFonts w:hint="eastAsia"/>
                <w:color w:val="auto"/>
                <w:sz w:val="24"/>
                <w:lang w:eastAsia="zh-CN"/>
              </w:rPr>
              <w:t>。</w:t>
            </w:r>
          </w:p>
          <w:p w14:paraId="406641A2">
            <w:pPr>
              <w:jc w:val="center"/>
              <w:rPr>
                <w:b/>
                <w:bCs/>
                <w:color w:val="auto"/>
                <w:sz w:val="24"/>
                <w:lang w:val="zh-CN"/>
              </w:rPr>
            </w:pPr>
            <w:r>
              <w:rPr>
                <w:b/>
                <w:bCs/>
                <w:color w:val="auto"/>
                <w:sz w:val="24"/>
                <w:lang w:val="zh-CN"/>
              </w:rPr>
              <w:t>表4</w:t>
            </w:r>
            <w:r>
              <w:rPr>
                <w:rFonts w:hint="eastAsia"/>
                <w:b/>
                <w:bCs/>
                <w:color w:val="auto"/>
                <w:sz w:val="24"/>
                <w:lang w:val="en-US" w:eastAsia="zh-CN"/>
              </w:rPr>
              <w:t xml:space="preserve">-18  </w:t>
            </w:r>
            <w:r>
              <w:rPr>
                <w:b/>
                <w:bCs/>
                <w:color w:val="auto"/>
                <w:sz w:val="24"/>
                <w:lang w:val="zh-CN"/>
              </w:rPr>
              <w:t>建设项目固体废物贮存场所（设施）基本情况表</w:t>
            </w:r>
          </w:p>
          <w:tbl>
            <w:tblPr>
              <w:tblStyle w:val="2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69"/>
              <w:gridCol w:w="1017"/>
              <w:gridCol w:w="1210"/>
              <w:gridCol w:w="1570"/>
              <w:gridCol w:w="1247"/>
              <w:gridCol w:w="1088"/>
              <w:gridCol w:w="848"/>
              <w:gridCol w:w="1016"/>
            </w:tblGrid>
            <w:tr w14:paraId="353976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97" w:type="pct"/>
                  <w:tcBorders>
                    <w:tl2br w:val="nil"/>
                    <w:tr2bl w:val="nil"/>
                  </w:tcBorders>
                  <w:vAlign w:val="center"/>
                </w:tcPr>
                <w:p w14:paraId="403FBB5A">
                  <w:pPr>
                    <w:adjustRightInd w:val="0"/>
                    <w:snapToGrid w:val="0"/>
                    <w:jc w:val="center"/>
                    <w:rPr>
                      <w:color w:val="auto"/>
                      <w:szCs w:val="21"/>
                    </w:rPr>
                  </w:pPr>
                  <w:r>
                    <w:rPr>
                      <w:color w:val="auto"/>
                      <w:szCs w:val="21"/>
                    </w:rPr>
                    <w:t>序号</w:t>
                  </w:r>
                </w:p>
              </w:tc>
              <w:tc>
                <w:tcPr>
                  <w:tcW w:w="620" w:type="pct"/>
                  <w:tcBorders>
                    <w:tl2br w:val="nil"/>
                    <w:tr2bl w:val="nil"/>
                  </w:tcBorders>
                  <w:vAlign w:val="center"/>
                </w:tcPr>
                <w:p w14:paraId="08C206F7">
                  <w:pPr>
                    <w:adjustRightInd w:val="0"/>
                    <w:snapToGrid w:val="0"/>
                    <w:jc w:val="center"/>
                    <w:rPr>
                      <w:color w:val="auto"/>
                      <w:szCs w:val="21"/>
                    </w:rPr>
                  </w:pPr>
                  <w:r>
                    <w:rPr>
                      <w:color w:val="auto"/>
                      <w:szCs w:val="21"/>
                    </w:rPr>
                    <w:t>贮存场所（设施）</w:t>
                  </w:r>
                </w:p>
                <w:p w14:paraId="1D804067">
                  <w:pPr>
                    <w:adjustRightInd w:val="0"/>
                    <w:snapToGrid w:val="0"/>
                    <w:jc w:val="center"/>
                    <w:rPr>
                      <w:color w:val="auto"/>
                      <w:szCs w:val="21"/>
                    </w:rPr>
                  </w:pPr>
                  <w:r>
                    <w:rPr>
                      <w:color w:val="auto"/>
                      <w:szCs w:val="21"/>
                    </w:rPr>
                    <w:t>名称</w:t>
                  </w:r>
                </w:p>
              </w:tc>
              <w:tc>
                <w:tcPr>
                  <w:tcW w:w="734" w:type="pct"/>
                  <w:tcBorders>
                    <w:tl2br w:val="nil"/>
                    <w:tr2bl w:val="nil"/>
                  </w:tcBorders>
                  <w:vAlign w:val="center"/>
                </w:tcPr>
                <w:p w14:paraId="15D186D4">
                  <w:pPr>
                    <w:adjustRightInd w:val="0"/>
                    <w:snapToGrid w:val="0"/>
                    <w:jc w:val="center"/>
                    <w:rPr>
                      <w:color w:val="auto"/>
                      <w:szCs w:val="21"/>
                    </w:rPr>
                  </w:pPr>
                  <w:r>
                    <w:rPr>
                      <w:color w:val="auto"/>
                      <w:szCs w:val="21"/>
                    </w:rPr>
                    <w:t>固体废物名称</w:t>
                  </w:r>
                </w:p>
              </w:tc>
              <w:tc>
                <w:tcPr>
                  <w:tcW w:w="787" w:type="pct"/>
                  <w:tcBorders>
                    <w:tl2br w:val="nil"/>
                    <w:tr2bl w:val="nil"/>
                  </w:tcBorders>
                  <w:vAlign w:val="center"/>
                </w:tcPr>
                <w:p w14:paraId="3DEBAEBB">
                  <w:pPr>
                    <w:adjustRightInd w:val="0"/>
                    <w:snapToGrid w:val="0"/>
                    <w:jc w:val="center"/>
                    <w:rPr>
                      <w:color w:val="auto"/>
                      <w:szCs w:val="21"/>
                    </w:rPr>
                  </w:pPr>
                  <w:r>
                    <w:rPr>
                      <w:color w:val="auto"/>
                      <w:szCs w:val="21"/>
                    </w:rPr>
                    <w:t>固废代码</w:t>
                  </w:r>
                </w:p>
              </w:tc>
              <w:tc>
                <w:tcPr>
                  <w:tcW w:w="756" w:type="pct"/>
                  <w:tcBorders>
                    <w:tl2br w:val="nil"/>
                    <w:tr2bl w:val="nil"/>
                  </w:tcBorders>
                  <w:vAlign w:val="center"/>
                </w:tcPr>
                <w:p w14:paraId="55B9DF7D">
                  <w:pPr>
                    <w:adjustRightInd w:val="0"/>
                    <w:snapToGrid w:val="0"/>
                    <w:jc w:val="center"/>
                    <w:rPr>
                      <w:color w:val="auto"/>
                      <w:szCs w:val="21"/>
                    </w:rPr>
                  </w:pPr>
                  <w:r>
                    <w:rPr>
                      <w:color w:val="auto"/>
                      <w:szCs w:val="21"/>
                    </w:rPr>
                    <w:t>占地面积（m</w:t>
                  </w:r>
                  <w:r>
                    <w:rPr>
                      <w:color w:val="auto"/>
                      <w:szCs w:val="21"/>
                      <w:vertAlign w:val="superscript"/>
                    </w:rPr>
                    <w:t>2</w:t>
                  </w:r>
                  <w:r>
                    <w:rPr>
                      <w:color w:val="auto"/>
                      <w:szCs w:val="21"/>
                    </w:rPr>
                    <w:t>）</w:t>
                  </w:r>
                </w:p>
              </w:tc>
              <w:tc>
                <w:tcPr>
                  <w:tcW w:w="662" w:type="pct"/>
                  <w:tcBorders>
                    <w:tl2br w:val="nil"/>
                    <w:tr2bl w:val="nil"/>
                  </w:tcBorders>
                  <w:vAlign w:val="center"/>
                </w:tcPr>
                <w:p w14:paraId="2F8FC57D">
                  <w:pPr>
                    <w:adjustRightInd w:val="0"/>
                    <w:snapToGrid w:val="0"/>
                    <w:jc w:val="center"/>
                    <w:rPr>
                      <w:color w:val="auto"/>
                      <w:szCs w:val="21"/>
                    </w:rPr>
                  </w:pPr>
                  <w:r>
                    <w:rPr>
                      <w:color w:val="auto"/>
                      <w:szCs w:val="21"/>
                    </w:rPr>
                    <w:t>贮存方式</w:t>
                  </w:r>
                </w:p>
              </w:tc>
              <w:tc>
                <w:tcPr>
                  <w:tcW w:w="520" w:type="pct"/>
                  <w:tcBorders>
                    <w:tl2br w:val="nil"/>
                    <w:tr2bl w:val="nil"/>
                  </w:tcBorders>
                  <w:vAlign w:val="center"/>
                </w:tcPr>
                <w:p w14:paraId="176F2949">
                  <w:pPr>
                    <w:adjustRightInd w:val="0"/>
                    <w:snapToGrid w:val="0"/>
                    <w:jc w:val="center"/>
                    <w:rPr>
                      <w:color w:val="auto"/>
                      <w:szCs w:val="21"/>
                    </w:rPr>
                  </w:pPr>
                  <w:r>
                    <w:rPr>
                      <w:color w:val="auto"/>
                      <w:szCs w:val="21"/>
                    </w:rPr>
                    <w:t>贮</w:t>
                  </w:r>
                  <w:r>
                    <w:rPr>
                      <w:rFonts w:hint="eastAsia"/>
                      <w:color w:val="auto"/>
                      <w:szCs w:val="21"/>
                    </w:rPr>
                    <w:t>存</w:t>
                  </w:r>
                  <w:r>
                    <w:rPr>
                      <w:color w:val="auto"/>
                      <w:szCs w:val="21"/>
                    </w:rPr>
                    <w:t>能力（t）</w:t>
                  </w:r>
                </w:p>
              </w:tc>
              <w:tc>
                <w:tcPr>
                  <w:tcW w:w="619" w:type="pct"/>
                  <w:tcBorders>
                    <w:tl2br w:val="nil"/>
                    <w:tr2bl w:val="nil"/>
                  </w:tcBorders>
                  <w:vAlign w:val="center"/>
                </w:tcPr>
                <w:p w14:paraId="3AB80925">
                  <w:pPr>
                    <w:adjustRightInd w:val="0"/>
                    <w:snapToGrid w:val="0"/>
                    <w:jc w:val="center"/>
                    <w:rPr>
                      <w:color w:val="auto"/>
                      <w:szCs w:val="21"/>
                    </w:rPr>
                  </w:pPr>
                  <w:r>
                    <w:rPr>
                      <w:color w:val="auto"/>
                      <w:szCs w:val="21"/>
                    </w:rPr>
                    <w:t>贮存</w:t>
                  </w:r>
                </w:p>
                <w:p w14:paraId="7E0BCC12">
                  <w:pPr>
                    <w:adjustRightInd w:val="0"/>
                    <w:snapToGrid w:val="0"/>
                    <w:jc w:val="center"/>
                    <w:rPr>
                      <w:color w:val="auto"/>
                      <w:szCs w:val="21"/>
                    </w:rPr>
                  </w:pPr>
                  <w:r>
                    <w:rPr>
                      <w:color w:val="auto"/>
                      <w:szCs w:val="21"/>
                    </w:rPr>
                    <w:t>周期</w:t>
                  </w:r>
                </w:p>
              </w:tc>
            </w:tr>
            <w:tr w14:paraId="4B3B83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97" w:type="pct"/>
                  <w:tcBorders>
                    <w:tl2br w:val="nil"/>
                    <w:tr2bl w:val="nil"/>
                  </w:tcBorders>
                  <w:vAlign w:val="center"/>
                </w:tcPr>
                <w:p w14:paraId="017654BA">
                  <w:pPr>
                    <w:adjustRightInd w:val="0"/>
                    <w:snapToGrid w:val="0"/>
                    <w:jc w:val="center"/>
                    <w:rPr>
                      <w:color w:val="auto"/>
                      <w:sz w:val="21"/>
                      <w:szCs w:val="21"/>
                    </w:rPr>
                  </w:pPr>
                  <w:r>
                    <w:rPr>
                      <w:color w:val="auto"/>
                      <w:sz w:val="21"/>
                      <w:szCs w:val="21"/>
                    </w:rPr>
                    <w:t>1</w:t>
                  </w:r>
                </w:p>
              </w:tc>
              <w:tc>
                <w:tcPr>
                  <w:tcW w:w="620" w:type="pct"/>
                  <w:vMerge w:val="restart"/>
                  <w:tcBorders>
                    <w:tl2br w:val="nil"/>
                    <w:tr2bl w:val="nil"/>
                  </w:tcBorders>
                  <w:vAlign w:val="center"/>
                </w:tcPr>
                <w:p w14:paraId="46B37EDF">
                  <w:pPr>
                    <w:adjustRightInd w:val="0"/>
                    <w:snapToGrid w:val="0"/>
                    <w:jc w:val="center"/>
                    <w:rPr>
                      <w:color w:val="auto"/>
                      <w:sz w:val="21"/>
                      <w:szCs w:val="21"/>
                    </w:rPr>
                  </w:pPr>
                  <w:r>
                    <w:rPr>
                      <w:color w:val="auto"/>
                      <w:sz w:val="21"/>
                      <w:szCs w:val="21"/>
                    </w:rPr>
                    <w:t>一般</w:t>
                  </w:r>
                  <w:r>
                    <w:rPr>
                      <w:rFonts w:hint="eastAsia"/>
                      <w:color w:val="auto"/>
                      <w:sz w:val="21"/>
                      <w:szCs w:val="21"/>
                    </w:rPr>
                    <w:t>固废</w:t>
                  </w:r>
                  <w:r>
                    <w:rPr>
                      <w:color w:val="auto"/>
                      <w:sz w:val="21"/>
                      <w:szCs w:val="21"/>
                    </w:rPr>
                    <w:t>暂存间</w:t>
                  </w:r>
                </w:p>
              </w:tc>
              <w:tc>
                <w:tcPr>
                  <w:tcW w:w="734" w:type="pct"/>
                  <w:tcBorders>
                    <w:tl2br w:val="nil"/>
                    <w:tr2bl w:val="nil"/>
                  </w:tcBorders>
                  <w:vAlign w:val="center"/>
                </w:tcPr>
                <w:p w14:paraId="6203A94E">
                  <w:pPr>
                    <w:widowControl/>
                    <w:jc w:val="center"/>
                    <w:textAlignment w:val="center"/>
                    <w:rPr>
                      <w:rFonts w:hint="default" w:eastAsia="宋体"/>
                      <w:color w:val="auto"/>
                      <w:sz w:val="21"/>
                      <w:szCs w:val="21"/>
                      <w:lang w:val="en-US" w:eastAsia="zh-CN"/>
                    </w:rPr>
                  </w:pPr>
                  <w:r>
                    <w:rPr>
                      <w:rFonts w:hint="eastAsia"/>
                      <w:color w:val="auto"/>
                      <w:sz w:val="21"/>
                      <w:szCs w:val="21"/>
                      <w:lang w:val="en-US" w:eastAsia="zh-CN"/>
                    </w:rPr>
                    <w:t>废包装材料</w:t>
                  </w:r>
                </w:p>
              </w:tc>
              <w:tc>
                <w:tcPr>
                  <w:tcW w:w="787" w:type="pct"/>
                  <w:tcBorders>
                    <w:tl2br w:val="nil"/>
                    <w:tr2bl w:val="nil"/>
                  </w:tcBorders>
                  <w:vAlign w:val="center"/>
                </w:tcPr>
                <w:p w14:paraId="63429AE1">
                  <w:pPr>
                    <w:widowControl/>
                    <w:jc w:val="center"/>
                    <w:textAlignment w:val="center"/>
                    <w:rPr>
                      <w:color w:val="auto"/>
                      <w:sz w:val="21"/>
                      <w:szCs w:val="21"/>
                    </w:rPr>
                  </w:pPr>
                  <w:r>
                    <w:rPr>
                      <w:rFonts w:hint="eastAsia"/>
                      <w:color w:val="auto"/>
                      <w:kern w:val="0"/>
                      <w:sz w:val="21"/>
                      <w:szCs w:val="21"/>
                      <w:lang w:val="en-US" w:eastAsia="zh-CN" w:bidi="ar"/>
                    </w:rPr>
                    <w:t>900-005-S17</w:t>
                  </w:r>
                </w:p>
              </w:tc>
              <w:tc>
                <w:tcPr>
                  <w:tcW w:w="756" w:type="pct"/>
                  <w:vMerge w:val="restart"/>
                  <w:tcBorders>
                    <w:tl2br w:val="nil"/>
                    <w:tr2bl w:val="nil"/>
                  </w:tcBorders>
                  <w:vAlign w:val="center"/>
                </w:tcPr>
                <w:p w14:paraId="7B04C4AB">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20</w:t>
                  </w:r>
                </w:p>
              </w:tc>
              <w:tc>
                <w:tcPr>
                  <w:tcW w:w="662" w:type="pct"/>
                  <w:tcBorders>
                    <w:tl2br w:val="nil"/>
                    <w:tr2bl w:val="nil"/>
                  </w:tcBorders>
                  <w:vAlign w:val="center"/>
                </w:tcPr>
                <w:p w14:paraId="3E3CA7ED">
                  <w:pPr>
                    <w:adjustRightInd w:val="0"/>
                    <w:snapToGrid w:val="0"/>
                    <w:jc w:val="center"/>
                    <w:rPr>
                      <w:rFonts w:hint="default" w:eastAsia="宋体"/>
                      <w:color w:val="auto"/>
                      <w:sz w:val="21"/>
                      <w:szCs w:val="21"/>
                      <w:lang w:val="en-US" w:eastAsia="zh-CN"/>
                    </w:rPr>
                  </w:pPr>
                  <w:r>
                    <w:rPr>
                      <w:color w:val="auto"/>
                      <w:sz w:val="21"/>
                      <w:szCs w:val="21"/>
                    </w:rPr>
                    <w:t>袋装</w:t>
                  </w:r>
                </w:p>
              </w:tc>
              <w:tc>
                <w:tcPr>
                  <w:tcW w:w="520" w:type="pct"/>
                  <w:vMerge w:val="restart"/>
                  <w:tcBorders>
                    <w:tl2br w:val="nil"/>
                    <w:tr2bl w:val="nil"/>
                  </w:tcBorders>
                  <w:vAlign w:val="center"/>
                </w:tcPr>
                <w:p w14:paraId="5BF60EF3">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20</w:t>
                  </w:r>
                </w:p>
              </w:tc>
              <w:tc>
                <w:tcPr>
                  <w:tcW w:w="619" w:type="pct"/>
                  <w:vMerge w:val="restart"/>
                  <w:tcBorders>
                    <w:tl2br w:val="nil"/>
                    <w:tr2bl w:val="nil"/>
                  </w:tcBorders>
                  <w:vAlign w:val="center"/>
                </w:tcPr>
                <w:p w14:paraId="704307D0">
                  <w:pPr>
                    <w:adjustRightInd w:val="0"/>
                    <w:snapToGrid w:val="0"/>
                    <w:jc w:val="center"/>
                    <w:rPr>
                      <w:color w:val="auto"/>
                      <w:sz w:val="21"/>
                      <w:szCs w:val="21"/>
                    </w:rPr>
                  </w:pPr>
                  <w:r>
                    <w:rPr>
                      <w:rFonts w:hint="eastAsia"/>
                      <w:color w:val="auto"/>
                      <w:sz w:val="21"/>
                      <w:szCs w:val="21"/>
                      <w:lang w:val="en-US" w:eastAsia="zh-CN"/>
                    </w:rPr>
                    <w:t>1</w:t>
                  </w:r>
                  <w:r>
                    <w:rPr>
                      <w:rFonts w:hint="eastAsia"/>
                      <w:color w:val="auto"/>
                      <w:sz w:val="21"/>
                      <w:szCs w:val="21"/>
                    </w:rPr>
                    <w:t>2</w:t>
                  </w:r>
                  <w:r>
                    <w:rPr>
                      <w:color w:val="auto"/>
                      <w:sz w:val="21"/>
                      <w:szCs w:val="21"/>
                    </w:rPr>
                    <w:t>个月</w:t>
                  </w:r>
                </w:p>
              </w:tc>
            </w:tr>
            <w:tr w14:paraId="4CFFEE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97" w:type="pct"/>
                  <w:tcBorders>
                    <w:tl2br w:val="nil"/>
                    <w:tr2bl w:val="nil"/>
                  </w:tcBorders>
                  <w:vAlign w:val="center"/>
                </w:tcPr>
                <w:p w14:paraId="6CA61F31">
                  <w:pPr>
                    <w:adjustRightInd w:val="0"/>
                    <w:snapToGrid w:val="0"/>
                    <w:jc w:val="center"/>
                    <w:rPr>
                      <w:color w:val="auto"/>
                      <w:sz w:val="21"/>
                      <w:szCs w:val="21"/>
                    </w:rPr>
                  </w:pPr>
                  <w:r>
                    <w:rPr>
                      <w:rFonts w:hint="eastAsia"/>
                      <w:color w:val="auto"/>
                      <w:sz w:val="21"/>
                      <w:szCs w:val="21"/>
                    </w:rPr>
                    <w:t>2</w:t>
                  </w:r>
                </w:p>
              </w:tc>
              <w:tc>
                <w:tcPr>
                  <w:tcW w:w="620" w:type="pct"/>
                  <w:vMerge w:val="continue"/>
                  <w:tcBorders>
                    <w:tl2br w:val="nil"/>
                    <w:tr2bl w:val="nil"/>
                  </w:tcBorders>
                  <w:vAlign w:val="center"/>
                </w:tcPr>
                <w:p w14:paraId="13A7AF24">
                  <w:pPr>
                    <w:adjustRightInd w:val="0"/>
                    <w:snapToGrid w:val="0"/>
                    <w:jc w:val="center"/>
                    <w:rPr>
                      <w:color w:val="auto"/>
                      <w:sz w:val="21"/>
                      <w:szCs w:val="21"/>
                    </w:rPr>
                  </w:pPr>
                </w:p>
              </w:tc>
              <w:tc>
                <w:tcPr>
                  <w:tcW w:w="734" w:type="pct"/>
                  <w:tcBorders>
                    <w:tl2br w:val="nil"/>
                    <w:tr2bl w:val="nil"/>
                  </w:tcBorders>
                  <w:vAlign w:val="center"/>
                </w:tcPr>
                <w:p w14:paraId="65513700">
                  <w:pPr>
                    <w:widowControl/>
                    <w:jc w:val="center"/>
                    <w:textAlignment w:val="center"/>
                    <w:rPr>
                      <w:color w:val="auto"/>
                      <w:sz w:val="21"/>
                      <w:szCs w:val="21"/>
                    </w:rPr>
                  </w:pPr>
                  <w:r>
                    <w:rPr>
                      <w:rFonts w:hint="eastAsia" w:cs="Times New Roman"/>
                      <w:color w:val="auto"/>
                      <w:sz w:val="21"/>
                      <w:szCs w:val="21"/>
                      <w:highlight w:val="none"/>
                      <w:shd w:val="clear" w:color="auto" w:fill="auto"/>
                      <w:lang w:val="en-US" w:eastAsia="zh-CN"/>
                    </w:rPr>
                    <w:t>废边角料</w:t>
                  </w:r>
                </w:p>
              </w:tc>
              <w:tc>
                <w:tcPr>
                  <w:tcW w:w="787" w:type="pct"/>
                  <w:tcBorders>
                    <w:tl2br w:val="nil"/>
                    <w:tr2bl w:val="nil"/>
                  </w:tcBorders>
                  <w:vAlign w:val="center"/>
                </w:tcPr>
                <w:p w14:paraId="69F5E4C8">
                  <w:pPr>
                    <w:widowControl/>
                    <w:jc w:val="center"/>
                    <w:textAlignment w:val="center"/>
                    <w:rPr>
                      <w:rFonts w:hint="eastAsia" w:eastAsia="宋体"/>
                      <w:color w:val="auto"/>
                      <w:sz w:val="21"/>
                      <w:szCs w:val="21"/>
                      <w:lang w:val="en-US" w:eastAsia="zh-CN"/>
                    </w:rPr>
                  </w:pPr>
                  <w:r>
                    <w:rPr>
                      <w:rFonts w:hint="eastAsia"/>
                      <w:color w:val="auto"/>
                      <w:kern w:val="0"/>
                      <w:sz w:val="21"/>
                      <w:szCs w:val="21"/>
                      <w:lang w:val="en-US" w:eastAsia="zh-CN" w:bidi="ar"/>
                    </w:rPr>
                    <w:t>900-003-S17</w:t>
                  </w:r>
                </w:p>
              </w:tc>
              <w:tc>
                <w:tcPr>
                  <w:tcW w:w="756" w:type="pct"/>
                  <w:vMerge w:val="continue"/>
                  <w:tcBorders>
                    <w:tl2br w:val="nil"/>
                    <w:tr2bl w:val="nil"/>
                  </w:tcBorders>
                  <w:vAlign w:val="center"/>
                </w:tcPr>
                <w:p w14:paraId="7FB4711F">
                  <w:pPr>
                    <w:adjustRightInd w:val="0"/>
                    <w:snapToGrid w:val="0"/>
                    <w:jc w:val="center"/>
                    <w:rPr>
                      <w:color w:val="auto"/>
                      <w:sz w:val="21"/>
                      <w:szCs w:val="21"/>
                    </w:rPr>
                  </w:pPr>
                </w:p>
              </w:tc>
              <w:tc>
                <w:tcPr>
                  <w:tcW w:w="662" w:type="pct"/>
                  <w:tcBorders>
                    <w:tl2br w:val="nil"/>
                    <w:tr2bl w:val="nil"/>
                  </w:tcBorders>
                  <w:vAlign w:val="center"/>
                </w:tcPr>
                <w:p w14:paraId="5DA3CDA7">
                  <w:pPr>
                    <w:adjustRightInd w:val="0"/>
                    <w:snapToGrid w:val="0"/>
                    <w:jc w:val="center"/>
                    <w:rPr>
                      <w:color w:val="auto"/>
                      <w:sz w:val="21"/>
                      <w:szCs w:val="21"/>
                    </w:rPr>
                  </w:pPr>
                  <w:r>
                    <w:rPr>
                      <w:color w:val="auto"/>
                      <w:sz w:val="21"/>
                      <w:szCs w:val="21"/>
                    </w:rPr>
                    <w:t>袋装</w:t>
                  </w:r>
                </w:p>
              </w:tc>
              <w:tc>
                <w:tcPr>
                  <w:tcW w:w="520" w:type="pct"/>
                  <w:vMerge w:val="continue"/>
                  <w:tcBorders>
                    <w:tl2br w:val="nil"/>
                    <w:tr2bl w:val="nil"/>
                  </w:tcBorders>
                  <w:vAlign w:val="center"/>
                </w:tcPr>
                <w:p w14:paraId="22C21175">
                  <w:pPr>
                    <w:adjustRightInd w:val="0"/>
                    <w:snapToGrid w:val="0"/>
                    <w:jc w:val="center"/>
                    <w:rPr>
                      <w:color w:val="auto"/>
                      <w:sz w:val="21"/>
                      <w:szCs w:val="21"/>
                    </w:rPr>
                  </w:pPr>
                </w:p>
              </w:tc>
              <w:tc>
                <w:tcPr>
                  <w:tcW w:w="619" w:type="pct"/>
                  <w:vMerge w:val="continue"/>
                  <w:tcBorders>
                    <w:tl2br w:val="nil"/>
                    <w:tr2bl w:val="nil"/>
                  </w:tcBorders>
                  <w:vAlign w:val="center"/>
                </w:tcPr>
                <w:p w14:paraId="2FE9B6B9">
                  <w:pPr>
                    <w:adjustRightInd w:val="0"/>
                    <w:snapToGrid w:val="0"/>
                    <w:jc w:val="center"/>
                    <w:rPr>
                      <w:color w:val="auto"/>
                      <w:sz w:val="21"/>
                      <w:szCs w:val="21"/>
                    </w:rPr>
                  </w:pPr>
                </w:p>
              </w:tc>
            </w:tr>
            <w:tr w14:paraId="5CB83A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7" w:type="pct"/>
                  <w:tcBorders>
                    <w:tl2br w:val="nil"/>
                    <w:tr2bl w:val="nil"/>
                  </w:tcBorders>
                  <w:vAlign w:val="center"/>
                </w:tcPr>
                <w:p w14:paraId="35FC1D5D">
                  <w:pPr>
                    <w:adjustRightInd w:val="0"/>
                    <w:snapToGrid w:val="0"/>
                    <w:jc w:val="center"/>
                    <w:rPr>
                      <w:rFonts w:hint="default"/>
                      <w:color w:val="auto"/>
                      <w:sz w:val="21"/>
                      <w:szCs w:val="21"/>
                      <w:lang w:val="en-US" w:eastAsia="zh-CN"/>
                    </w:rPr>
                  </w:pPr>
                  <w:r>
                    <w:rPr>
                      <w:rFonts w:hint="eastAsia"/>
                      <w:color w:val="auto"/>
                      <w:sz w:val="21"/>
                      <w:szCs w:val="21"/>
                      <w:lang w:val="en-US" w:eastAsia="zh-CN"/>
                    </w:rPr>
                    <w:t>3</w:t>
                  </w:r>
                </w:p>
              </w:tc>
              <w:tc>
                <w:tcPr>
                  <w:tcW w:w="620" w:type="pct"/>
                  <w:vMerge w:val="continue"/>
                  <w:tcBorders>
                    <w:tl2br w:val="nil"/>
                    <w:tr2bl w:val="nil"/>
                  </w:tcBorders>
                  <w:vAlign w:val="center"/>
                </w:tcPr>
                <w:p w14:paraId="0FFF287F">
                  <w:pPr>
                    <w:adjustRightInd w:val="0"/>
                    <w:snapToGrid w:val="0"/>
                    <w:jc w:val="center"/>
                    <w:rPr>
                      <w:rFonts w:hint="eastAsia"/>
                      <w:color w:val="auto"/>
                      <w:sz w:val="21"/>
                      <w:szCs w:val="21"/>
                      <w:lang w:val="en-US" w:eastAsia="zh-CN"/>
                    </w:rPr>
                  </w:pPr>
                </w:p>
              </w:tc>
              <w:tc>
                <w:tcPr>
                  <w:tcW w:w="734" w:type="pct"/>
                  <w:tcBorders>
                    <w:tl2br w:val="nil"/>
                    <w:tr2bl w:val="nil"/>
                  </w:tcBorders>
                  <w:shd w:val="clear" w:color="auto" w:fill="auto"/>
                  <w:vAlign w:val="center"/>
                </w:tcPr>
                <w:p w14:paraId="378A3F0E">
                  <w:pPr>
                    <w:widowControl/>
                    <w:jc w:val="center"/>
                    <w:textAlignment w:val="center"/>
                    <w:rPr>
                      <w:rFonts w:hint="eastAsia"/>
                      <w:color w:val="auto"/>
                      <w:szCs w:val="21"/>
                      <w:lang w:val="en-US" w:eastAsia="zh-CN"/>
                    </w:rPr>
                  </w:pPr>
                  <w:r>
                    <w:rPr>
                      <w:rFonts w:hint="eastAsia"/>
                      <w:color w:val="auto"/>
                      <w:szCs w:val="21"/>
                      <w:lang w:val="en-US" w:eastAsia="zh-CN"/>
                    </w:rPr>
                    <w:t>废劳保用品</w:t>
                  </w:r>
                </w:p>
              </w:tc>
              <w:tc>
                <w:tcPr>
                  <w:tcW w:w="787" w:type="pct"/>
                  <w:tcBorders>
                    <w:tl2br w:val="nil"/>
                    <w:tr2bl w:val="nil"/>
                  </w:tcBorders>
                  <w:shd w:val="clear" w:color="auto" w:fill="auto"/>
                  <w:vAlign w:val="center"/>
                </w:tcPr>
                <w:p w14:paraId="73AC17A1">
                  <w:pPr>
                    <w:widowControl/>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lang w:bidi="ar"/>
                    </w:rPr>
                    <w:t>900-0</w:t>
                  </w:r>
                  <w:r>
                    <w:rPr>
                      <w:rFonts w:hint="eastAsia"/>
                      <w:color w:val="auto"/>
                      <w:sz w:val="21"/>
                      <w:szCs w:val="21"/>
                      <w:lang w:val="en-US" w:eastAsia="zh-CN" w:bidi="ar"/>
                    </w:rPr>
                    <w:t>41</w:t>
                  </w:r>
                  <w:r>
                    <w:rPr>
                      <w:color w:val="auto"/>
                      <w:sz w:val="21"/>
                      <w:szCs w:val="21"/>
                      <w:lang w:bidi="ar"/>
                    </w:rPr>
                    <w:t>-49</w:t>
                  </w:r>
                </w:p>
              </w:tc>
              <w:tc>
                <w:tcPr>
                  <w:tcW w:w="756" w:type="pct"/>
                  <w:vMerge w:val="continue"/>
                  <w:tcBorders>
                    <w:tl2br w:val="nil"/>
                    <w:tr2bl w:val="nil"/>
                  </w:tcBorders>
                  <w:vAlign w:val="center"/>
                </w:tcPr>
                <w:p w14:paraId="79990C6C">
                  <w:pPr>
                    <w:adjustRightInd w:val="0"/>
                    <w:snapToGrid w:val="0"/>
                    <w:jc w:val="center"/>
                    <w:rPr>
                      <w:rFonts w:hint="eastAsia"/>
                      <w:color w:val="auto"/>
                      <w:sz w:val="21"/>
                      <w:szCs w:val="21"/>
                      <w:lang w:val="en-US" w:eastAsia="zh-CN"/>
                    </w:rPr>
                  </w:pPr>
                </w:p>
              </w:tc>
              <w:tc>
                <w:tcPr>
                  <w:tcW w:w="662" w:type="pct"/>
                  <w:tcBorders>
                    <w:tl2br w:val="nil"/>
                    <w:tr2bl w:val="nil"/>
                  </w:tcBorders>
                  <w:shd w:val="clear" w:color="auto" w:fill="auto"/>
                  <w:vAlign w:val="center"/>
                </w:tcPr>
                <w:p w14:paraId="10937A1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箱装</w:t>
                  </w:r>
                </w:p>
              </w:tc>
              <w:tc>
                <w:tcPr>
                  <w:tcW w:w="520" w:type="pct"/>
                  <w:vMerge w:val="continue"/>
                  <w:tcBorders>
                    <w:tl2br w:val="nil"/>
                    <w:tr2bl w:val="nil"/>
                  </w:tcBorders>
                  <w:vAlign w:val="center"/>
                </w:tcPr>
                <w:p w14:paraId="3579DF71">
                  <w:pPr>
                    <w:adjustRightInd w:val="0"/>
                    <w:snapToGrid w:val="0"/>
                    <w:jc w:val="center"/>
                    <w:rPr>
                      <w:rFonts w:hint="eastAsia"/>
                      <w:color w:val="auto"/>
                      <w:sz w:val="21"/>
                      <w:szCs w:val="21"/>
                      <w:lang w:val="en-US" w:eastAsia="zh-CN"/>
                    </w:rPr>
                  </w:pPr>
                </w:p>
              </w:tc>
              <w:tc>
                <w:tcPr>
                  <w:tcW w:w="619" w:type="pct"/>
                  <w:vMerge w:val="continue"/>
                  <w:tcBorders>
                    <w:tl2br w:val="nil"/>
                    <w:tr2bl w:val="nil"/>
                  </w:tcBorders>
                  <w:shd w:val="clear" w:color="auto" w:fill="auto"/>
                  <w:vAlign w:val="center"/>
                </w:tcPr>
                <w:p w14:paraId="01BBC0DC">
                  <w:pPr>
                    <w:adjustRightInd w:val="0"/>
                    <w:snapToGrid w:val="0"/>
                    <w:jc w:val="center"/>
                    <w:rPr>
                      <w:rFonts w:hint="eastAsia"/>
                      <w:color w:val="auto"/>
                      <w:sz w:val="21"/>
                      <w:szCs w:val="21"/>
                      <w:lang w:val="en-US" w:eastAsia="zh-CN"/>
                    </w:rPr>
                  </w:pPr>
                </w:p>
              </w:tc>
            </w:tr>
            <w:tr w14:paraId="41B34B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7" w:type="pct"/>
                  <w:tcBorders>
                    <w:tl2br w:val="nil"/>
                    <w:tr2bl w:val="nil"/>
                  </w:tcBorders>
                  <w:vAlign w:val="center"/>
                </w:tcPr>
                <w:p w14:paraId="5406D4AB">
                  <w:pPr>
                    <w:adjustRightInd w:val="0"/>
                    <w:snapToGrid w:val="0"/>
                    <w:jc w:val="center"/>
                    <w:rPr>
                      <w:rFonts w:hint="default"/>
                      <w:color w:val="auto"/>
                      <w:sz w:val="21"/>
                      <w:szCs w:val="21"/>
                      <w:lang w:val="en-US" w:eastAsia="zh-CN"/>
                    </w:rPr>
                  </w:pPr>
                  <w:r>
                    <w:rPr>
                      <w:rFonts w:hint="eastAsia"/>
                      <w:color w:val="auto"/>
                      <w:sz w:val="21"/>
                      <w:szCs w:val="21"/>
                      <w:lang w:val="en-US" w:eastAsia="zh-CN"/>
                    </w:rPr>
                    <w:t>4</w:t>
                  </w:r>
                </w:p>
              </w:tc>
              <w:tc>
                <w:tcPr>
                  <w:tcW w:w="620" w:type="pct"/>
                  <w:vMerge w:val="restart"/>
                  <w:tcBorders>
                    <w:tl2br w:val="nil"/>
                    <w:tr2bl w:val="nil"/>
                  </w:tcBorders>
                  <w:vAlign w:val="center"/>
                </w:tcPr>
                <w:p w14:paraId="5040942E">
                  <w:pPr>
                    <w:adjustRightInd w:val="0"/>
                    <w:snapToGrid w:val="0"/>
                    <w:jc w:val="center"/>
                    <w:rPr>
                      <w:rFonts w:hint="default"/>
                      <w:color w:val="auto"/>
                      <w:sz w:val="21"/>
                      <w:szCs w:val="21"/>
                      <w:lang w:val="en-US" w:eastAsia="zh-CN"/>
                    </w:rPr>
                  </w:pPr>
                  <w:r>
                    <w:rPr>
                      <w:rFonts w:hint="eastAsia"/>
                      <w:color w:val="auto"/>
                      <w:sz w:val="21"/>
                      <w:szCs w:val="21"/>
                      <w:lang w:val="en-US" w:eastAsia="zh-CN"/>
                    </w:rPr>
                    <w:t>危废暂存间</w:t>
                  </w:r>
                </w:p>
              </w:tc>
              <w:tc>
                <w:tcPr>
                  <w:tcW w:w="734" w:type="pct"/>
                  <w:tcBorders>
                    <w:tl2br w:val="nil"/>
                    <w:tr2bl w:val="nil"/>
                  </w:tcBorders>
                  <w:shd w:val="clear" w:color="auto" w:fill="auto"/>
                  <w:vAlign w:val="center"/>
                </w:tcPr>
                <w:p w14:paraId="00B3C4FD">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废活性炭</w:t>
                  </w:r>
                </w:p>
              </w:tc>
              <w:tc>
                <w:tcPr>
                  <w:tcW w:w="787" w:type="pct"/>
                  <w:tcBorders>
                    <w:tl2br w:val="nil"/>
                    <w:tr2bl w:val="nil"/>
                  </w:tcBorders>
                  <w:vAlign w:val="center"/>
                </w:tcPr>
                <w:p w14:paraId="2C839B05">
                  <w:pPr>
                    <w:widowControl/>
                    <w:spacing w:line="240" w:lineRule="auto"/>
                    <w:ind w:firstLine="0" w:firstLineChars="0"/>
                    <w:jc w:val="center"/>
                    <w:rPr>
                      <w:rFonts w:hint="default"/>
                      <w:color w:val="auto"/>
                      <w:sz w:val="21"/>
                      <w:szCs w:val="21"/>
                      <w:lang w:val="en-US" w:eastAsia="zh-CN" w:bidi="ar"/>
                    </w:rPr>
                  </w:pPr>
                  <w:r>
                    <w:rPr>
                      <w:color w:val="auto"/>
                      <w:sz w:val="21"/>
                      <w:szCs w:val="21"/>
                      <w:lang w:bidi="ar"/>
                    </w:rPr>
                    <w:t>900-039-49</w:t>
                  </w:r>
                </w:p>
              </w:tc>
              <w:tc>
                <w:tcPr>
                  <w:tcW w:w="756" w:type="pct"/>
                  <w:vMerge w:val="restart"/>
                  <w:tcBorders>
                    <w:tl2br w:val="nil"/>
                    <w:tr2bl w:val="nil"/>
                  </w:tcBorders>
                  <w:vAlign w:val="center"/>
                </w:tcPr>
                <w:p w14:paraId="5220F362">
                  <w:pPr>
                    <w:adjustRightInd w:val="0"/>
                    <w:snapToGrid w:val="0"/>
                    <w:jc w:val="center"/>
                    <w:rPr>
                      <w:rFonts w:hint="default"/>
                      <w:color w:val="auto"/>
                      <w:sz w:val="21"/>
                      <w:szCs w:val="21"/>
                      <w:lang w:val="en-US" w:eastAsia="zh-CN"/>
                    </w:rPr>
                  </w:pPr>
                  <w:r>
                    <w:rPr>
                      <w:rFonts w:hint="eastAsia"/>
                      <w:color w:val="auto"/>
                      <w:sz w:val="21"/>
                      <w:szCs w:val="21"/>
                      <w:lang w:val="en-US" w:eastAsia="zh-CN"/>
                    </w:rPr>
                    <w:t>15</w:t>
                  </w:r>
                </w:p>
              </w:tc>
              <w:tc>
                <w:tcPr>
                  <w:tcW w:w="662" w:type="pct"/>
                  <w:tcBorders>
                    <w:tl2br w:val="nil"/>
                    <w:tr2bl w:val="nil"/>
                  </w:tcBorders>
                  <w:vAlign w:val="center"/>
                </w:tcPr>
                <w:p w14:paraId="23A138B3">
                  <w:pPr>
                    <w:adjustRightInd w:val="0"/>
                    <w:snapToGrid w:val="0"/>
                    <w:jc w:val="center"/>
                    <w:rPr>
                      <w:rFonts w:hint="default" w:eastAsia="宋体"/>
                      <w:color w:val="auto"/>
                      <w:sz w:val="21"/>
                      <w:szCs w:val="21"/>
                      <w:lang w:val="en-US" w:eastAsia="zh-CN"/>
                    </w:rPr>
                  </w:pPr>
                  <w:r>
                    <w:rPr>
                      <w:color w:val="auto"/>
                      <w:sz w:val="21"/>
                      <w:szCs w:val="21"/>
                    </w:rPr>
                    <w:t>袋装</w:t>
                  </w:r>
                </w:p>
              </w:tc>
              <w:tc>
                <w:tcPr>
                  <w:tcW w:w="520" w:type="pct"/>
                  <w:vMerge w:val="restart"/>
                  <w:tcBorders>
                    <w:tl2br w:val="nil"/>
                    <w:tr2bl w:val="nil"/>
                  </w:tcBorders>
                  <w:vAlign w:val="center"/>
                </w:tcPr>
                <w:p w14:paraId="6139C754">
                  <w:pPr>
                    <w:adjustRightInd w:val="0"/>
                    <w:snapToGrid w:val="0"/>
                    <w:jc w:val="center"/>
                    <w:rPr>
                      <w:rFonts w:hint="default"/>
                      <w:color w:val="auto"/>
                      <w:sz w:val="21"/>
                      <w:szCs w:val="21"/>
                      <w:lang w:val="en-US" w:eastAsia="zh-CN"/>
                    </w:rPr>
                  </w:pPr>
                  <w:r>
                    <w:rPr>
                      <w:rFonts w:hint="eastAsia"/>
                      <w:color w:val="auto"/>
                      <w:sz w:val="21"/>
                      <w:szCs w:val="21"/>
                      <w:lang w:val="en-US" w:eastAsia="zh-CN"/>
                    </w:rPr>
                    <w:t>15</w:t>
                  </w:r>
                </w:p>
              </w:tc>
              <w:tc>
                <w:tcPr>
                  <w:tcW w:w="619" w:type="pct"/>
                  <w:vMerge w:val="restart"/>
                  <w:tcBorders>
                    <w:tl2br w:val="nil"/>
                    <w:tr2bl w:val="nil"/>
                  </w:tcBorders>
                  <w:shd w:val="clear" w:color="auto" w:fill="auto"/>
                  <w:vAlign w:val="center"/>
                </w:tcPr>
                <w:p w14:paraId="6802D1A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w:t>
                  </w:r>
                  <w:r>
                    <w:rPr>
                      <w:rFonts w:hint="eastAsia"/>
                      <w:color w:val="auto"/>
                      <w:sz w:val="21"/>
                      <w:szCs w:val="21"/>
                    </w:rPr>
                    <w:t>2</w:t>
                  </w:r>
                  <w:r>
                    <w:rPr>
                      <w:color w:val="auto"/>
                      <w:sz w:val="21"/>
                      <w:szCs w:val="21"/>
                    </w:rPr>
                    <w:t>个月</w:t>
                  </w:r>
                </w:p>
              </w:tc>
            </w:tr>
            <w:tr w14:paraId="6D56E6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7" w:type="pct"/>
                  <w:tcBorders>
                    <w:tl2br w:val="nil"/>
                    <w:tr2bl w:val="nil"/>
                  </w:tcBorders>
                  <w:vAlign w:val="center"/>
                </w:tcPr>
                <w:p w14:paraId="552869C4">
                  <w:pPr>
                    <w:adjustRightInd w:val="0"/>
                    <w:snapToGrid w:val="0"/>
                    <w:jc w:val="center"/>
                    <w:rPr>
                      <w:rFonts w:hint="default"/>
                      <w:color w:val="auto"/>
                      <w:sz w:val="21"/>
                      <w:szCs w:val="21"/>
                      <w:lang w:val="en-US" w:eastAsia="zh-CN"/>
                    </w:rPr>
                  </w:pPr>
                  <w:r>
                    <w:rPr>
                      <w:rFonts w:hint="eastAsia"/>
                      <w:color w:val="auto"/>
                      <w:sz w:val="21"/>
                      <w:szCs w:val="21"/>
                      <w:lang w:val="en-US" w:eastAsia="zh-CN"/>
                    </w:rPr>
                    <w:t>5</w:t>
                  </w:r>
                </w:p>
              </w:tc>
              <w:tc>
                <w:tcPr>
                  <w:tcW w:w="620" w:type="pct"/>
                  <w:vMerge w:val="continue"/>
                  <w:tcBorders>
                    <w:tl2br w:val="nil"/>
                    <w:tr2bl w:val="nil"/>
                  </w:tcBorders>
                  <w:vAlign w:val="center"/>
                </w:tcPr>
                <w:p w14:paraId="15A2A9F8">
                  <w:pPr>
                    <w:adjustRightInd w:val="0"/>
                    <w:snapToGrid w:val="0"/>
                    <w:jc w:val="center"/>
                    <w:rPr>
                      <w:rFonts w:hint="default"/>
                      <w:color w:val="auto"/>
                      <w:sz w:val="21"/>
                      <w:szCs w:val="21"/>
                      <w:lang w:val="en-US" w:eastAsia="zh-CN"/>
                    </w:rPr>
                  </w:pPr>
                </w:p>
              </w:tc>
              <w:tc>
                <w:tcPr>
                  <w:tcW w:w="734" w:type="pct"/>
                  <w:tcBorders>
                    <w:tl2br w:val="nil"/>
                    <w:tr2bl w:val="nil"/>
                  </w:tcBorders>
                  <w:shd w:val="clear" w:color="auto" w:fill="auto"/>
                  <w:vAlign w:val="center"/>
                </w:tcPr>
                <w:p w14:paraId="20244C47">
                  <w:pPr>
                    <w:widowControl/>
                    <w:jc w:val="center"/>
                    <w:textAlignment w:val="center"/>
                    <w:rPr>
                      <w:rFonts w:hint="default"/>
                      <w:color w:val="auto"/>
                      <w:sz w:val="21"/>
                      <w:szCs w:val="21"/>
                      <w:lang w:val="en-US" w:eastAsia="zh-CN"/>
                    </w:rPr>
                  </w:pPr>
                  <w:r>
                    <w:rPr>
                      <w:rFonts w:hint="eastAsia"/>
                      <w:color w:val="auto"/>
                      <w:szCs w:val="21"/>
                      <w:lang w:val="en-US" w:eastAsia="zh-CN"/>
                    </w:rPr>
                    <w:t>废包装桶</w:t>
                  </w:r>
                </w:p>
              </w:tc>
              <w:tc>
                <w:tcPr>
                  <w:tcW w:w="787" w:type="pct"/>
                  <w:tcBorders>
                    <w:tl2br w:val="nil"/>
                    <w:tr2bl w:val="nil"/>
                  </w:tcBorders>
                  <w:vAlign w:val="center"/>
                </w:tcPr>
                <w:p w14:paraId="3A9370E5">
                  <w:pPr>
                    <w:widowControl/>
                    <w:spacing w:line="240" w:lineRule="auto"/>
                    <w:ind w:firstLine="0" w:firstLineChars="0"/>
                    <w:jc w:val="center"/>
                    <w:rPr>
                      <w:rFonts w:hint="eastAsia"/>
                      <w:color w:val="auto"/>
                      <w:sz w:val="21"/>
                      <w:szCs w:val="21"/>
                      <w:lang w:val="en-US" w:eastAsia="zh-CN" w:bidi="ar"/>
                    </w:rPr>
                  </w:pPr>
                  <w:r>
                    <w:rPr>
                      <w:color w:val="auto"/>
                      <w:sz w:val="21"/>
                      <w:szCs w:val="21"/>
                      <w:lang w:bidi="ar"/>
                    </w:rPr>
                    <w:t>900-0</w:t>
                  </w:r>
                  <w:r>
                    <w:rPr>
                      <w:rFonts w:hint="eastAsia"/>
                      <w:color w:val="auto"/>
                      <w:sz w:val="21"/>
                      <w:szCs w:val="21"/>
                      <w:lang w:val="en-US" w:eastAsia="zh-CN" w:bidi="ar"/>
                    </w:rPr>
                    <w:t>41</w:t>
                  </w:r>
                  <w:r>
                    <w:rPr>
                      <w:color w:val="auto"/>
                      <w:sz w:val="21"/>
                      <w:szCs w:val="21"/>
                      <w:lang w:bidi="ar"/>
                    </w:rPr>
                    <w:t>-49</w:t>
                  </w:r>
                </w:p>
              </w:tc>
              <w:tc>
                <w:tcPr>
                  <w:tcW w:w="756" w:type="pct"/>
                  <w:vMerge w:val="continue"/>
                  <w:tcBorders>
                    <w:tl2br w:val="nil"/>
                    <w:tr2bl w:val="nil"/>
                  </w:tcBorders>
                  <w:vAlign w:val="center"/>
                </w:tcPr>
                <w:p w14:paraId="7AD112D3">
                  <w:pPr>
                    <w:adjustRightInd w:val="0"/>
                    <w:snapToGrid w:val="0"/>
                    <w:jc w:val="center"/>
                    <w:rPr>
                      <w:rFonts w:hint="default"/>
                      <w:color w:val="auto"/>
                      <w:sz w:val="21"/>
                      <w:szCs w:val="21"/>
                      <w:lang w:val="en-US" w:eastAsia="zh-CN"/>
                    </w:rPr>
                  </w:pPr>
                </w:p>
              </w:tc>
              <w:tc>
                <w:tcPr>
                  <w:tcW w:w="662" w:type="pct"/>
                  <w:tcBorders>
                    <w:tl2br w:val="nil"/>
                    <w:tr2bl w:val="nil"/>
                  </w:tcBorders>
                  <w:vAlign w:val="center"/>
                </w:tcPr>
                <w:p w14:paraId="7D9927AD">
                  <w:pPr>
                    <w:adjustRightInd w:val="0"/>
                    <w:snapToGrid w:val="0"/>
                    <w:jc w:val="center"/>
                    <w:rPr>
                      <w:rFonts w:hint="eastAsia"/>
                      <w:color w:val="auto"/>
                      <w:sz w:val="21"/>
                      <w:szCs w:val="21"/>
                      <w:lang w:val="en-US" w:eastAsia="zh-CN"/>
                    </w:rPr>
                  </w:pPr>
                  <w:r>
                    <w:rPr>
                      <w:color w:val="auto"/>
                      <w:sz w:val="21"/>
                      <w:szCs w:val="21"/>
                    </w:rPr>
                    <w:t>袋装</w:t>
                  </w:r>
                </w:p>
              </w:tc>
              <w:tc>
                <w:tcPr>
                  <w:tcW w:w="520" w:type="pct"/>
                  <w:vMerge w:val="continue"/>
                  <w:tcBorders>
                    <w:tl2br w:val="nil"/>
                    <w:tr2bl w:val="nil"/>
                  </w:tcBorders>
                  <w:vAlign w:val="center"/>
                </w:tcPr>
                <w:p w14:paraId="6F057F92">
                  <w:pPr>
                    <w:adjustRightInd w:val="0"/>
                    <w:snapToGrid w:val="0"/>
                    <w:jc w:val="center"/>
                    <w:rPr>
                      <w:rFonts w:hint="default"/>
                      <w:color w:val="auto"/>
                      <w:sz w:val="21"/>
                      <w:szCs w:val="21"/>
                      <w:lang w:val="en-US" w:eastAsia="zh-CN"/>
                    </w:rPr>
                  </w:pPr>
                </w:p>
              </w:tc>
              <w:tc>
                <w:tcPr>
                  <w:tcW w:w="619" w:type="pct"/>
                  <w:vMerge w:val="continue"/>
                  <w:tcBorders>
                    <w:tl2br w:val="nil"/>
                    <w:tr2bl w:val="nil"/>
                  </w:tcBorders>
                  <w:vAlign w:val="center"/>
                </w:tcPr>
                <w:p w14:paraId="0F3C57DA">
                  <w:pPr>
                    <w:adjustRightInd w:val="0"/>
                    <w:snapToGrid w:val="0"/>
                    <w:jc w:val="center"/>
                    <w:rPr>
                      <w:rFonts w:hint="default"/>
                      <w:color w:val="auto"/>
                      <w:sz w:val="21"/>
                      <w:szCs w:val="21"/>
                      <w:lang w:val="en-US" w:eastAsia="zh-CN"/>
                    </w:rPr>
                  </w:pPr>
                </w:p>
              </w:tc>
            </w:tr>
            <w:tr w14:paraId="32D3F3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7" w:type="pct"/>
                  <w:tcBorders>
                    <w:tl2br w:val="nil"/>
                    <w:tr2bl w:val="nil"/>
                  </w:tcBorders>
                  <w:vAlign w:val="center"/>
                </w:tcPr>
                <w:p w14:paraId="60C4991E">
                  <w:pPr>
                    <w:adjustRightInd w:val="0"/>
                    <w:snapToGrid w:val="0"/>
                    <w:jc w:val="center"/>
                    <w:rPr>
                      <w:rFonts w:hint="default"/>
                      <w:color w:val="auto"/>
                      <w:sz w:val="21"/>
                      <w:szCs w:val="21"/>
                      <w:lang w:val="en-US" w:eastAsia="zh-CN"/>
                    </w:rPr>
                  </w:pPr>
                  <w:r>
                    <w:rPr>
                      <w:rFonts w:hint="eastAsia"/>
                      <w:color w:val="auto"/>
                      <w:sz w:val="21"/>
                      <w:szCs w:val="21"/>
                      <w:lang w:val="en-US" w:eastAsia="zh-CN"/>
                    </w:rPr>
                    <w:t>6</w:t>
                  </w:r>
                </w:p>
              </w:tc>
              <w:tc>
                <w:tcPr>
                  <w:tcW w:w="620" w:type="pct"/>
                  <w:vMerge w:val="continue"/>
                  <w:tcBorders>
                    <w:tl2br w:val="nil"/>
                    <w:tr2bl w:val="nil"/>
                  </w:tcBorders>
                  <w:vAlign w:val="center"/>
                </w:tcPr>
                <w:p w14:paraId="4DFB542F">
                  <w:pPr>
                    <w:adjustRightInd w:val="0"/>
                    <w:snapToGrid w:val="0"/>
                    <w:jc w:val="center"/>
                    <w:rPr>
                      <w:rFonts w:hint="default"/>
                      <w:color w:val="auto"/>
                      <w:sz w:val="21"/>
                      <w:szCs w:val="21"/>
                      <w:lang w:val="en-US" w:eastAsia="zh-CN"/>
                    </w:rPr>
                  </w:pPr>
                </w:p>
              </w:tc>
              <w:tc>
                <w:tcPr>
                  <w:tcW w:w="734" w:type="pct"/>
                  <w:tcBorders>
                    <w:tl2br w:val="nil"/>
                    <w:tr2bl w:val="nil"/>
                  </w:tcBorders>
                  <w:shd w:val="clear" w:color="auto" w:fill="auto"/>
                  <w:vAlign w:val="center"/>
                </w:tcPr>
                <w:p w14:paraId="4F3C2695">
                  <w:pPr>
                    <w:widowControl/>
                    <w:jc w:val="center"/>
                    <w:textAlignment w:val="center"/>
                    <w:rPr>
                      <w:rFonts w:hint="eastAsia"/>
                      <w:color w:val="auto"/>
                      <w:szCs w:val="21"/>
                      <w:lang w:val="en-US" w:eastAsia="zh-CN"/>
                    </w:rPr>
                  </w:pPr>
                  <w:r>
                    <w:rPr>
                      <w:rFonts w:hint="eastAsia"/>
                      <w:color w:val="auto"/>
                      <w:szCs w:val="21"/>
                      <w:lang w:val="en-US" w:eastAsia="zh-CN"/>
                    </w:rPr>
                    <w:t>废润滑油</w:t>
                  </w:r>
                </w:p>
              </w:tc>
              <w:tc>
                <w:tcPr>
                  <w:tcW w:w="787" w:type="pct"/>
                  <w:tcBorders>
                    <w:tl2br w:val="nil"/>
                    <w:tr2bl w:val="nil"/>
                  </w:tcBorders>
                  <w:vAlign w:val="center"/>
                </w:tcPr>
                <w:p w14:paraId="3C29FE55">
                  <w:pPr>
                    <w:widowControl/>
                    <w:spacing w:line="240" w:lineRule="auto"/>
                    <w:ind w:firstLine="0" w:firstLineChars="0"/>
                    <w:jc w:val="center"/>
                    <w:rPr>
                      <w:color w:val="auto"/>
                      <w:sz w:val="21"/>
                      <w:szCs w:val="21"/>
                      <w:lang w:bidi="ar"/>
                    </w:rPr>
                  </w:pPr>
                  <w:r>
                    <w:rPr>
                      <w:color w:val="auto"/>
                      <w:sz w:val="21"/>
                      <w:szCs w:val="21"/>
                      <w:lang w:bidi="ar"/>
                    </w:rPr>
                    <w:t>900-</w:t>
                  </w:r>
                  <w:r>
                    <w:rPr>
                      <w:rFonts w:hint="eastAsia"/>
                      <w:color w:val="auto"/>
                      <w:sz w:val="21"/>
                      <w:szCs w:val="21"/>
                      <w:lang w:val="en-US" w:eastAsia="zh-CN" w:bidi="ar"/>
                    </w:rPr>
                    <w:t>217</w:t>
                  </w:r>
                  <w:r>
                    <w:rPr>
                      <w:color w:val="auto"/>
                      <w:sz w:val="21"/>
                      <w:szCs w:val="21"/>
                      <w:lang w:bidi="ar"/>
                    </w:rPr>
                    <w:t>-</w:t>
                  </w:r>
                  <w:r>
                    <w:rPr>
                      <w:rFonts w:hint="eastAsia"/>
                      <w:color w:val="auto"/>
                      <w:sz w:val="21"/>
                      <w:szCs w:val="21"/>
                      <w:lang w:val="en-US" w:eastAsia="zh-CN" w:bidi="ar"/>
                    </w:rPr>
                    <w:t>08</w:t>
                  </w:r>
                </w:p>
              </w:tc>
              <w:tc>
                <w:tcPr>
                  <w:tcW w:w="756" w:type="pct"/>
                  <w:vMerge w:val="continue"/>
                  <w:tcBorders>
                    <w:tl2br w:val="nil"/>
                    <w:tr2bl w:val="nil"/>
                  </w:tcBorders>
                  <w:vAlign w:val="center"/>
                </w:tcPr>
                <w:p w14:paraId="79C0E264">
                  <w:pPr>
                    <w:adjustRightInd w:val="0"/>
                    <w:snapToGrid w:val="0"/>
                    <w:jc w:val="center"/>
                    <w:rPr>
                      <w:rFonts w:hint="default"/>
                      <w:color w:val="auto"/>
                      <w:sz w:val="21"/>
                      <w:szCs w:val="21"/>
                      <w:lang w:val="en-US" w:eastAsia="zh-CN"/>
                    </w:rPr>
                  </w:pPr>
                </w:p>
              </w:tc>
              <w:tc>
                <w:tcPr>
                  <w:tcW w:w="662" w:type="pct"/>
                  <w:tcBorders>
                    <w:tl2br w:val="nil"/>
                    <w:tr2bl w:val="nil"/>
                  </w:tcBorders>
                  <w:vAlign w:val="center"/>
                </w:tcPr>
                <w:p w14:paraId="41411D19">
                  <w:pPr>
                    <w:adjustRightInd w:val="0"/>
                    <w:snapToGrid w:val="0"/>
                    <w:jc w:val="center"/>
                    <w:rPr>
                      <w:rFonts w:hint="eastAsia" w:eastAsia="宋体"/>
                      <w:color w:val="auto"/>
                      <w:sz w:val="21"/>
                      <w:szCs w:val="21"/>
                      <w:lang w:eastAsia="zh-CN"/>
                    </w:rPr>
                  </w:pPr>
                  <w:r>
                    <w:rPr>
                      <w:rFonts w:hint="eastAsia"/>
                      <w:color w:val="auto"/>
                      <w:sz w:val="21"/>
                      <w:szCs w:val="21"/>
                      <w:lang w:val="en-US" w:eastAsia="zh-CN"/>
                    </w:rPr>
                    <w:t>桶装</w:t>
                  </w:r>
                </w:p>
              </w:tc>
              <w:tc>
                <w:tcPr>
                  <w:tcW w:w="520" w:type="pct"/>
                  <w:vMerge w:val="continue"/>
                  <w:tcBorders>
                    <w:tl2br w:val="nil"/>
                    <w:tr2bl w:val="nil"/>
                  </w:tcBorders>
                  <w:vAlign w:val="center"/>
                </w:tcPr>
                <w:p w14:paraId="276CF6CF">
                  <w:pPr>
                    <w:adjustRightInd w:val="0"/>
                    <w:snapToGrid w:val="0"/>
                    <w:jc w:val="center"/>
                    <w:rPr>
                      <w:rFonts w:hint="default"/>
                      <w:color w:val="auto"/>
                      <w:sz w:val="21"/>
                      <w:szCs w:val="21"/>
                      <w:lang w:val="en-US" w:eastAsia="zh-CN"/>
                    </w:rPr>
                  </w:pPr>
                </w:p>
              </w:tc>
              <w:tc>
                <w:tcPr>
                  <w:tcW w:w="619" w:type="pct"/>
                  <w:vMerge w:val="continue"/>
                  <w:tcBorders>
                    <w:tl2br w:val="nil"/>
                    <w:tr2bl w:val="nil"/>
                  </w:tcBorders>
                  <w:vAlign w:val="center"/>
                </w:tcPr>
                <w:p w14:paraId="14BAFBBF">
                  <w:pPr>
                    <w:adjustRightInd w:val="0"/>
                    <w:snapToGrid w:val="0"/>
                    <w:jc w:val="center"/>
                    <w:rPr>
                      <w:rFonts w:hint="default"/>
                      <w:color w:val="auto"/>
                      <w:sz w:val="21"/>
                      <w:szCs w:val="21"/>
                      <w:lang w:val="en-US" w:eastAsia="zh-CN"/>
                    </w:rPr>
                  </w:pPr>
                </w:p>
              </w:tc>
            </w:tr>
            <w:tr w14:paraId="1E18AD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7" w:type="pct"/>
                  <w:tcBorders>
                    <w:tl2br w:val="nil"/>
                    <w:tr2bl w:val="nil"/>
                  </w:tcBorders>
                  <w:vAlign w:val="center"/>
                </w:tcPr>
                <w:p w14:paraId="4F8F4876">
                  <w:pPr>
                    <w:adjustRightInd w:val="0"/>
                    <w:snapToGrid w:val="0"/>
                    <w:jc w:val="center"/>
                    <w:rPr>
                      <w:rFonts w:hint="default"/>
                      <w:color w:val="auto"/>
                      <w:sz w:val="21"/>
                      <w:szCs w:val="21"/>
                      <w:lang w:val="en-US" w:eastAsia="zh-CN"/>
                    </w:rPr>
                  </w:pPr>
                  <w:r>
                    <w:rPr>
                      <w:rFonts w:hint="eastAsia"/>
                      <w:color w:val="auto"/>
                      <w:sz w:val="21"/>
                      <w:szCs w:val="21"/>
                      <w:lang w:val="en-US" w:eastAsia="zh-CN"/>
                    </w:rPr>
                    <w:t>7</w:t>
                  </w:r>
                </w:p>
              </w:tc>
              <w:tc>
                <w:tcPr>
                  <w:tcW w:w="620" w:type="pct"/>
                  <w:vMerge w:val="continue"/>
                  <w:tcBorders>
                    <w:tl2br w:val="nil"/>
                    <w:tr2bl w:val="nil"/>
                  </w:tcBorders>
                  <w:vAlign w:val="center"/>
                </w:tcPr>
                <w:p w14:paraId="671575D3">
                  <w:pPr>
                    <w:adjustRightInd w:val="0"/>
                    <w:snapToGrid w:val="0"/>
                    <w:jc w:val="center"/>
                    <w:rPr>
                      <w:rFonts w:hint="default"/>
                      <w:color w:val="auto"/>
                      <w:sz w:val="21"/>
                      <w:szCs w:val="21"/>
                      <w:lang w:val="en-US" w:eastAsia="zh-CN"/>
                    </w:rPr>
                  </w:pPr>
                </w:p>
              </w:tc>
              <w:tc>
                <w:tcPr>
                  <w:tcW w:w="734" w:type="pct"/>
                  <w:tcBorders>
                    <w:tl2br w:val="nil"/>
                    <w:tr2bl w:val="nil"/>
                  </w:tcBorders>
                  <w:shd w:val="clear" w:color="auto" w:fill="auto"/>
                  <w:vAlign w:val="center"/>
                </w:tcPr>
                <w:p w14:paraId="06B32B52">
                  <w:pPr>
                    <w:widowControl/>
                    <w:jc w:val="center"/>
                    <w:textAlignment w:val="center"/>
                    <w:rPr>
                      <w:rFonts w:hint="default"/>
                      <w:color w:val="auto"/>
                      <w:szCs w:val="21"/>
                      <w:lang w:val="en-US" w:eastAsia="zh-CN"/>
                    </w:rPr>
                  </w:pPr>
                  <w:r>
                    <w:rPr>
                      <w:rFonts w:hint="eastAsia"/>
                      <w:color w:val="auto"/>
                      <w:szCs w:val="21"/>
                      <w:lang w:val="en-US" w:eastAsia="zh-CN"/>
                    </w:rPr>
                    <w:t>废印刷机凹版</w:t>
                  </w:r>
                </w:p>
              </w:tc>
              <w:tc>
                <w:tcPr>
                  <w:tcW w:w="787" w:type="pct"/>
                  <w:tcBorders>
                    <w:tl2br w:val="nil"/>
                    <w:tr2bl w:val="nil"/>
                  </w:tcBorders>
                  <w:shd w:val="clear" w:color="auto" w:fill="auto"/>
                  <w:vAlign w:val="center"/>
                </w:tcPr>
                <w:p w14:paraId="4D796D66">
                  <w:pPr>
                    <w:widowControl/>
                    <w:spacing w:line="240" w:lineRule="auto"/>
                    <w:ind w:firstLine="0" w:firstLineChars="0"/>
                    <w:jc w:val="center"/>
                    <w:rPr>
                      <w:rFonts w:hint="eastAsia" w:ascii="Times New Roman" w:hAnsi="Times New Roman" w:eastAsia="宋体" w:cs="Times New Roman"/>
                      <w:color w:val="auto"/>
                      <w:kern w:val="2"/>
                      <w:sz w:val="21"/>
                      <w:szCs w:val="21"/>
                      <w:lang w:val="en-US" w:eastAsia="zh-CN" w:bidi="ar"/>
                    </w:rPr>
                  </w:pPr>
                  <w:r>
                    <w:rPr>
                      <w:color w:val="auto"/>
                      <w:sz w:val="21"/>
                      <w:szCs w:val="21"/>
                      <w:lang w:bidi="ar"/>
                    </w:rPr>
                    <w:t>900-0</w:t>
                  </w:r>
                  <w:r>
                    <w:rPr>
                      <w:rFonts w:hint="eastAsia"/>
                      <w:color w:val="auto"/>
                      <w:sz w:val="21"/>
                      <w:szCs w:val="21"/>
                      <w:lang w:val="en-US" w:eastAsia="zh-CN" w:bidi="ar"/>
                    </w:rPr>
                    <w:t>41</w:t>
                  </w:r>
                  <w:r>
                    <w:rPr>
                      <w:color w:val="auto"/>
                      <w:sz w:val="21"/>
                      <w:szCs w:val="21"/>
                      <w:lang w:bidi="ar"/>
                    </w:rPr>
                    <w:t>-49</w:t>
                  </w:r>
                </w:p>
              </w:tc>
              <w:tc>
                <w:tcPr>
                  <w:tcW w:w="756" w:type="pct"/>
                  <w:vMerge w:val="continue"/>
                  <w:tcBorders>
                    <w:tl2br w:val="nil"/>
                    <w:tr2bl w:val="nil"/>
                  </w:tcBorders>
                  <w:vAlign w:val="center"/>
                </w:tcPr>
                <w:p w14:paraId="3A918E3E">
                  <w:pPr>
                    <w:adjustRightInd w:val="0"/>
                    <w:snapToGrid w:val="0"/>
                    <w:jc w:val="center"/>
                    <w:rPr>
                      <w:rFonts w:hint="default"/>
                      <w:color w:val="auto"/>
                      <w:sz w:val="21"/>
                      <w:szCs w:val="21"/>
                      <w:lang w:val="en-US" w:eastAsia="zh-CN"/>
                    </w:rPr>
                  </w:pPr>
                </w:p>
              </w:tc>
              <w:tc>
                <w:tcPr>
                  <w:tcW w:w="662" w:type="pct"/>
                  <w:tcBorders>
                    <w:tl2br w:val="nil"/>
                    <w:tr2bl w:val="nil"/>
                  </w:tcBorders>
                  <w:shd w:val="clear" w:color="auto" w:fill="auto"/>
                  <w:vAlign w:val="center"/>
                </w:tcPr>
                <w:p w14:paraId="64AB3D2C">
                  <w:pPr>
                    <w:adjustRightInd w:val="0"/>
                    <w:snapToGrid w:val="0"/>
                    <w:jc w:val="center"/>
                    <w:rPr>
                      <w:rFonts w:hint="eastAsia" w:ascii="Times New Roman" w:hAnsi="Times New Roman" w:eastAsia="宋体" w:cs="Times New Roman"/>
                      <w:color w:val="auto"/>
                      <w:kern w:val="2"/>
                      <w:sz w:val="21"/>
                      <w:szCs w:val="21"/>
                      <w:lang w:val="en-US" w:eastAsia="zh-CN" w:bidi="ar-SA"/>
                    </w:rPr>
                  </w:pPr>
                  <w:r>
                    <w:rPr>
                      <w:color w:val="auto"/>
                      <w:sz w:val="21"/>
                      <w:szCs w:val="21"/>
                    </w:rPr>
                    <w:t>袋装</w:t>
                  </w:r>
                </w:p>
              </w:tc>
              <w:tc>
                <w:tcPr>
                  <w:tcW w:w="520" w:type="pct"/>
                  <w:vMerge w:val="continue"/>
                  <w:tcBorders>
                    <w:tl2br w:val="nil"/>
                    <w:tr2bl w:val="nil"/>
                  </w:tcBorders>
                  <w:vAlign w:val="center"/>
                </w:tcPr>
                <w:p w14:paraId="7AB032CD">
                  <w:pPr>
                    <w:adjustRightInd w:val="0"/>
                    <w:snapToGrid w:val="0"/>
                    <w:jc w:val="center"/>
                    <w:rPr>
                      <w:rFonts w:hint="default"/>
                      <w:color w:val="auto"/>
                      <w:sz w:val="21"/>
                      <w:szCs w:val="21"/>
                      <w:lang w:val="en-US" w:eastAsia="zh-CN"/>
                    </w:rPr>
                  </w:pPr>
                </w:p>
              </w:tc>
              <w:tc>
                <w:tcPr>
                  <w:tcW w:w="619" w:type="pct"/>
                  <w:vMerge w:val="continue"/>
                  <w:tcBorders>
                    <w:tl2br w:val="nil"/>
                    <w:tr2bl w:val="nil"/>
                  </w:tcBorders>
                  <w:vAlign w:val="center"/>
                </w:tcPr>
                <w:p w14:paraId="45E5B776">
                  <w:pPr>
                    <w:adjustRightInd w:val="0"/>
                    <w:snapToGrid w:val="0"/>
                    <w:jc w:val="center"/>
                    <w:rPr>
                      <w:rFonts w:hint="default"/>
                      <w:color w:val="auto"/>
                      <w:sz w:val="21"/>
                      <w:szCs w:val="21"/>
                      <w:lang w:val="en-US" w:eastAsia="zh-CN"/>
                    </w:rPr>
                  </w:pPr>
                </w:p>
              </w:tc>
            </w:tr>
            <w:tr w14:paraId="073EA5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7" w:type="pct"/>
                  <w:tcBorders>
                    <w:tl2br w:val="nil"/>
                    <w:tr2bl w:val="nil"/>
                  </w:tcBorders>
                  <w:vAlign w:val="center"/>
                </w:tcPr>
                <w:p w14:paraId="15A19304">
                  <w:pPr>
                    <w:adjustRightInd w:val="0"/>
                    <w:snapToGrid w:val="0"/>
                    <w:jc w:val="center"/>
                    <w:rPr>
                      <w:rFonts w:hint="default"/>
                      <w:color w:val="auto"/>
                      <w:sz w:val="21"/>
                      <w:szCs w:val="21"/>
                      <w:lang w:val="en-US" w:eastAsia="zh-CN"/>
                    </w:rPr>
                  </w:pPr>
                  <w:r>
                    <w:rPr>
                      <w:rFonts w:hint="eastAsia"/>
                      <w:color w:val="auto"/>
                      <w:sz w:val="21"/>
                      <w:szCs w:val="21"/>
                      <w:lang w:val="en-US" w:eastAsia="zh-CN"/>
                    </w:rPr>
                    <w:t>8</w:t>
                  </w:r>
                </w:p>
              </w:tc>
              <w:tc>
                <w:tcPr>
                  <w:tcW w:w="620" w:type="pct"/>
                  <w:vMerge w:val="continue"/>
                  <w:tcBorders>
                    <w:tl2br w:val="nil"/>
                    <w:tr2bl w:val="nil"/>
                  </w:tcBorders>
                  <w:vAlign w:val="center"/>
                </w:tcPr>
                <w:p w14:paraId="36E1B7FB">
                  <w:pPr>
                    <w:adjustRightInd w:val="0"/>
                    <w:snapToGrid w:val="0"/>
                    <w:jc w:val="center"/>
                    <w:rPr>
                      <w:rFonts w:hint="default"/>
                      <w:color w:val="auto"/>
                      <w:sz w:val="21"/>
                      <w:szCs w:val="21"/>
                      <w:lang w:val="en-US" w:eastAsia="zh-CN"/>
                    </w:rPr>
                  </w:pPr>
                </w:p>
              </w:tc>
              <w:tc>
                <w:tcPr>
                  <w:tcW w:w="734" w:type="pct"/>
                  <w:tcBorders>
                    <w:tl2br w:val="nil"/>
                    <w:tr2bl w:val="nil"/>
                  </w:tcBorders>
                  <w:shd w:val="clear" w:color="auto" w:fill="auto"/>
                  <w:vAlign w:val="center"/>
                </w:tcPr>
                <w:p w14:paraId="365FDCA6">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废润滑油桶</w:t>
                  </w:r>
                </w:p>
              </w:tc>
              <w:tc>
                <w:tcPr>
                  <w:tcW w:w="787" w:type="pct"/>
                  <w:tcBorders>
                    <w:tl2br w:val="nil"/>
                    <w:tr2bl w:val="nil"/>
                  </w:tcBorders>
                  <w:shd w:val="clear" w:color="auto" w:fill="auto"/>
                  <w:vAlign w:val="center"/>
                </w:tcPr>
                <w:p w14:paraId="12DA5E28">
                  <w:pPr>
                    <w:widowControl/>
                    <w:spacing w:line="240" w:lineRule="auto"/>
                    <w:ind w:firstLine="0" w:firstLineChars="0"/>
                    <w:jc w:val="center"/>
                    <w:rPr>
                      <w:color w:val="auto"/>
                      <w:sz w:val="21"/>
                      <w:szCs w:val="21"/>
                      <w:lang w:bidi="ar"/>
                    </w:rPr>
                  </w:pPr>
                  <w:r>
                    <w:rPr>
                      <w:color w:val="auto"/>
                      <w:sz w:val="21"/>
                      <w:szCs w:val="21"/>
                    </w:rPr>
                    <w:t>900-</w:t>
                  </w:r>
                  <w:r>
                    <w:rPr>
                      <w:rFonts w:hint="eastAsia"/>
                      <w:color w:val="auto"/>
                      <w:sz w:val="21"/>
                      <w:szCs w:val="21"/>
                      <w:lang w:val="en-US" w:eastAsia="zh-CN"/>
                    </w:rPr>
                    <w:t>249</w:t>
                  </w:r>
                  <w:r>
                    <w:rPr>
                      <w:color w:val="auto"/>
                      <w:sz w:val="21"/>
                      <w:szCs w:val="21"/>
                    </w:rPr>
                    <w:t>-08</w:t>
                  </w:r>
                </w:p>
              </w:tc>
              <w:tc>
                <w:tcPr>
                  <w:tcW w:w="756" w:type="pct"/>
                  <w:vMerge w:val="continue"/>
                  <w:tcBorders>
                    <w:tl2br w:val="nil"/>
                    <w:tr2bl w:val="nil"/>
                  </w:tcBorders>
                  <w:vAlign w:val="center"/>
                </w:tcPr>
                <w:p w14:paraId="00198E7E">
                  <w:pPr>
                    <w:adjustRightInd w:val="0"/>
                    <w:snapToGrid w:val="0"/>
                    <w:jc w:val="center"/>
                    <w:rPr>
                      <w:rFonts w:hint="default"/>
                      <w:color w:val="auto"/>
                      <w:sz w:val="21"/>
                      <w:szCs w:val="21"/>
                      <w:lang w:val="en-US" w:eastAsia="zh-CN"/>
                    </w:rPr>
                  </w:pPr>
                </w:p>
              </w:tc>
              <w:tc>
                <w:tcPr>
                  <w:tcW w:w="662" w:type="pct"/>
                  <w:tcBorders>
                    <w:tl2br w:val="nil"/>
                    <w:tr2bl w:val="nil"/>
                  </w:tcBorders>
                  <w:shd w:val="clear" w:color="auto" w:fill="auto"/>
                  <w:vAlign w:val="center"/>
                </w:tcPr>
                <w:p w14:paraId="4E673AE3">
                  <w:pPr>
                    <w:adjustRightInd w:val="0"/>
                    <w:snapToGrid w:val="0"/>
                    <w:jc w:val="center"/>
                    <w:rPr>
                      <w:rFonts w:hint="eastAsia" w:ascii="Times New Roman" w:hAnsi="Times New Roman" w:eastAsia="宋体" w:cs="Times New Roman"/>
                      <w:color w:val="auto"/>
                      <w:kern w:val="2"/>
                      <w:sz w:val="21"/>
                      <w:szCs w:val="21"/>
                      <w:lang w:val="en-US" w:eastAsia="zh-CN" w:bidi="ar-SA"/>
                    </w:rPr>
                  </w:pPr>
                  <w:r>
                    <w:rPr>
                      <w:color w:val="auto"/>
                      <w:sz w:val="21"/>
                      <w:szCs w:val="21"/>
                    </w:rPr>
                    <w:t>袋装</w:t>
                  </w:r>
                </w:p>
              </w:tc>
              <w:tc>
                <w:tcPr>
                  <w:tcW w:w="520" w:type="pct"/>
                  <w:vMerge w:val="continue"/>
                  <w:tcBorders>
                    <w:tl2br w:val="nil"/>
                    <w:tr2bl w:val="nil"/>
                  </w:tcBorders>
                  <w:vAlign w:val="center"/>
                </w:tcPr>
                <w:p w14:paraId="3F20D5C5">
                  <w:pPr>
                    <w:adjustRightInd w:val="0"/>
                    <w:snapToGrid w:val="0"/>
                    <w:jc w:val="center"/>
                    <w:rPr>
                      <w:rFonts w:hint="default"/>
                      <w:color w:val="auto"/>
                      <w:sz w:val="21"/>
                      <w:szCs w:val="21"/>
                      <w:lang w:val="en-US" w:eastAsia="zh-CN"/>
                    </w:rPr>
                  </w:pPr>
                </w:p>
              </w:tc>
              <w:tc>
                <w:tcPr>
                  <w:tcW w:w="619" w:type="pct"/>
                  <w:vMerge w:val="continue"/>
                  <w:tcBorders>
                    <w:tl2br w:val="nil"/>
                    <w:tr2bl w:val="nil"/>
                  </w:tcBorders>
                  <w:vAlign w:val="center"/>
                </w:tcPr>
                <w:p w14:paraId="0C68275B">
                  <w:pPr>
                    <w:adjustRightInd w:val="0"/>
                    <w:snapToGrid w:val="0"/>
                    <w:jc w:val="center"/>
                    <w:rPr>
                      <w:rFonts w:hint="default"/>
                      <w:color w:val="auto"/>
                      <w:sz w:val="21"/>
                      <w:szCs w:val="21"/>
                      <w:lang w:val="en-US" w:eastAsia="zh-CN"/>
                    </w:rPr>
                  </w:pPr>
                </w:p>
              </w:tc>
            </w:tr>
          </w:tbl>
          <w:p w14:paraId="3280FE71">
            <w:pPr>
              <w:spacing w:line="360" w:lineRule="auto"/>
              <w:ind w:firstLine="480" w:firstLineChars="200"/>
              <w:jc w:val="left"/>
              <w:rPr>
                <w:color w:val="auto"/>
                <w:sz w:val="24"/>
              </w:rPr>
            </w:pPr>
            <w:r>
              <w:rPr>
                <w:color w:val="auto"/>
                <w:sz w:val="24"/>
              </w:rPr>
              <w:t>项目建成后</w:t>
            </w:r>
            <w:r>
              <w:rPr>
                <w:rFonts w:hint="eastAsia"/>
                <w:color w:val="auto"/>
                <w:sz w:val="24"/>
                <w:lang w:val="en-US" w:eastAsia="zh-CN"/>
              </w:rPr>
              <w:t>一般固体废物最大暂存量为0.72</w:t>
            </w:r>
            <w:r>
              <w:rPr>
                <w:color w:val="auto"/>
                <w:sz w:val="24"/>
              </w:rPr>
              <w:t>t</w:t>
            </w:r>
            <w:r>
              <w:rPr>
                <w:rFonts w:hint="eastAsia"/>
                <w:color w:val="auto"/>
                <w:sz w:val="24"/>
                <w:lang w:val="en-US" w:eastAsia="zh-CN"/>
              </w:rPr>
              <w:t>/a</w:t>
            </w:r>
            <w:r>
              <w:rPr>
                <w:rFonts w:hint="eastAsia"/>
                <w:color w:val="auto"/>
                <w:sz w:val="24"/>
                <w:lang w:eastAsia="zh-CN"/>
              </w:rPr>
              <w:t>，</w:t>
            </w:r>
            <w:r>
              <w:rPr>
                <w:rFonts w:hint="eastAsia"/>
                <w:color w:val="auto"/>
                <w:sz w:val="24"/>
                <w:lang w:val="en-US" w:eastAsia="zh-CN"/>
              </w:rPr>
              <w:t>小于一般固体废物</w:t>
            </w:r>
            <w:r>
              <w:rPr>
                <w:rFonts w:hint="eastAsia"/>
                <w:color w:val="auto"/>
                <w:sz w:val="24"/>
              </w:rPr>
              <w:t>最大</w:t>
            </w:r>
            <w:r>
              <w:rPr>
                <w:color w:val="auto"/>
                <w:sz w:val="24"/>
              </w:rPr>
              <w:t>贮存能力</w:t>
            </w:r>
            <w:r>
              <w:rPr>
                <w:rFonts w:hint="eastAsia"/>
                <w:color w:val="auto"/>
                <w:sz w:val="24"/>
                <w:lang w:eastAsia="zh-CN"/>
              </w:rPr>
              <w:t>；</w:t>
            </w:r>
            <w:r>
              <w:rPr>
                <w:color w:val="auto"/>
                <w:sz w:val="24"/>
              </w:rPr>
              <w:t>危险废物</w:t>
            </w:r>
            <w:r>
              <w:rPr>
                <w:rFonts w:hint="eastAsia"/>
                <w:color w:val="auto"/>
                <w:sz w:val="24"/>
              </w:rPr>
              <w:t>的最大</w:t>
            </w:r>
            <w:r>
              <w:rPr>
                <w:color w:val="auto"/>
                <w:sz w:val="24"/>
              </w:rPr>
              <w:t>暂存量为</w:t>
            </w:r>
            <w:r>
              <w:rPr>
                <w:rFonts w:hint="eastAsia"/>
                <w:color w:val="auto"/>
                <w:sz w:val="24"/>
                <w:lang w:val="en-US" w:eastAsia="zh-CN"/>
              </w:rPr>
              <w:t>2.372</w:t>
            </w:r>
            <w:r>
              <w:rPr>
                <w:color w:val="auto"/>
                <w:sz w:val="24"/>
              </w:rPr>
              <w:t>t</w:t>
            </w:r>
            <w:r>
              <w:rPr>
                <w:rFonts w:hint="eastAsia"/>
                <w:color w:val="auto"/>
                <w:sz w:val="24"/>
                <w:lang w:val="en-US" w:eastAsia="zh-CN"/>
              </w:rPr>
              <w:t>/a</w:t>
            </w:r>
            <w:r>
              <w:rPr>
                <w:color w:val="auto"/>
                <w:sz w:val="24"/>
              </w:rPr>
              <w:t>，小于危险废物暂存间</w:t>
            </w:r>
            <w:r>
              <w:rPr>
                <w:rFonts w:hint="eastAsia"/>
                <w:color w:val="auto"/>
                <w:sz w:val="24"/>
              </w:rPr>
              <w:t>最大</w:t>
            </w:r>
            <w:r>
              <w:rPr>
                <w:color w:val="auto"/>
                <w:sz w:val="24"/>
              </w:rPr>
              <w:t>贮存能力。</w:t>
            </w:r>
          </w:p>
          <w:p w14:paraId="50D00205">
            <w:pPr>
              <w:spacing w:line="360" w:lineRule="auto"/>
              <w:ind w:firstLine="480" w:firstLineChars="200"/>
              <w:jc w:val="left"/>
              <w:rPr>
                <w:rFonts w:hint="eastAsia"/>
                <w:color w:val="auto"/>
                <w:sz w:val="24"/>
                <w:szCs w:val="24"/>
                <w:lang w:eastAsia="zh-CN"/>
              </w:rPr>
            </w:pPr>
            <w:r>
              <w:rPr>
                <w:color w:val="auto"/>
                <w:sz w:val="24"/>
              </w:rPr>
              <w:t>本项目</w:t>
            </w:r>
            <w:r>
              <w:rPr>
                <w:rFonts w:hint="eastAsia"/>
                <w:color w:val="auto"/>
                <w:sz w:val="24"/>
                <w:szCs w:val="24"/>
                <w:vertAlign w:val="baseline"/>
                <w:lang w:val="en-US" w:eastAsia="zh-CN" w:bidi="ar"/>
              </w:rPr>
              <w:t>一般固废暂存间已做</w:t>
            </w:r>
            <w:r>
              <w:rPr>
                <w:color w:val="auto"/>
                <w:sz w:val="24"/>
                <w:szCs w:val="24"/>
              </w:rPr>
              <w:t>相应防渗漏、防雨淋、防扬尘等环境保护要求</w:t>
            </w:r>
            <w:r>
              <w:rPr>
                <w:rFonts w:hint="eastAsia"/>
                <w:color w:val="auto"/>
                <w:sz w:val="24"/>
                <w:szCs w:val="24"/>
                <w:lang w:eastAsia="zh-CN"/>
              </w:rPr>
              <w:t>；</w:t>
            </w:r>
          </w:p>
          <w:p w14:paraId="62C588C0">
            <w:pPr>
              <w:spacing w:line="360" w:lineRule="auto"/>
              <w:jc w:val="left"/>
              <w:rPr>
                <w:color w:val="auto"/>
                <w:sz w:val="24"/>
              </w:rPr>
            </w:pPr>
            <w:r>
              <w:rPr>
                <w:color w:val="auto"/>
                <w:sz w:val="24"/>
              </w:rPr>
              <w:t>危险废物采用符合标准的包装袋或容器盛装</w:t>
            </w:r>
            <w:r>
              <w:rPr>
                <w:rFonts w:hint="eastAsia"/>
                <w:color w:val="auto"/>
                <w:sz w:val="24"/>
                <w:lang w:eastAsia="zh-CN"/>
              </w:rPr>
              <w:t>，</w:t>
            </w:r>
            <w:r>
              <w:rPr>
                <w:color w:val="auto"/>
                <w:sz w:val="24"/>
              </w:rPr>
              <w:t>建设单位按照《危险废物贮存污染控制标准》（GB18597-2023）的有关要求完善危险废物暂存间相关污染防治措施后，本项目固体废物环境保护措施可行。根据《国家危险废物名录（2025年版）》规定，本项目产生的危险废物，应按要求交由有资质单位处理。交由有附近资质单位处理前，危险废物的存储应单独设置一间存放室。各类原材料和危废分区存放，禁止将不相容的原料和危废在同一容器内混装，装载液体、半固体危废容器内必须留有足够空间，容器顶部与液体表面保留100mm以上的空间，装载危险废物的容器上必须粘贴符合GB18597-2023标准附录A所示的标签；车间要做好防风、防雨、防晒工作。并制定好固体废物特别是危险废物转移运输途中的污染防范及事故应急措施。在严格采取以上措施情况下，本项目营运期产生的各类固体废物均可得到妥善处理和处置，不会对周围环境产生二次污染，对环境影响较小。一般工业固废暂存间应防渗漏、防雨淋、防扬尘，危险固废暂存间严格按照《危险废物贮存污染控制标准》（GB18597-2023）的有关要求建设，具体固体废物贮存要求如下：</w:t>
            </w:r>
          </w:p>
          <w:p w14:paraId="60F2F9EE">
            <w:pPr>
              <w:spacing w:line="360" w:lineRule="auto"/>
              <w:ind w:firstLine="480" w:firstLineChars="200"/>
              <w:rPr>
                <w:color w:val="auto"/>
                <w:sz w:val="24"/>
              </w:rPr>
            </w:pPr>
            <w:r>
              <w:rPr>
                <w:color w:val="auto"/>
                <w:sz w:val="24"/>
              </w:rPr>
              <w:t>1）</w:t>
            </w:r>
            <w:r>
              <w:rPr>
                <w:rFonts w:hint="eastAsia"/>
                <w:color w:val="auto"/>
                <w:sz w:val="24"/>
              </w:rPr>
              <w:t>贮存点应具有固定的区域边界，并应采取与其他区域进行隔离的措施。</w:t>
            </w:r>
          </w:p>
          <w:p w14:paraId="48D0FCF4">
            <w:pPr>
              <w:spacing w:line="360" w:lineRule="auto"/>
              <w:ind w:firstLine="480" w:firstLineChars="200"/>
              <w:rPr>
                <w:rFonts w:hint="eastAsia"/>
                <w:color w:val="auto"/>
                <w:sz w:val="24"/>
              </w:rPr>
            </w:pPr>
            <w:r>
              <w:rPr>
                <w:color w:val="auto"/>
                <w:sz w:val="24"/>
              </w:rPr>
              <w:t>2）</w:t>
            </w:r>
            <w:r>
              <w:rPr>
                <w:rFonts w:hint="eastAsia"/>
                <w:color w:val="auto"/>
                <w:sz w:val="24"/>
              </w:rPr>
              <w:t>贮存点应采取防风、防雨、防晒和防止危险废物流失、扬散等措施。</w:t>
            </w:r>
          </w:p>
          <w:p w14:paraId="18F72E23">
            <w:pPr>
              <w:spacing w:line="360" w:lineRule="auto"/>
              <w:ind w:firstLine="480" w:firstLineChars="200"/>
              <w:rPr>
                <w:rFonts w:hint="eastAsia"/>
                <w:color w:val="auto"/>
                <w:sz w:val="24"/>
              </w:rPr>
            </w:pPr>
            <w:r>
              <w:rPr>
                <w:color w:val="auto"/>
                <w:sz w:val="24"/>
              </w:rPr>
              <w:t>3）</w:t>
            </w:r>
            <w:r>
              <w:rPr>
                <w:rFonts w:hint="eastAsia"/>
                <w:color w:val="auto"/>
                <w:sz w:val="24"/>
              </w:rPr>
              <w:t>贮存点贮存的危险废物应置于容器或包装物中，不应直接散堆。</w:t>
            </w:r>
          </w:p>
          <w:p w14:paraId="199454B9">
            <w:pPr>
              <w:spacing w:line="360" w:lineRule="auto"/>
              <w:ind w:firstLine="480" w:firstLineChars="200"/>
              <w:rPr>
                <w:rFonts w:hint="eastAsia"/>
                <w:color w:val="auto"/>
                <w:sz w:val="24"/>
              </w:rPr>
            </w:pPr>
            <w:r>
              <w:rPr>
                <w:color w:val="auto"/>
                <w:sz w:val="24"/>
              </w:rPr>
              <w:t>4）</w:t>
            </w:r>
            <w:r>
              <w:rPr>
                <w:rFonts w:hint="eastAsia"/>
                <w:color w:val="auto"/>
                <w:sz w:val="24"/>
              </w:rPr>
              <w:t>贮存点应根据危险废物的形态、物理化学性质、包装形式等，采取防渗、防漏等污染防治措施或采用具有相应功能的装置。</w:t>
            </w:r>
          </w:p>
          <w:p w14:paraId="398DA4AC">
            <w:pPr>
              <w:spacing w:line="360" w:lineRule="auto"/>
              <w:ind w:firstLine="480" w:firstLineChars="200"/>
              <w:rPr>
                <w:color w:val="auto"/>
                <w:sz w:val="24"/>
              </w:rPr>
            </w:pPr>
            <w:r>
              <w:rPr>
                <w:color w:val="auto"/>
                <w:sz w:val="24"/>
              </w:rPr>
              <w:t>5）</w:t>
            </w:r>
            <w:r>
              <w:rPr>
                <w:rFonts w:hint="eastAsia"/>
                <w:color w:val="auto"/>
                <w:sz w:val="24"/>
              </w:rPr>
              <w:t>贮存点应及时清运贮存的危险废物，实时贮存量不应超过3吨。</w:t>
            </w:r>
          </w:p>
          <w:p w14:paraId="4489FB9D">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b/>
                <w:bCs/>
                <w:color w:val="auto"/>
                <w:sz w:val="24"/>
                <w:lang w:val="zh-CN"/>
              </w:rPr>
            </w:pPr>
            <w:r>
              <w:rPr>
                <w:rFonts w:hint="eastAsia"/>
                <w:b/>
                <w:bCs/>
                <w:color w:val="auto"/>
                <w:sz w:val="24"/>
                <w:lang w:val="en-US" w:eastAsia="zh-CN"/>
              </w:rPr>
              <w:t>五</w:t>
            </w:r>
            <w:r>
              <w:rPr>
                <w:b/>
                <w:bCs/>
                <w:color w:val="auto"/>
                <w:sz w:val="24"/>
              </w:rPr>
              <w:t>、</w:t>
            </w:r>
            <w:r>
              <w:rPr>
                <w:b/>
                <w:bCs/>
                <w:color w:val="auto"/>
                <w:sz w:val="24"/>
                <w:lang w:val="zh-CN"/>
              </w:rPr>
              <w:t>地下水、土壤环境影响分析</w:t>
            </w:r>
          </w:p>
          <w:p w14:paraId="3B0A976E">
            <w:pPr>
              <w:spacing w:line="360" w:lineRule="auto"/>
              <w:ind w:firstLine="482" w:firstLineChars="200"/>
              <w:rPr>
                <w:b/>
                <w:bCs/>
                <w:color w:val="auto"/>
                <w:sz w:val="24"/>
              </w:rPr>
            </w:pPr>
            <w:r>
              <w:rPr>
                <w:rFonts w:hint="eastAsia"/>
                <w:b/>
                <w:bCs/>
                <w:color w:val="auto"/>
                <w:sz w:val="24"/>
                <w:lang w:val="en-US" w:eastAsia="zh-CN"/>
              </w:rPr>
              <w:t>1、</w:t>
            </w:r>
            <w:r>
              <w:rPr>
                <w:b/>
                <w:bCs/>
                <w:color w:val="auto"/>
                <w:sz w:val="24"/>
              </w:rPr>
              <w:t>地下水、土壤污染途径</w:t>
            </w:r>
          </w:p>
          <w:p w14:paraId="5041B7AC">
            <w:pPr>
              <w:spacing w:line="360" w:lineRule="auto"/>
              <w:ind w:firstLine="480" w:firstLineChars="200"/>
              <w:rPr>
                <w:rFonts w:hint="eastAsia" w:eastAsia="宋体"/>
                <w:color w:val="auto"/>
                <w:sz w:val="24"/>
                <w:lang w:eastAsia="zh-CN"/>
              </w:rPr>
            </w:pPr>
            <w:r>
              <w:rPr>
                <w:color w:val="auto"/>
                <w:sz w:val="24"/>
              </w:rPr>
              <w:t>本项目对地下水、土壤造成污染的途径主要有：</w:t>
            </w:r>
            <w:r>
              <w:rPr>
                <w:rFonts w:hint="eastAsia"/>
                <w:color w:val="auto"/>
                <w:sz w:val="24"/>
                <w:lang w:val="en-US" w:eastAsia="zh-CN"/>
              </w:rPr>
              <w:t>生产原料、危险废物</w:t>
            </w:r>
            <w:r>
              <w:rPr>
                <w:color w:val="auto"/>
                <w:sz w:val="24"/>
              </w:rPr>
              <w:t>由于贮存、运输等环节的不严格或不妥善发生渗漏，从而造成土壤、地下水污染</w:t>
            </w:r>
            <w:r>
              <w:rPr>
                <w:rFonts w:hint="eastAsia"/>
                <w:color w:val="auto"/>
                <w:sz w:val="24"/>
                <w:lang w:eastAsia="zh-CN"/>
              </w:rPr>
              <w:t>。</w:t>
            </w:r>
          </w:p>
          <w:p w14:paraId="2748B5E7">
            <w:pPr>
              <w:spacing w:line="360" w:lineRule="auto"/>
              <w:ind w:firstLine="482" w:firstLineChars="200"/>
              <w:rPr>
                <w:b/>
                <w:bCs/>
                <w:color w:val="auto"/>
                <w:sz w:val="24"/>
              </w:rPr>
            </w:pPr>
            <w:r>
              <w:rPr>
                <w:rFonts w:hint="eastAsia"/>
                <w:b/>
                <w:bCs/>
                <w:color w:val="auto"/>
                <w:sz w:val="24"/>
                <w:lang w:val="en-US" w:eastAsia="zh-CN"/>
              </w:rPr>
              <w:t>2、</w:t>
            </w:r>
            <w:r>
              <w:rPr>
                <w:b/>
                <w:bCs/>
                <w:color w:val="auto"/>
                <w:sz w:val="24"/>
              </w:rPr>
              <w:t>防控措施</w:t>
            </w:r>
          </w:p>
          <w:p w14:paraId="5E018ED3">
            <w:pPr>
              <w:spacing w:line="360" w:lineRule="auto"/>
              <w:ind w:firstLine="480" w:firstLineChars="200"/>
              <w:rPr>
                <w:color w:val="auto"/>
                <w:sz w:val="24"/>
              </w:rPr>
            </w:pPr>
            <w:r>
              <w:rPr>
                <w:color w:val="auto"/>
                <w:sz w:val="24"/>
              </w:rPr>
              <w:t>鉴于本项目</w:t>
            </w:r>
            <w:r>
              <w:rPr>
                <w:rFonts w:hint="eastAsia"/>
                <w:color w:val="auto"/>
                <w:sz w:val="24"/>
              </w:rPr>
              <w:t>生产工艺以及</w:t>
            </w:r>
            <w:r>
              <w:rPr>
                <w:color w:val="auto"/>
                <w:sz w:val="24"/>
              </w:rPr>
              <w:t>污染物产生和排放特点，针对土壤、地下水环境污染的可能途径，为防止建设项目物料及废水下渗对地下水造成污染，本评价建议：</w:t>
            </w:r>
          </w:p>
          <w:p w14:paraId="742E6189">
            <w:pPr>
              <w:numPr>
                <w:ilvl w:val="0"/>
                <w:numId w:val="0"/>
              </w:numPr>
              <w:spacing w:line="360" w:lineRule="auto"/>
              <w:ind w:firstLine="480" w:firstLineChars="200"/>
              <w:rPr>
                <w:color w:val="auto"/>
                <w:sz w:val="24"/>
              </w:rPr>
            </w:pPr>
            <w:r>
              <w:rPr>
                <w:color w:val="auto"/>
                <w:sz w:val="24"/>
              </w:rPr>
              <w:t>1）</w:t>
            </w:r>
            <w:r>
              <w:rPr>
                <w:color w:val="auto"/>
                <w:sz w:val="24"/>
                <w:szCs w:val="24"/>
              </w:rPr>
              <w:t>项目</w:t>
            </w:r>
            <w:r>
              <w:rPr>
                <w:rFonts w:hint="eastAsia"/>
                <w:color w:val="auto"/>
                <w:sz w:val="24"/>
                <w:szCs w:val="24"/>
                <w:lang w:val="en-US" w:eastAsia="zh-CN"/>
              </w:rPr>
              <w:t>可能会产生泄露的</w:t>
            </w:r>
            <w:r>
              <w:rPr>
                <w:color w:val="auto"/>
                <w:sz w:val="24"/>
                <w:szCs w:val="24"/>
              </w:rPr>
              <w:t>原料</w:t>
            </w:r>
            <w:r>
              <w:rPr>
                <w:rFonts w:hint="eastAsia"/>
                <w:color w:val="auto"/>
                <w:sz w:val="24"/>
                <w:szCs w:val="24"/>
                <w:lang w:val="en-US" w:eastAsia="zh-CN"/>
              </w:rPr>
              <w:t>为水性油墨、油墨、稀释剂。物料储存于原料暂存间内，原料暂存间地面已做硬化、防渗处理。</w:t>
            </w:r>
          </w:p>
          <w:p w14:paraId="3702A18E">
            <w:pPr>
              <w:spacing w:line="360" w:lineRule="auto"/>
              <w:ind w:firstLine="480" w:firstLineChars="200"/>
              <w:rPr>
                <w:rFonts w:hint="eastAsia"/>
                <w:color w:val="auto"/>
                <w:sz w:val="24"/>
                <w:szCs w:val="24"/>
                <w:lang w:val="en-US" w:eastAsia="zh-CN"/>
              </w:rPr>
            </w:pPr>
            <w:r>
              <w:rPr>
                <w:color w:val="auto"/>
                <w:sz w:val="24"/>
              </w:rPr>
              <w:t>2）根据本项目厂区可能泄漏至地面区域污染物的性质和生产单元的构筑方式，将厂区划分为重点防渗区、一般防渗区</w:t>
            </w:r>
            <w:r>
              <w:rPr>
                <w:rFonts w:hint="eastAsia"/>
                <w:color w:val="auto"/>
                <w:sz w:val="24"/>
                <w:lang w:val="en-US" w:eastAsia="zh-CN"/>
              </w:rPr>
              <w:t>以及简单防渗区</w:t>
            </w:r>
            <w:r>
              <w:rPr>
                <w:color w:val="auto"/>
                <w:sz w:val="24"/>
              </w:rPr>
              <w:t>，针对不同的区域提出相应的防渗措施。</w:t>
            </w:r>
          </w:p>
          <w:p w14:paraId="02BAED05">
            <w:pPr>
              <w:jc w:val="center"/>
              <w:rPr>
                <w:b/>
                <w:bCs/>
                <w:color w:val="auto"/>
                <w:sz w:val="24"/>
                <w:lang w:val="zh-CN"/>
              </w:rPr>
            </w:pPr>
            <w:r>
              <w:rPr>
                <w:b/>
                <w:bCs/>
                <w:color w:val="auto"/>
                <w:sz w:val="24"/>
                <w:lang w:val="zh-CN"/>
              </w:rPr>
              <w:t>表4-</w:t>
            </w:r>
            <w:r>
              <w:rPr>
                <w:rFonts w:hint="eastAsia"/>
                <w:b/>
                <w:bCs/>
                <w:color w:val="auto"/>
                <w:sz w:val="24"/>
                <w:lang w:val="en-US" w:eastAsia="zh-CN"/>
              </w:rPr>
              <w:t>19</w:t>
            </w:r>
            <w:r>
              <w:rPr>
                <w:b/>
                <w:bCs/>
                <w:color w:val="auto"/>
                <w:sz w:val="24"/>
                <w:lang w:val="zh-CN"/>
              </w:rPr>
              <w:t xml:space="preserve">  项目污染区划分及防渗等级一览表</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6"/>
              <w:gridCol w:w="3687"/>
              <w:gridCol w:w="750"/>
              <w:gridCol w:w="3514"/>
            </w:tblGrid>
            <w:tr w14:paraId="3F105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99" w:type="pct"/>
                  <w:vAlign w:val="center"/>
                </w:tcPr>
                <w:p w14:paraId="0126C0EF">
                  <w:pPr>
                    <w:keepNext w:val="0"/>
                    <w:keepLines w:val="0"/>
                    <w:pageBreakBefore w:val="0"/>
                    <w:widowControl/>
                    <w:kinsoku/>
                    <w:wordWrap/>
                    <w:overflowPunct/>
                    <w:topLinePunct w:val="0"/>
                    <w:bidi w:val="0"/>
                    <w:snapToGrid/>
                    <w:spacing w:line="240" w:lineRule="auto"/>
                    <w:jc w:val="center"/>
                    <w:textAlignment w:val="center"/>
                    <w:rPr>
                      <w:b/>
                      <w:bCs/>
                      <w:color w:val="auto"/>
                      <w:sz w:val="24"/>
                    </w:rPr>
                  </w:pPr>
                  <w:r>
                    <w:rPr>
                      <w:b/>
                      <w:bCs/>
                      <w:color w:val="auto"/>
                    </w:rPr>
                    <w:t>序号</w:t>
                  </w:r>
                </w:p>
              </w:tc>
              <w:tc>
                <w:tcPr>
                  <w:tcW w:w="2179" w:type="pct"/>
                  <w:vAlign w:val="center"/>
                </w:tcPr>
                <w:p w14:paraId="50657F06">
                  <w:pPr>
                    <w:keepNext w:val="0"/>
                    <w:keepLines w:val="0"/>
                    <w:pageBreakBefore w:val="0"/>
                    <w:widowControl/>
                    <w:kinsoku/>
                    <w:wordWrap/>
                    <w:overflowPunct/>
                    <w:topLinePunct w:val="0"/>
                    <w:bidi w:val="0"/>
                    <w:snapToGrid/>
                    <w:spacing w:line="240" w:lineRule="auto"/>
                    <w:jc w:val="center"/>
                    <w:textAlignment w:val="center"/>
                    <w:rPr>
                      <w:b/>
                      <w:bCs/>
                      <w:color w:val="auto"/>
                      <w:sz w:val="21"/>
                      <w:szCs w:val="21"/>
                    </w:rPr>
                  </w:pPr>
                  <w:r>
                    <w:rPr>
                      <w:b/>
                      <w:bCs/>
                      <w:color w:val="auto"/>
                      <w:sz w:val="21"/>
                      <w:szCs w:val="21"/>
                    </w:rPr>
                    <w:t>防渗区域或部位</w:t>
                  </w:r>
                </w:p>
              </w:tc>
              <w:tc>
                <w:tcPr>
                  <w:tcW w:w="443" w:type="pct"/>
                  <w:vAlign w:val="center"/>
                </w:tcPr>
                <w:p w14:paraId="49DABF0C">
                  <w:pPr>
                    <w:pStyle w:val="7"/>
                    <w:keepNext w:val="0"/>
                    <w:keepLines w:val="0"/>
                    <w:pageBreakBefore w:val="0"/>
                    <w:kinsoku/>
                    <w:wordWrap/>
                    <w:overflowPunct/>
                    <w:topLinePunct w:val="0"/>
                    <w:bidi w:val="0"/>
                    <w:snapToGrid/>
                    <w:spacing w:line="240" w:lineRule="auto"/>
                    <w:ind w:left="0" w:firstLine="0"/>
                    <w:jc w:val="center"/>
                    <w:rPr>
                      <w:b/>
                      <w:bCs/>
                      <w:color w:val="auto"/>
                      <w:sz w:val="21"/>
                      <w:szCs w:val="21"/>
                    </w:rPr>
                  </w:pPr>
                  <w:r>
                    <w:rPr>
                      <w:b/>
                      <w:bCs/>
                      <w:color w:val="auto"/>
                      <w:sz w:val="21"/>
                      <w:szCs w:val="21"/>
                    </w:rPr>
                    <w:t>防渗等级</w:t>
                  </w:r>
                </w:p>
              </w:tc>
              <w:tc>
                <w:tcPr>
                  <w:tcW w:w="2077" w:type="pct"/>
                  <w:vAlign w:val="center"/>
                </w:tcPr>
                <w:p w14:paraId="6B784083">
                  <w:pPr>
                    <w:keepNext w:val="0"/>
                    <w:keepLines w:val="0"/>
                    <w:pageBreakBefore w:val="0"/>
                    <w:widowControl/>
                    <w:kinsoku/>
                    <w:wordWrap/>
                    <w:overflowPunct/>
                    <w:topLinePunct w:val="0"/>
                    <w:bidi w:val="0"/>
                    <w:snapToGrid/>
                    <w:spacing w:line="240" w:lineRule="auto"/>
                    <w:jc w:val="center"/>
                    <w:textAlignment w:val="center"/>
                    <w:rPr>
                      <w:b/>
                      <w:bCs/>
                      <w:color w:val="auto"/>
                      <w:sz w:val="21"/>
                      <w:szCs w:val="21"/>
                    </w:rPr>
                  </w:pPr>
                  <w:r>
                    <w:rPr>
                      <w:b/>
                      <w:bCs/>
                      <w:color w:val="auto"/>
                      <w:sz w:val="21"/>
                      <w:szCs w:val="21"/>
                    </w:rPr>
                    <w:t>防渗要求</w:t>
                  </w:r>
                </w:p>
              </w:tc>
            </w:tr>
            <w:tr w14:paraId="34270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2F21A500">
                  <w:pPr>
                    <w:keepNext w:val="0"/>
                    <w:keepLines w:val="0"/>
                    <w:pageBreakBefore w:val="0"/>
                    <w:widowControl/>
                    <w:kinsoku/>
                    <w:wordWrap/>
                    <w:overflowPunct/>
                    <w:topLinePunct w:val="0"/>
                    <w:bidi w:val="0"/>
                    <w:snapToGrid/>
                    <w:spacing w:line="240" w:lineRule="auto"/>
                    <w:jc w:val="center"/>
                    <w:textAlignment w:val="center"/>
                    <w:rPr>
                      <w:b/>
                      <w:bCs/>
                      <w:color w:val="auto"/>
                      <w:sz w:val="24"/>
                    </w:rPr>
                  </w:pPr>
                  <w:r>
                    <w:rPr>
                      <w:rFonts w:hint="eastAsia"/>
                      <w:color w:val="auto"/>
                      <w:kern w:val="0"/>
                      <w:szCs w:val="21"/>
                      <w:lang w:bidi="ar"/>
                    </w:rPr>
                    <w:t>1</w:t>
                  </w:r>
                </w:p>
              </w:tc>
              <w:tc>
                <w:tcPr>
                  <w:tcW w:w="2179" w:type="pct"/>
                  <w:vAlign w:val="center"/>
                </w:tcPr>
                <w:p w14:paraId="78C8A2A7">
                  <w:pPr>
                    <w:keepNext w:val="0"/>
                    <w:keepLines w:val="0"/>
                    <w:pageBreakBefore w:val="0"/>
                    <w:widowControl/>
                    <w:kinsoku/>
                    <w:wordWrap/>
                    <w:overflowPunct/>
                    <w:topLinePunct w:val="0"/>
                    <w:bidi w:val="0"/>
                    <w:snapToGrid/>
                    <w:spacing w:line="240" w:lineRule="auto"/>
                    <w:jc w:val="center"/>
                    <w:textAlignment w:val="center"/>
                    <w:rPr>
                      <w:rFonts w:hint="default" w:eastAsia="宋体"/>
                      <w:b/>
                      <w:bCs/>
                      <w:color w:val="auto"/>
                      <w:sz w:val="21"/>
                      <w:szCs w:val="21"/>
                      <w:lang w:val="en-US" w:eastAsia="zh-CN"/>
                    </w:rPr>
                  </w:pPr>
                  <w:r>
                    <w:rPr>
                      <w:rFonts w:hint="eastAsia"/>
                      <w:b w:val="0"/>
                      <w:bCs w:val="0"/>
                      <w:color w:val="auto"/>
                      <w:sz w:val="21"/>
                      <w:szCs w:val="21"/>
                      <w:lang w:val="en-US" w:eastAsia="zh-CN"/>
                    </w:rPr>
                    <w:t>危废暂存间、化粪池</w:t>
                  </w:r>
                </w:p>
              </w:tc>
              <w:tc>
                <w:tcPr>
                  <w:tcW w:w="443" w:type="pct"/>
                  <w:vAlign w:val="center"/>
                </w:tcPr>
                <w:p w14:paraId="3D23576A">
                  <w:pPr>
                    <w:keepNext w:val="0"/>
                    <w:keepLines w:val="0"/>
                    <w:pageBreakBefore w:val="0"/>
                    <w:widowControl/>
                    <w:kinsoku/>
                    <w:wordWrap/>
                    <w:overflowPunct/>
                    <w:topLinePunct w:val="0"/>
                    <w:bidi w:val="0"/>
                    <w:snapToGrid/>
                    <w:spacing w:line="240" w:lineRule="auto"/>
                    <w:jc w:val="center"/>
                    <w:textAlignment w:val="center"/>
                    <w:rPr>
                      <w:b/>
                      <w:bCs/>
                      <w:color w:val="auto"/>
                      <w:sz w:val="24"/>
                    </w:rPr>
                  </w:pPr>
                  <w:r>
                    <w:rPr>
                      <w:color w:val="auto"/>
                    </w:rPr>
                    <w:t>重点防渗区</w:t>
                  </w:r>
                </w:p>
              </w:tc>
              <w:tc>
                <w:tcPr>
                  <w:tcW w:w="2077" w:type="pct"/>
                  <w:vAlign w:val="center"/>
                </w:tcPr>
                <w:p w14:paraId="2A0DCFFB">
                  <w:pPr>
                    <w:keepNext w:val="0"/>
                    <w:keepLines w:val="0"/>
                    <w:pageBreakBefore w:val="0"/>
                    <w:widowControl/>
                    <w:kinsoku/>
                    <w:wordWrap/>
                    <w:overflowPunct/>
                    <w:topLinePunct w:val="0"/>
                    <w:bidi w:val="0"/>
                    <w:snapToGrid/>
                    <w:spacing w:line="240" w:lineRule="auto"/>
                    <w:jc w:val="center"/>
                    <w:textAlignment w:val="center"/>
                    <w:rPr>
                      <w:b/>
                      <w:bCs/>
                      <w:color w:val="auto"/>
                      <w:sz w:val="24"/>
                    </w:rPr>
                  </w:pPr>
                  <w:r>
                    <w:rPr>
                      <w:color w:val="auto"/>
                    </w:rPr>
                    <w:t>等效黏土防渗层Mb≥6.0m，K≤1.0×10</w:t>
                  </w:r>
                  <w:r>
                    <w:rPr>
                      <w:color w:val="auto"/>
                      <w:vertAlign w:val="superscript"/>
                    </w:rPr>
                    <w:t>-7</w:t>
                  </w:r>
                  <w:r>
                    <w:rPr>
                      <w:color w:val="auto"/>
                    </w:rPr>
                    <w:t>cm/s；或参照GB18598执行。</w:t>
                  </w:r>
                </w:p>
              </w:tc>
            </w:tr>
            <w:tr w14:paraId="24566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6E2A616F">
                  <w:pPr>
                    <w:keepNext w:val="0"/>
                    <w:keepLines w:val="0"/>
                    <w:pageBreakBefore w:val="0"/>
                    <w:widowControl/>
                    <w:kinsoku/>
                    <w:wordWrap/>
                    <w:overflowPunct/>
                    <w:topLinePunct w:val="0"/>
                    <w:bidi w:val="0"/>
                    <w:snapToGrid/>
                    <w:spacing w:line="240" w:lineRule="auto"/>
                    <w:jc w:val="center"/>
                    <w:textAlignment w:val="center"/>
                    <w:rPr>
                      <w:rFonts w:hint="eastAsia" w:eastAsia="宋体"/>
                      <w:b/>
                      <w:bCs/>
                      <w:color w:val="auto"/>
                      <w:sz w:val="24"/>
                      <w:lang w:eastAsia="zh-CN"/>
                    </w:rPr>
                  </w:pPr>
                  <w:r>
                    <w:rPr>
                      <w:rFonts w:hint="eastAsia"/>
                      <w:color w:val="auto"/>
                      <w:kern w:val="0"/>
                      <w:szCs w:val="21"/>
                      <w:lang w:val="en-US" w:eastAsia="zh-CN" w:bidi="ar"/>
                    </w:rPr>
                    <w:t>2</w:t>
                  </w:r>
                </w:p>
              </w:tc>
              <w:tc>
                <w:tcPr>
                  <w:tcW w:w="2179" w:type="pct"/>
                  <w:vAlign w:val="center"/>
                </w:tcPr>
                <w:p w14:paraId="161D18ED">
                  <w:pPr>
                    <w:keepNext w:val="0"/>
                    <w:keepLines w:val="0"/>
                    <w:pageBreakBefore w:val="0"/>
                    <w:widowControl/>
                    <w:kinsoku/>
                    <w:wordWrap/>
                    <w:overflowPunct/>
                    <w:topLinePunct w:val="0"/>
                    <w:bidi w:val="0"/>
                    <w:snapToGrid/>
                    <w:spacing w:line="240" w:lineRule="auto"/>
                    <w:jc w:val="center"/>
                    <w:textAlignment w:val="center"/>
                    <w:rPr>
                      <w:rFonts w:hint="default"/>
                      <w:b/>
                      <w:bCs/>
                      <w:color w:val="auto"/>
                      <w:sz w:val="24"/>
                      <w:lang w:val="en-US"/>
                    </w:rPr>
                  </w:pPr>
                  <w:r>
                    <w:rPr>
                      <w:rFonts w:hint="eastAsia"/>
                      <w:color w:val="auto"/>
                      <w:lang w:val="en-US" w:eastAsia="zh-CN"/>
                    </w:rPr>
                    <w:t>生产区、成品暂存间、物料缓冲间</w:t>
                  </w:r>
                </w:p>
              </w:tc>
              <w:tc>
                <w:tcPr>
                  <w:tcW w:w="443" w:type="pct"/>
                  <w:vAlign w:val="center"/>
                </w:tcPr>
                <w:p w14:paraId="6E43ECBB">
                  <w:pPr>
                    <w:keepNext w:val="0"/>
                    <w:keepLines w:val="0"/>
                    <w:pageBreakBefore w:val="0"/>
                    <w:widowControl/>
                    <w:kinsoku/>
                    <w:wordWrap/>
                    <w:overflowPunct/>
                    <w:topLinePunct w:val="0"/>
                    <w:bidi w:val="0"/>
                    <w:snapToGrid/>
                    <w:spacing w:line="240" w:lineRule="auto"/>
                    <w:jc w:val="center"/>
                    <w:textAlignment w:val="center"/>
                    <w:rPr>
                      <w:b/>
                      <w:bCs/>
                      <w:color w:val="auto"/>
                      <w:sz w:val="24"/>
                    </w:rPr>
                  </w:pPr>
                  <w:r>
                    <w:rPr>
                      <w:color w:val="auto"/>
                    </w:rPr>
                    <w:t>一般防渗区</w:t>
                  </w:r>
                </w:p>
              </w:tc>
              <w:tc>
                <w:tcPr>
                  <w:tcW w:w="2077" w:type="pct"/>
                  <w:vAlign w:val="center"/>
                </w:tcPr>
                <w:p w14:paraId="7C6FA847">
                  <w:pPr>
                    <w:keepNext w:val="0"/>
                    <w:keepLines w:val="0"/>
                    <w:pageBreakBefore w:val="0"/>
                    <w:widowControl/>
                    <w:kinsoku/>
                    <w:wordWrap/>
                    <w:overflowPunct/>
                    <w:topLinePunct w:val="0"/>
                    <w:bidi w:val="0"/>
                    <w:snapToGrid/>
                    <w:spacing w:line="240" w:lineRule="auto"/>
                    <w:jc w:val="center"/>
                    <w:textAlignment w:val="center"/>
                    <w:rPr>
                      <w:b/>
                      <w:bCs/>
                      <w:color w:val="auto"/>
                      <w:sz w:val="24"/>
                    </w:rPr>
                  </w:pPr>
                  <w:r>
                    <w:rPr>
                      <w:color w:val="auto"/>
                    </w:rPr>
                    <w:t>等效黏土防渗层Mb≥1.5m，K≤1.0×10</w:t>
                  </w:r>
                  <w:r>
                    <w:rPr>
                      <w:color w:val="auto"/>
                      <w:vertAlign w:val="superscript"/>
                    </w:rPr>
                    <w:t>-7</w:t>
                  </w:r>
                  <w:r>
                    <w:rPr>
                      <w:color w:val="auto"/>
                    </w:rPr>
                    <w:t>cm/s；或参照GB16889执行。</w:t>
                  </w:r>
                </w:p>
              </w:tc>
            </w:tr>
            <w:tr w14:paraId="5A772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268C75AF">
                  <w:pPr>
                    <w:keepNext w:val="0"/>
                    <w:keepLines w:val="0"/>
                    <w:pageBreakBefore w:val="0"/>
                    <w:widowControl/>
                    <w:kinsoku/>
                    <w:wordWrap/>
                    <w:overflowPunct/>
                    <w:topLinePunct w:val="0"/>
                    <w:bidi w:val="0"/>
                    <w:snapToGrid/>
                    <w:spacing w:line="240" w:lineRule="auto"/>
                    <w:jc w:val="center"/>
                    <w:textAlignment w:val="center"/>
                    <w:rPr>
                      <w:rFonts w:hint="default"/>
                      <w:color w:val="auto"/>
                      <w:kern w:val="0"/>
                      <w:szCs w:val="21"/>
                      <w:lang w:val="en-US" w:eastAsia="zh-CN" w:bidi="ar"/>
                    </w:rPr>
                  </w:pPr>
                  <w:r>
                    <w:rPr>
                      <w:rFonts w:hint="eastAsia"/>
                      <w:color w:val="auto"/>
                      <w:kern w:val="0"/>
                      <w:szCs w:val="21"/>
                      <w:lang w:val="en-US" w:eastAsia="zh-CN" w:bidi="ar"/>
                    </w:rPr>
                    <w:t>3</w:t>
                  </w:r>
                </w:p>
              </w:tc>
              <w:tc>
                <w:tcPr>
                  <w:tcW w:w="3629" w:type="dxa"/>
                  <w:vAlign w:val="center"/>
                </w:tcPr>
                <w:p w14:paraId="41C38127">
                  <w:pPr>
                    <w:keepNext w:val="0"/>
                    <w:keepLines w:val="0"/>
                    <w:pageBreakBefore w:val="0"/>
                    <w:widowControl/>
                    <w:kinsoku/>
                    <w:wordWrap/>
                    <w:overflowPunct/>
                    <w:topLinePunct w:val="0"/>
                    <w:bidi w:val="0"/>
                    <w:snapToGrid/>
                    <w:spacing w:line="240" w:lineRule="auto"/>
                    <w:jc w:val="center"/>
                    <w:textAlignment w:val="center"/>
                    <w:rPr>
                      <w:rFonts w:hint="default" w:eastAsia="宋体"/>
                      <w:color w:val="auto"/>
                      <w:lang w:val="en-US" w:eastAsia="zh-CN"/>
                    </w:rPr>
                  </w:pPr>
                  <w:r>
                    <w:rPr>
                      <w:rFonts w:hint="eastAsia"/>
                      <w:color w:val="auto"/>
                      <w:lang w:val="en-US" w:eastAsia="zh-CN"/>
                    </w:rPr>
                    <w:t>配电室、过道</w:t>
                  </w:r>
                </w:p>
              </w:tc>
              <w:tc>
                <w:tcPr>
                  <w:tcW w:w="738" w:type="dxa"/>
                  <w:vAlign w:val="center"/>
                </w:tcPr>
                <w:p w14:paraId="4A10A9EB">
                  <w:pPr>
                    <w:keepNext w:val="0"/>
                    <w:keepLines w:val="0"/>
                    <w:pageBreakBefore w:val="0"/>
                    <w:widowControl/>
                    <w:kinsoku/>
                    <w:wordWrap/>
                    <w:overflowPunct/>
                    <w:topLinePunct w:val="0"/>
                    <w:bidi w:val="0"/>
                    <w:snapToGrid/>
                    <w:spacing w:line="240" w:lineRule="auto"/>
                    <w:jc w:val="center"/>
                    <w:textAlignment w:val="center"/>
                    <w:rPr>
                      <w:rFonts w:hint="default" w:eastAsia="宋体"/>
                      <w:color w:val="auto"/>
                      <w:lang w:val="en-US" w:eastAsia="zh-CN"/>
                    </w:rPr>
                  </w:pPr>
                  <w:r>
                    <w:rPr>
                      <w:rFonts w:hint="eastAsia"/>
                      <w:color w:val="auto"/>
                      <w:lang w:val="en-US" w:eastAsia="zh-CN"/>
                    </w:rPr>
                    <w:t>简单防渗区</w:t>
                  </w:r>
                </w:p>
              </w:tc>
              <w:tc>
                <w:tcPr>
                  <w:tcW w:w="3460" w:type="dxa"/>
                  <w:vAlign w:val="center"/>
                </w:tcPr>
                <w:p w14:paraId="1C3FB4A7">
                  <w:pPr>
                    <w:keepNext w:val="0"/>
                    <w:keepLines w:val="0"/>
                    <w:pageBreakBefore w:val="0"/>
                    <w:widowControl/>
                    <w:kinsoku/>
                    <w:wordWrap/>
                    <w:overflowPunct/>
                    <w:topLinePunct w:val="0"/>
                    <w:bidi w:val="0"/>
                    <w:snapToGrid/>
                    <w:spacing w:line="240" w:lineRule="auto"/>
                    <w:jc w:val="center"/>
                    <w:textAlignment w:val="center"/>
                    <w:rPr>
                      <w:color w:val="auto"/>
                    </w:rPr>
                  </w:pPr>
                  <w:r>
                    <w:rPr>
                      <w:color w:val="auto"/>
                    </w:rPr>
                    <w:t>简单防渗区</w:t>
                  </w:r>
                </w:p>
              </w:tc>
            </w:tr>
          </w:tbl>
          <w:p w14:paraId="5C8EB8BE">
            <w:pPr>
              <w:spacing w:line="360" w:lineRule="auto"/>
              <w:ind w:firstLine="480" w:firstLineChars="200"/>
              <w:rPr>
                <w:rFonts w:hint="eastAsia"/>
                <w:color w:val="auto"/>
                <w:sz w:val="24"/>
              </w:rPr>
            </w:pPr>
            <w:r>
              <w:rPr>
                <w:rFonts w:hint="eastAsia"/>
                <w:color w:val="auto"/>
                <w:sz w:val="24"/>
              </w:rPr>
              <w:t>由现有项目分区防控措施来看，本项目所在厂房已根据区域风险做重点防渗漏、一般防渗</w:t>
            </w:r>
            <w:r>
              <w:rPr>
                <w:rFonts w:hint="eastAsia"/>
                <w:color w:val="auto"/>
                <w:sz w:val="24"/>
                <w:lang w:eastAsia="zh-CN"/>
              </w:rPr>
              <w:t>、</w:t>
            </w:r>
            <w:r>
              <w:rPr>
                <w:rFonts w:hint="eastAsia"/>
                <w:color w:val="auto"/>
                <w:sz w:val="24"/>
                <w:lang w:val="en-US" w:eastAsia="zh-CN"/>
              </w:rPr>
              <w:t>简单防渗等措施</w:t>
            </w:r>
            <w:r>
              <w:rPr>
                <w:rFonts w:hint="eastAsia"/>
                <w:color w:val="auto"/>
                <w:sz w:val="24"/>
              </w:rPr>
              <w:t>。</w:t>
            </w:r>
          </w:p>
          <w:p w14:paraId="08D2B336">
            <w:pPr>
              <w:spacing w:line="360" w:lineRule="auto"/>
              <w:ind w:firstLine="480" w:firstLineChars="200"/>
              <w:rPr>
                <w:color w:val="auto"/>
                <w:sz w:val="24"/>
              </w:rPr>
            </w:pPr>
            <w:r>
              <w:rPr>
                <w:rFonts w:hint="eastAsia"/>
                <w:color w:val="auto"/>
                <w:sz w:val="24"/>
                <w:lang w:val="en-US" w:eastAsia="zh-CN"/>
              </w:rPr>
              <w:t>3</w:t>
            </w:r>
            <w:r>
              <w:rPr>
                <w:color w:val="auto"/>
                <w:sz w:val="24"/>
              </w:rPr>
              <w:t>）地下水及土壤污染监控</w:t>
            </w:r>
          </w:p>
          <w:p w14:paraId="026401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ascii="Times New Roman" w:hAnsi="Times New Roman" w:cs="Times New Roman"/>
                <w:color w:val="auto"/>
                <w:sz w:val="24"/>
                <w:szCs w:val="24"/>
              </w:rPr>
              <w:t>根据《环境影响评价技术导则 地下水环境》（HJ610-2016），项目为</w:t>
            </w:r>
            <w:r>
              <w:rPr>
                <w:rFonts w:hint="default" w:ascii="Times New Roman" w:hAnsi="Times New Roman" w:eastAsia="微软雅黑" w:cs="Times New Roman"/>
                <w:color w:val="auto"/>
                <w:sz w:val="24"/>
                <w:szCs w:val="24"/>
              </w:rPr>
              <w:t>Ⅲ</w:t>
            </w:r>
            <w:r>
              <w:rPr>
                <w:rFonts w:ascii="Times New Roman" w:hAnsi="Times New Roman" w:cs="Times New Roman"/>
                <w:color w:val="auto"/>
                <w:sz w:val="24"/>
                <w:szCs w:val="24"/>
              </w:rPr>
              <w:t>类建设项目，鉴于项目不以地下水作为供水水源，</w:t>
            </w:r>
            <w:r>
              <w:rPr>
                <w:rFonts w:hint="eastAsia" w:ascii="Times New Roman" w:hAnsi="Times New Roman" w:cs="Times New Roman"/>
                <w:color w:val="auto"/>
                <w:sz w:val="24"/>
                <w:szCs w:val="24"/>
                <w:lang w:val="en-US" w:eastAsia="zh-CN"/>
              </w:rPr>
              <w:t>且无生产性废水产生，</w:t>
            </w:r>
            <w:r>
              <w:rPr>
                <w:rFonts w:ascii="Times New Roman" w:hAnsi="Times New Roman" w:cs="Times New Roman"/>
                <w:color w:val="auto"/>
                <w:sz w:val="24"/>
                <w:szCs w:val="24"/>
              </w:rPr>
              <w:t>采取上述措施后，预计项目的建设对周围地下水环境影响不大</w:t>
            </w:r>
            <w:r>
              <w:rPr>
                <w:rFonts w:hint="eastAsia" w:ascii="Times New Roman" w:hAnsi="Times New Roman" w:cs="Times New Roman"/>
                <w:color w:val="auto"/>
                <w:sz w:val="24"/>
                <w:szCs w:val="24"/>
                <w:lang w:eastAsia="zh-CN"/>
              </w:rPr>
              <w:t>，</w:t>
            </w:r>
            <w:r>
              <w:rPr>
                <w:color w:val="auto"/>
                <w:kern w:val="0"/>
                <w:sz w:val="24"/>
                <w:szCs w:val="24"/>
                <w:lang w:bidi="ar"/>
              </w:rPr>
              <w:t>故本项目可不开展</w:t>
            </w:r>
            <w:r>
              <w:rPr>
                <w:rFonts w:hint="eastAsia"/>
                <w:color w:val="auto"/>
                <w:kern w:val="0"/>
                <w:sz w:val="24"/>
                <w:szCs w:val="24"/>
                <w:lang w:val="en-US" w:eastAsia="zh-CN" w:bidi="ar"/>
              </w:rPr>
              <w:t>地下水</w:t>
            </w:r>
            <w:r>
              <w:rPr>
                <w:color w:val="auto"/>
                <w:kern w:val="0"/>
                <w:sz w:val="24"/>
                <w:szCs w:val="24"/>
                <w:lang w:bidi="ar"/>
              </w:rPr>
              <w:t>环境质量现状调查</w:t>
            </w:r>
            <w:r>
              <w:rPr>
                <w:color w:val="auto"/>
                <w:sz w:val="24"/>
              </w:rPr>
              <w:t>；根据《环境影响评价技术导则 土壤环境（试行）》（HJ964-2018），项目为Ⅳ类建设项目，故本项目可不开展土壤环境质量跟踪监测。</w:t>
            </w:r>
          </w:p>
          <w:p w14:paraId="43468494">
            <w:pPr>
              <w:numPr>
                <w:ilvl w:val="0"/>
                <w:numId w:val="7"/>
              </w:numPr>
              <w:spacing w:line="360" w:lineRule="auto"/>
              <w:ind w:firstLine="482" w:firstLineChars="200"/>
              <w:rPr>
                <w:b/>
                <w:bCs/>
                <w:color w:val="auto"/>
                <w:sz w:val="24"/>
              </w:rPr>
            </w:pPr>
            <w:r>
              <w:rPr>
                <w:b/>
                <w:bCs/>
                <w:color w:val="auto"/>
                <w:sz w:val="24"/>
              </w:rPr>
              <w:t>环境管理</w:t>
            </w:r>
          </w:p>
          <w:p w14:paraId="1808D1DB">
            <w:pPr>
              <w:adjustRightInd w:val="0"/>
              <w:spacing w:line="360" w:lineRule="auto"/>
              <w:ind w:firstLine="480" w:firstLineChars="200"/>
              <w:textAlignment w:val="baseline"/>
              <w:rPr>
                <w:b w:val="0"/>
                <w:bCs w:val="0"/>
                <w:color w:val="auto"/>
                <w:sz w:val="24"/>
              </w:rPr>
            </w:pPr>
            <w:r>
              <w:rPr>
                <w:rFonts w:hint="eastAsia"/>
                <w:color w:val="auto"/>
                <w:kern w:val="0"/>
                <w:sz w:val="24"/>
              </w:rPr>
              <w:t>环境风险评价是分析和预测项目存在的潜在危险、有害因素，项目运行期间可能发生的突发性事件或事故</w:t>
            </w:r>
            <w:r>
              <w:rPr>
                <w:rFonts w:hint="eastAsia"/>
                <w:color w:val="auto"/>
                <w:kern w:val="0"/>
                <w:sz w:val="24"/>
                <w:lang w:eastAsia="zh-CN"/>
              </w:rPr>
              <w:t>（</w:t>
            </w:r>
            <w:r>
              <w:rPr>
                <w:rFonts w:hint="eastAsia"/>
                <w:color w:val="auto"/>
                <w:kern w:val="0"/>
                <w:sz w:val="24"/>
              </w:rPr>
              <w:t>一般不包括人为破坏及自然灾害</w:t>
            </w:r>
            <w:r>
              <w:rPr>
                <w:rFonts w:hint="eastAsia"/>
                <w:color w:val="auto"/>
                <w:kern w:val="0"/>
                <w:sz w:val="24"/>
                <w:lang w:eastAsia="zh-CN"/>
              </w:rPr>
              <w:t>）</w:t>
            </w:r>
            <w:r>
              <w:rPr>
                <w:rFonts w:hint="eastAsia"/>
                <w:color w:val="auto"/>
                <w:kern w:val="0"/>
                <w:sz w:val="24"/>
              </w:rPr>
              <w:t>，引起有毒有害和易燃易爆等物质泄漏，所造成的人身安全与环境影响和损害程度，提出合理可行的防范、应急与减缓措施，以使建设项目事故率、损失和环境影响达到可接受水平</w:t>
            </w:r>
            <w:r>
              <w:rPr>
                <w:rFonts w:hint="eastAsia"/>
                <w:color w:val="auto"/>
                <w:kern w:val="0"/>
                <w:sz w:val="24"/>
                <w:lang w:eastAsia="zh-CN"/>
              </w:rPr>
              <w:t>。</w:t>
            </w:r>
          </w:p>
          <w:p w14:paraId="2D1F275D">
            <w:pPr>
              <w:adjustRightInd w:val="0"/>
              <w:spacing w:line="360" w:lineRule="auto"/>
              <w:ind w:firstLine="482" w:firstLineChars="200"/>
              <w:textAlignment w:val="baseline"/>
              <w:rPr>
                <w:b/>
                <w:bCs/>
                <w:color w:val="auto"/>
                <w:kern w:val="0"/>
                <w:sz w:val="24"/>
              </w:rPr>
            </w:pPr>
            <w:r>
              <w:rPr>
                <w:rFonts w:hint="eastAsia"/>
                <w:b/>
                <w:bCs/>
                <w:color w:val="auto"/>
                <w:kern w:val="0"/>
                <w:sz w:val="24"/>
                <w:lang w:val="en-US" w:eastAsia="zh-CN"/>
              </w:rPr>
              <w:t>1、</w:t>
            </w:r>
            <w:r>
              <w:rPr>
                <w:b/>
                <w:bCs/>
                <w:color w:val="auto"/>
                <w:kern w:val="0"/>
                <w:sz w:val="24"/>
              </w:rPr>
              <w:t>环境风险识别</w:t>
            </w:r>
          </w:p>
          <w:p w14:paraId="38DE6667">
            <w:pPr>
              <w:adjustRightInd w:val="0"/>
              <w:spacing w:line="360" w:lineRule="auto"/>
              <w:ind w:firstLine="480"/>
              <w:textAlignment w:val="baseline"/>
              <w:rPr>
                <w:color w:val="auto"/>
                <w:kern w:val="0"/>
                <w:sz w:val="24"/>
              </w:rPr>
            </w:pPr>
            <w:r>
              <w:rPr>
                <w:rFonts w:hint="eastAsia"/>
                <w:color w:val="auto"/>
                <w:kern w:val="0"/>
                <w:sz w:val="24"/>
              </w:rPr>
              <w:t>根据《建设项目环境风险评价技术导则》</w:t>
            </w:r>
            <w:r>
              <w:rPr>
                <w:rFonts w:hint="eastAsia"/>
                <w:color w:val="auto"/>
                <w:kern w:val="0"/>
                <w:sz w:val="24"/>
                <w:lang w:eastAsia="zh-CN"/>
              </w:rPr>
              <w:t>（</w:t>
            </w:r>
            <w:r>
              <w:rPr>
                <w:rFonts w:hint="eastAsia"/>
                <w:color w:val="auto"/>
                <w:kern w:val="0"/>
                <w:sz w:val="24"/>
              </w:rPr>
              <w:t>HJ/T169-2018</w:t>
            </w:r>
            <w:r>
              <w:rPr>
                <w:rFonts w:hint="eastAsia"/>
                <w:color w:val="auto"/>
                <w:kern w:val="0"/>
                <w:sz w:val="24"/>
                <w:lang w:eastAsia="zh-CN"/>
              </w:rPr>
              <w:t>）</w:t>
            </w:r>
            <w:r>
              <w:rPr>
                <w:rFonts w:hint="eastAsia"/>
                <w:color w:val="auto"/>
                <w:kern w:val="0"/>
                <w:sz w:val="24"/>
              </w:rPr>
              <w:t>表B.2其他危险物质临界量推荐值，结合各种物质的理化性质及毒理毒性，可识别出厂内的环境风险物质</w:t>
            </w:r>
            <w:r>
              <w:rPr>
                <w:rFonts w:hint="eastAsia"/>
                <w:color w:val="auto"/>
                <w:kern w:val="0"/>
                <w:sz w:val="24"/>
                <w:lang w:val="en-US" w:eastAsia="zh-CN"/>
              </w:rPr>
              <w:t>为废润滑油以及</w:t>
            </w:r>
            <w:r>
              <w:rPr>
                <w:rFonts w:hint="eastAsia"/>
                <w:color w:val="auto"/>
                <w:sz w:val="24"/>
              </w:rPr>
              <w:t>健康危险急性毒性物质</w:t>
            </w:r>
            <w:r>
              <w:rPr>
                <w:rFonts w:hint="eastAsia"/>
                <w:color w:val="auto"/>
                <w:sz w:val="24"/>
                <w:lang w:eastAsia="zh-CN"/>
              </w:rPr>
              <w:t>（</w:t>
            </w:r>
            <w:r>
              <w:rPr>
                <w:rFonts w:hint="eastAsia"/>
                <w:color w:val="auto"/>
                <w:kern w:val="0"/>
                <w:sz w:val="24"/>
                <w:lang w:val="en-US" w:eastAsia="zh-CN"/>
              </w:rPr>
              <w:t>水性油墨、油墨、稀释剂及其它危险废物）</w:t>
            </w:r>
            <w:r>
              <w:rPr>
                <w:rFonts w:hint="eastAsia"/>
                <w:color w:val="auto"/>
                <w:kern w:val="0"/>
                <w:sz w:val="24"/>
                <w:lang w:eastAsia="zh-CN"/>
              </w:rPr>
              <w:t>，</w:t>
            </w:r>
            <w:r>
              <w:rPr>
                <w:color w:val="auto"/>
                <w:kern w:val="0"/>
                <w:sz w:val="24"/>
              </w:rPr>
              <w:t>建设项目环境风险识别表如下。</w:t>
            </w:r>
          </w:p>
          <w:p w14:paraId="7201BC03">
            <w:pPr>
              <w:pStyle w:val="7"/>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color w:val="auto"/>
              </w:rPr>
            </w:pPr>
            <w:r>
              <w:rPr>
                <w:b/>
                <w:bCs/>
                <w:color w:val="auto"/>
              </w:rPr>
              <w:t>表4-</w:t>
            </w:r>
            <w:r>
              <w:rPr>
                <w:rFonts w:hint="eastAsia"/>
                <w:b/>
                <w:bCs/>
                <w:color w:val="auto"/>
                <w:lang w:val="en-US" w:eastAsia="zh-CN"/>
              </w:rPr>
              <w:t>20</w:t>
            </w:r>
            <w:r>
              <w:rPr>
                <w:b/>
                <w:bCs/>
                <w:color w:val="auto"/>
              </w:rPr>
              <w:t xml:space="preserve">  建设项目环境风险识别表</w:t>
            </w:r>
          </w:p>
          <w:tbl>
            <w:tblPr>
              <w:tblStyle w:val="28"/>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28" w:type="dxa"/>
                <w:bottom w:w="0" w:type="dxa"/>
                <w:right w:w="28" w:type="dxa"/>
              </w:tblCellMar>
            </w:tblPr>
            <w:tblGrid>
              <w:gridCol w:w="552"/>
              <w:gridCol w:w="1616"/>
              <w:gridCol w:w="1623"/>
              <w:gridCol w:w="1474"/>
              <w:gridCol w:w="1540"/>
              <w:gridCol w:w="1652"/>
            </w:tblGrid>
            <w:tr w14:paraId="34F9A7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26" w:type="pct"/>
                  <w:vAlign w:val="center"/>
                </w:tcPr>
                <w:p w14:paraId="430491F2">
                  <w:pPr>
                    <w:snapToGrid w:val="0"/>
                    <w:jc w:val="center"/>
                    <w:rPr>
                      <w:b/>
                      <w:color w:val="auto"/>
                      <w:szCs w:val="21"/>
                    </w:rPr>
                  </w:pPr>
                  <w:r>
                    <w:rPr>
                      <w:b/>
                      <w:color w:val="auto"/>
                      <w:szCs w:val="21"/>
                    </w:rPr>
                    <w:t>序号</w:t>
                  </w:r>
                </w:p>
              </w:tc>
              <w:tc>
                <w:tcPr>
                  <w:tcW w:w="955" w:type="pct"/>
                  <w:vAlign w:val="center"/>
                </w:tcPr>
                <w:p w14:paraId="199F6343">
                  <w:pPr>
                    <w:snapToGrid w:val="0"/>
                    <w:jc w:val="center"/>
                    <w:rPr>
                      <w:b/>
                      <w:color w:val="auto"/>
                      <w:szCs w:val="21"/>
                    </w:rPr>
                  </w:pPr>
                  <w:r>
                    <w:rPr>
                      <w:b/>
                      <w:color w:val="auto"/>
                      <w:szCs w:val="21"/>
                    </w:rPr>
                    <w:t>危险单元</w:t>
                  </w:r>
                </w:p>
              </w:tc>
              <w:tc>
                <w:tcPr>
                  <w:tcW w:w="959" w:type="pct"/>
                  <w:vAlign w:val="center"/>
                </w:tcPr>
                <w:p w14:paraId="55D31A12">
                  <w:pPr>
                    <w:snapToGrid w:val="0"/>
                    <w:jc w:val="center"/>
                    <w:rPr>
                      <w:b/>
                      <w:color w:val="auto"/>
                      <w:szCs w:val="21"/>
                    </w:rPr>
                  </w:pPr>
                  <w:r>
                    <w:rPr>
                      <w:b/>
                      <w:color w:val="auto"/>
                      <w:szCs w:val="21"/>
                    </w:rPr>
                    <w:t>风险源</w:t>
                  </w:r>
                </w:p>
              </w:tc>
              <w:tc>
                <w:tcPr>
                  <w:tcW w:w="871" w:type="pct"/>
                  <w:vAlign w:val="center"/>
                </w:tcPr>
                <w:p w14:paraId="4D2F2522">
                  <w:pPr>
                    <w:snapToGrid w:val="0"/>
                    <w:jc w:val="center"/>
                    <w:rPr>
                      <w:b/>
                      <w:color w:val="auto"/>
                      <w:szCs w:val="21"/>
                    </w:rPr>
                  </w:pPr>
                  <w:r>
                    <w:rPr>
                      <w:b/>
                      <w:color w:val="auto"/>
                      <w:szCs w:val="21"/>
                    </w:rPr>
                    <w:t>环境风险类型</w:t>
                  </w:r>
                </w:p>
              </w:tc>
              <w:tc>
                <w:tcPr>
                  <w:tcW w:w="910" w:type="pct"/>
                  <w:vAlign w:val="center"/>
                </w:tcPr>
                <w:p w14:paraId="3F172F85">
                  <w:pPr>
                    <w:snapToGrid w:val="0"/>
                    <w:jc w:val="center"/>
                    <w:rPr>
                      <w:b/>
                      <w:color w:val="auto"/>
                      <w:szCs w:val="21"/>
                    </w:rPr>
                  </w:pPr>
                  <w:r>
                    <w:rPr>
                      <w:b/>
                      <w:color w:val="auto"/>
                      <w:szCs w:val="21"/>
                    </w:rPr>
                    <w:t>环境影响途径</w:t>
                  </w:r>
                </w:p>
              </w:tc>
              <w:tc>
                <w:tcPr>
                  <w:tcW w:w="976" w:type="pct"/>
                  <w:vAlign w:val="center"/>
                </w:tcPr>
                <w:p w14:paraId="45013D1D">
                  <w:pPr>
                    <w:snapToGrid w:val="0"/>
                    <w:jc w:val="center"/>
                    <w:rPr>
                      <w:b/>
                      <w:color w:val="auto"/>
                      <w:szCs w:val="21"/>
                    </w:rPr>
                  </w:pPr>
                  <w:r>
                    <w:rPr>
                      <w:b/>
                      <w:color w:val="auto"/>
                      <w:szCs w:val="21"/>
                    </w:rPr>
                    <w:t>可能受影响的环境影响目标</w:t>
                  </w:r>
                </w:p>
              </w:tc>
            </w:tr>
            <w:tr w14:paraId="33DB0B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26" w:type="pct"/>
                  <w:vAlign w:val="center"/>
                </w:tcPr>
                <w:p w14:paraId="1279D569">
                  <w:pPr>
                    <w:snapToGrid w:val="0"/>
                    <w:jc w:val="center"/>
                    <w:rPr>
                      <w:color w:val="auto"/>
                      <w:szCs w:val="21"/>
                    </w:rPr>
                  </w:pPr>
                  <w:r>
                    <w:rPr>
                      <w:rFonts w:hint="eastAsia"/>
                      <w:color w:val="auto"/>
                      <w:szCs w:val="21"/>
                    </w:rPr>
                    <w:t>1</w:t>
                  </w:r>
                </w:p>
              </w:tc>
              <w:tc>
                <w:tcPr>
                  <w:tcW w:w="955" w:type="pct"/>
                  <w:vAlign w:val="center"/>
                </w:tcPr>
                <w:p w14:paraId="22189038">
                  <w:pPr>
                    <w:snapToGrid w:val="0"/>
                    <w:jc w:val="center"/>
                    <w:rPr>
                      <w:rFonts w:hint="default" w:eastAsia="宋体"/>
                      <w:color w:val="auto"/>
                      <w:sz w:val="21"/>
                      <w:szCs w:val="21"/>
                      <w:highlight w:val="none"/>
                      <w:lang w:val="en-US" w:eastAsia="zh-CN"/>
                    </w:rPr>
                  </w:pPr>
                  <w:r>
                    <w:rPr>
                      <w:rFonts w:hint="eastAsia"/>
                      <w:color w:val="auto"/>
                      <w:szCs w:val="21"/>
                      <w:highlight w:val="none"/>
                      <w:lang w:val="en-US" w:eastAsia="zh-CN"/>
                    </w:rPr>
                    <w:t>危废暂存间</w:t>
                  </w:r>
                </w:p>
              </w:tc>
              <w:tc>
                <w:tcPr>
                  <w:tcW w:w="959" w:type="pct"/>
                  <w:vAlign w:val="center"/>
                </w:tcPr>
                <w:p w14:paraId="66E7121E">
                  <w:pPr>
                    <w:snapToGrid w:val="0"/>
                    <w:jc w:val="center"/>
                    <w:rPr>
                      <w:rFonts w:hint="default" w:eastAsia="宋体"/>
                      <w:color w:val="auto"/>
                      <w:szCs w:val="21"/>
                      <w:highlight w:val="none"/>
                      <w:lang w:val="en-US" w:eastAsia="zh-CN"/>
                    </w:rPr>
                  </w:pPr>
                  <w:r>
                    <w:rPr>
                      <w:rFonts w:hint="eastAsia"/>
                      <w:color w:val="auto"/>
                      <w:sz w:val="21"/>
                      <w:szCs w:val="21"/>
                      <w:highlight w:val="none"/>
                      <w:lang w:val="en-US" w:eastAsia="zh-CN"/>
                    </w:rPr>
                    <w:t>废润滑油</w:t>
                  </w:r>
                </w:p>
              </w:tc>
              <w:tc>
                <w:tcPr>
                  <w:tcW w:w="871" w:type="pct"/>
                  <w:vAlign w:val="center"/>
                </w:tcPr>
                <w:p w14:paraId="610B379E">
                  <w:pPr>
                    <w:snapToGrid w:val="0"/>
                    <w:jc w:val="center"/>
                    <w:rPr>
                      <w:color w:val="auto"/>
                      <w:szCs w:val="21"/>
                    </w:rPr>
                  </w:pPr>
                  <w:r>
                    <w:rPr>
                      <w:rFonts w:hint="eastAsia"/>
                      <w:color w:val="auto"/>
                      <w:szCs w:val="21"/>
                      <w:lang w:val="en-US" w:eastAsia="zh-CN"/>
                    </w:rPr>
                    <w:t>火灾、泄露</w:t>
                  </w:r>
                </w:p>
              </w:tc>
              <w:tc>
                <w:tcPr>
                  <w:tcW w:w="910" w:type="pct"/>
                  <w:vAlign w:val="center"/>
                </w:tcPr>
                <w:p w14:paraId="6065AFD8">
                  <w:pPr>
                    <w:snapToGrid w:val="0"/>
                    <w:jc w:val="both"/>
                    <w:rPr>
                      <w:color w:val="auto"/>
                      <w:szCs w:val="21"/>
                    </w:rPr>
                  </w:pPr>
                  <w:r>
                    <w:rPr>
                      <w:rFonts w:hint="eastAsia"/>
                      <w:color w:val="auto"/>
                      <w:szCs w:val="21"/>
                      <w:lang w:val="en-US" w:eastAsia="zh-CN"/>
                    </w:rPr>
                    <w:t>大气、地表水、地下水</w:t>
                  </w:r>
                </w:p>
              </w:tc>
              <w:tc>
                <w:tcPr>
                  <w:tcW w:w="976" w:type="pct"/>
                  <w:vAlign w:val="center"/>
                </w:tcPr>
                <w:p w14:paraId="0423E561">
                  <w:pPr>
                    <w:snapToGrid w:val="0"/>
                    <w:jc w:val="both"/>
                    <w:rPr>
                      <w:color w:val="auto"/>
                      <w:szCs w:val="21"/>
                    </w:rPr>
                  </w:pPr>
                  <w:r>
                    <w:rPr>
                      <w:rFonts w:hint="eastAsia"/>
                      <w:color w:val="auto"/>
                      <w:szCs w:val="21"/>
                      <w:lang w:val="en-US" w:eastAsia="zh-CN"/>
                    </w:rPr>
                    <w:t>大气</w:t>
                  </w:r>
                  <w:r>
                    <w:rPr>
                      <w:color w:val="auto"/>
                      <w:szCs w:val="21"/>
                    </w:rPr>
                    <w:t>环境</w:t>
                  </w:r>
                  <w:r>
                    <w:rPr>
                      <w:rFonts w:hint="eastAsia"/>
                      <w:color w:val="auto"/>
                      <w:szCs w:val="21"/>
                      <w:lang w:eastAsia="zh-CN"/>
                    </w:rPr>
                    <w:t>，</w:t>
                  </w:r>
                  <w:r>
                    <w:rPr>
                      <w:rFonts w:hint="eastAsia"/>
                      <w:color w:val="auto"/>
                      <w:szCs w:val="21"/>
                      <w:lang w:val="en-US" w:eastAsia="zh-CN"/>
                    </w:rPr>
                    <w:t>地表水环境、地下水环境</w:t>
                  </w:r>
                </w:p>
              </w:tc>
            </w:tr>
            <w:tr w14:paraId="36CA70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26" w:type="pct"/>
                  <w:vAlign w:val="center"/>
                </w:tcPr>
                <w:p w14:paraId="1F69F525">
                  <w:pPr>
                    <w:snapToGrid w:val="0"/>
                    <w:jc w:val="center"/>
                    <w:rPr>
                      <w:rFonts w:hint="eastAsia" w:eastAsia="宋体"/>
                      <w:color w:val="auto"/>
                      <w:szCs w:val="21"/>
                      <w:lang w:val="en-US" w:eastAsia="zh-CN"/>
                    </w:rPr>
                  </w:pPr>
                  <w:r>
                    <w:rPr>
                      <w:rFonts w:hint="eastAsia"/>
                      <w:color w:val="auto"/>
                      <w:szCs w:val="21"/>
                      <w:lang w:val="en-US" w:eastAsia="zh-CN"/>
                    </w:rPr>
                    <w:t>2</w:t>
                  </w:r>
                </w:p>
              </w:tc>
              <w:tc>
                <w:tcPr>
                  <w:tcW w:w="955" w:type="pct"/>
                  <w:vAlign w:val="center"/>
                </w:tcPr>
                <w:p w14:paraId="17EFB4E4">
                  <w:pPr>
                    <w:snapToGrid w:val="0"/>
                    <w:jc w:val="center"/>
                    <w:rPr>
                      <w:rFonts w:hint="default"/>
                      <w:color w:val="auto"/>
                      <w:sz w:val="21"/>
                      <w:szCs w:val="21"/>
                      <w:highlight w:val="none"/>
                      <w:lang w:val="en-US" w:eastAsia="zh-CN"/>
                    </w:rPr>
                  </w:pPr>
                  <w:r>
                    <w:rPr>
                      <w:rFonts w:hint="eastAsia"/>
                      <w:color w:val="auto"/>
                      <w:szCs w:val="21"/>
                      <w:highlight w:val="none"/>
                      <w:lang w:val="en-US" w:eastAsia="zh-CN"/>
                    </w:rPr>
                    <w:t>油墨车间、危废暂存间</w:t>
                  </w:r>
                </w:p>
              </w:tc>
              <w:tc>
                <w:tcPr>
                  <w:tcW w:w="959" w:type="pct"/>
                  <w:shd w:val="clear" w:color="auto" w:fill="auto"/>
                  <w:vAlign w:val="center"/>
                </w:tcPr>
                <w:p w14:paraId="771F8AEC">
                  <w:pPr>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健康危险急性毒性物质</w:t>
                  </w:r>
                </w:p>
              </w:tc>
              <w:tc>
                <w:tcPr>
                  <w:tcW w:w="871" w:type="pct"/>
                  <w:shd w:val="clear" w:color="auto" w:fill="auto"/>
                  <w:vAlign w:val="center"/>
                </w:tcPr>
                <w:p w14:paraId="4C0183F2">
                  <w:pPr>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火灾、泄露</w:t>
                  </w:r>
                </w:p>
              </w:tc>
              <w:tc>
                <w:tcPr>
                  <w:tcW w:w="1516" w:type="dxa"/>
                  <w:vAlign w:val="center"/>
                </w:tcPr>
                <w:p w14:paraId="72510F36">
                  <w:pPr>
                    <w:snapToGrid w:val="0"/>
                    <w:jc w:val="both"/>
                    <w:rPr>
                      <w:rFonts w:hint="eastAsia"/>
                      <w:color w:val="auto"/>
                      <w:szCs w:val="21"/>
                      <w:lang w:val="en-US" w:eastAsia="zh-CN"/>
                    </w:rPr>
                  </w:pPr>
                  <w:r>
                    <w:rPr>
                      <w:rFonts w:hint="eastAsia"/>
                      <w:color w:val="auto"/>
                      <w:szCs w:val="21"/>
                      <w:lang w:val="en-US" w:eastAsia="zh-CN"/>
                    </w:rPr>
                    <w:t>大气、地表水、地下水</w:t>
                  </w:r>
                </w:p>
              </w:tc>
              <w:tc>
                <w:tcPr>
                  <w:tcW w:w="1626" w:type="dxa"/>
                  <w:vAlign w:val="center"/>
                </w:tcPr>
                <w:p w14:paraId="77D0A280">
                  <w:pPr>
                    <w:snapToGrid w:val="0"/>
                    <w:jc w:val="both"/>
                    <w:rPr>
                      <w:rFonts w:hint="eastAsia"/>
                      <w:color w:val="auto"/>
                      <w:szCs w:val="21"/>
                      <w:lang w:val="en-US" w:eastAsia="zh-CN"/>
                    </w:rPr>
                  </w:pPr>
                  <w:r>
                    <w:rPr>
                      <w:rFonts w:hint="eastAsia"/>
                      <w:color w:val="auto"/>
                      <w:szCs w:val="21"/>
                      <w:lang w:val="en-US" w:eastAsia="zh-CN"/>
                    </w:rPr>
                    <w:t>大气</w:t>
                  </w:r>
                  <w:r>
                    <w:rPr>
                      <w:color w:val="auto"/>
                      <w:szCs w:val="21"/>
                    </w:rPr>
                    <w:t>环境</w:t>
                  </w:r>
                  <w:r>
                    <w:rPr>
                      <w:rFonts w:hint="eastAsia"/>
                      <w:color w:val="auto"/>
                      <w:szCs w:val="21"/>
                      <w:lang w:eastAsia="zh-CN"/>
                    </w:rPr>
                    <w:t>，</w:t>
                  </w:r>
                  <w:r>
                    <w:rPr>
                      <w:rFonts w:hint="eastAsia"/>
                      <w:color w:val="auto"/>
                      <w:szCs w:val="21"/>
                      <w:lang w:val="en-US" w:eastAsia="zh-CN"/>
                    </w:rPr>
                    <w:t>地表水环境、地下水环境</w:t>
                  </w:r>
                </w:p>
              </w:tc>
            </w:tr>
          </w:tbl>
          <w:p w14:paraId="48E7A2BB">
            <w:pPr>
              <w:spacing w:line="360" w:lineRule="auto"/>
              <w:ind w:firstLine="480"/>
              <w:rPr>
                <w:b/>
                <w:bCs/>
                <w:color w:val="auto"/>
                <w:sz w:val="24"/>
              </w:rPr>
            </w:pPr>
            <w:r>
              <w:rPr>
                <w:rFonts w:hint="eastAsia"/>
                <w:b/>
                <w:bCs/>
                <w:color w:val="auto"/>
                <w:sz w:val="24"/>
                <w:lang w:val="en-US" w:eastAsia="zh-CN"/>
              </w:rPr>
              <w:t>2、</w:t>
            </w:r>
            <w:r>
              <w:rPr>
                <w:b/>
                <w:bCs/>
                <w:color w:val="auto"/>
                <w:sz w:val="24"/>
              </w:rPr>
              <w:t>风险调查与分析</w:t>
            </w:r>
          </w:p>
          <w:p w14:paraId="04E7A700">
            <w:pPr>
              <w:spacing w:line="360" w:lineRule="auto"/>
              <w:ind w:firstLine="480"/>
              <w:rPr>
                <w:color w:val="auto"/>
                <w:sz w:val="24"/>
              </w:rPr>
            </w:pPr>
            <w:r>
              <w:rPr>
                <w:color w:val="auto"/>
                <w:sz w:val="24"/>
              </w:rPr>
              <w:t>根据《建设项目环境风险评价技术导则》（HJ169－2018）附录C，Q按下式进行计算：</w:t>
            </w:r>
          </w:p>
          <w:p w14:paraId="1A0CD19B">
            <w:pPr>
              <w:spacing w:line="360" w:lineRule="auto"/>
              <w:ind w:firstLine="480"/>
              <w:jc w:val="center"/>
              <w:rPr>
                <w:color w:val="auto"/>
                <w:sz w:val="24"/>
              </w:rPr>
            </w:pPr>
            <w:r>
              <w:rPr>
                <w:color w:val="auto"/>
                <w:sz w:val="24"/>
              </w:rPr>
              <w:drawing>
                <wp:inline distT="0" distB="0" distL="114300" distR="114300">
                  <wp:extent cx="2076450" cy="628650"/>
                  <wp:effectExtent l="0" t="0" r="0" b="0"/>
                  <wp:docPr id="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
                          <pic:cNvPicPr>
                            <a:picLocks noChangeAspect="1"/>
                          </pic:cNvPicPr>
                        </pic:nvPicPr>
                        <pic:blipFill>
                          <a:blip r:embed="rId33"/>
                          <a:stretch>
                            <a:fillRect/>
                          </a:stretch>
                        </pic:blipFill>
                        <pic:spPr>
                          <a:xfrm>
                            <a:off x="0" y="0"/>
                            <a:ext cx="2076450" cy="628650"/>
                          </a:xfrm>
                          <a:prstGeom prst="rect">
                            <a:avLst/>
                          </a:prstGeom>
                          <a:noFill/>
                          <a:ln>
                            <a:noFill/>
                          </a:ln>
                        </pic:spPr>
                      </pic:pic>
                    </a:graphicData>
                  </a:graphic>
                </wp:inline>
              </w:drawing>
            </w:r>
          </w:p>
          <w:p w14:paraId="296218F2">
            <w:pPr>
              <w:spacing w:line="360" w:lineRule="auto"/>
              <w:ind w:firstLine="480"/>
              <w:rPr>
                <w:color w:val="auto"/>
                <w:sz w:val="24"/>
              </w:rPr>
            </w:pPr>
            <w:r>
              <w:rPr>
                <w:color w:val="auto"/>
                <w:sz w:val="24"/>
              </w:rPr>
              <w:t>式中：q1，q2……qn—每种危险物质的最大存在量，t；</w:t>
            </w:r>
          </w:p>
          <w:p w14:paraId="347AA87B">
            <w:pPr>
              <w:spacing w:line="360" w:lineRule="auto"/>
              <w:ind w:firstLine="1200" w:firstLineChars="500"/>
              <w:rPr>
                <w:color w:val="auto"/>
                <w:sz w:val="24"/>
              </w:rPr>
            </w:pPr>
            <w:r>
              <w:rPr>
                <w:color w:val="auto"/>
                <w:sz w:val="24"/>
              </w:rPr>
              <w:t>Q1，Q2…Qn—每种危险物质的临界量，t。</w:t>
            </w:r>
          </w:p>
          <w:p w14:paraId="4C1EEE6F">
            <w:pPr>
              <w:spacing w:line="360" w:lineRule="auto"/>
              <w:ind w:firstLine="480"/>
              <w:rPr>
                <w:color w:val="auto"/>
                <w:sz w:val="24"/>
              </w:rPr>
            </w:pPr>
            <w:r>
              <w:rPr>
                <w:color w:val="auto"/>
                <w:sz w:val="24"/>
              </w:rPr>
              <w:t>当Q&lt;1时，该项目环境风险潜势为I。</w:t>
            </w:r>
          </w:p>
          <w:p w14:paraId="71CDFE2E">
            <w:pPr>
              <w:spacing w:line="360" w:lineRule="auto"/>
              <w:ind w:firstLine="480"/>
              <w:rPr>
                <w:color w:val="auto"/>
                <w:sz w:val="24"/>
                <w:szCs w:val="24"/>
              </w:rPr>
            </w:pPr>
            <w:r>
              <w:rPr>
                <w:color w:val="auto"/>
                <w:sz w:val="24"/>
              </w:rPr>
              <w:t>当Q≥1时，将Q值划分为：1≤Q＜10；10≤Q＜10</w:t>
            </w:r>
            <w:r>
              <w:rPr>
                <w:color w:val="auto"/>
                <w:sz w:val="24"/>
                <w:szCs w:val="24"/>
              </w:rPr>
              <w:t>0；Q≥100。</w:t>
            </w:r>
          </w:p>
          <w:p w14:paraId="5517284C">
            <w:pPr>
              <w:spacing w:line="360" w:lineRule="auto"/>
              <w:ind w:firstLine="480"/>
              <w:rPr>
                <w:color w:val="auto"/>
                <w:sz w:val="24"/>
              </w:rPr>
            </w:pPr>
            <w:r>
              <w:rPr>
                <w:color w:val="auto"/>
                <w:sz w:val="24"/>
              </w:rPr>
              <w:t>本项目涉及环境风险物质为</w:t>
            </w:r>
            <w:r>
              <w:rPr>
                <w:rFonts w:hint="eastAsia"/>
                <w:color w:val="auto"/>
                <w:sz w:val="24"/>
                <w:lang w:val="en-US" w:eastAsia="zh-CN"/>
              </w:rPr>
              <w:t>废润滑油与</w:t>
            </w:r>
            <w:r>
              <w:rPr>
                <w:rFonts w:hint="eastAsia"/>
                <w:color w:val="auto"/>
                <w:sz w:val="24"/>
              </w:rPr>
              <w:t>健康危险急性毒性物质</w:t>
            </w:r>
            <w:r>
              <w:rPr>
                <w:rFonts w:hint="eastAsia"/>
                <w:color w:val="auto"/>
                <w:sz w:val="24"/>
                <w:lang w:eastAsia="zh-CN"/>
              </w:rPr>
              <w:t>（</w:t>
            </w:r>
            <w:r>
              <w:rPr>
                <w:rFonts w:hint="eastAsia"/>
                <w:color w:val="auto"/>
                <w:kern w:val="0"/>
                <w:sz w:val="24"/>
                <w:lang w:val="en-US" w:eastAsia="zh-CN"/>
              </w:rPr>
              <w:t>水性油墨、油墨、稀释剂及其它危险废物）</w:t>
            </w:r>
            <w:r>
              <w:rPr>
                <w:rFonts w:hint="eastAsia"/>
                <w:color w:val="auto"/>
                <w:sz w:val="24"/>
                <w:szCs w:val="24"/>
                <w:lang w:eastAsia="zh-CN"/>
              </w:rPr>
              <w:t>，</w:t>
            </w:r>
            <w:r>
              <w:rPr>
                <w:color w:val="auto"/>
                <w:sz w:val="24"/>
              </w:rPr>
              <w:t>Q值计算见表4-</w:t>
            </w:r>
            <w:r>
              <w:rPr>
                <w:rFonts w:hint="eastAsia"/>
                <w:color w:val="auto"/>
                <w:sz w:val="24"/>
                <w:lang w:val="en-US" w:eastAsia="zh-CN"/>
              </w:rPr>
              <w:t>21</w:t>
            </w:r>
            <w:r>
              <w:rPr>
                <w:color w:val="auto"/>
                <w:sz w:val="24"/>
              </w:rPr>
              <w:t>。</w:t>
            </w:r>
          </w:p>
          <w:p w14:paraId="47307503">
            <w:pPr>
              <w:jc w:val="center"/>
              <w:rPr>
                <w:rFonts w:ascii="Times New Roman" w:hAnsi="Times New Roman" w:eastAsia="宋体" w:cs="Times New Roman"/>
                <w:b/>
                <w:bCs/>
                <w:color w:val="auto"/>
                <w:sz w:val="24"/>
                <w:lang w:val="zh-CN"/>
              </w:rPr>
            </w:pPr>
            <w:r>
              <w:rPr>
                <w:rFonts w:ascii="Times New Roman" w:hAnsi="Times New Roman" w:eastAsia="宋体" w:cs="Times New Roman"/>
                <w:b/>
                <w:bCs/>
                <w:color w:val="auto"/>
                <w:sz w:val="24"/>
                <w:lang w:val="zh-CN"/>
              </w:rPr>
              <w:t>表4-</w:t>
            </w:r>
            <w:r>
              <w:rPr>
                <w:rFonts w:hint="eastAsia" w:cs="Times New Roman"/>
                <w:b/>
                <w:bCs/>
                <w:color w:val="auto"/>
                <w:sz w:val="24"/>
                <w:lang w:val="en-US" w:eastAsia="zh-CN"/>
              </w:rPr>
              <w:t>21</w:t>
            </w:r>
            <w:r>
              <w:rPr>
                <w:rFonts w:ascii="Times New Roman" w:hAnsi="Times New Roman" w:eastAsia="宋体" w:cs="Times New Roman"/>
                <w:b/>
                <w:bCs/>
                <w:color w:val="auto"/>
                <w:sz w:val="24"/>
                <w:lang w:val="zh-CN"/>
              </w:rPr>
              <w:t xml:space="preserve">  项目Q值计算表</w:t>
            </w:r>
          </w:p>
          <w:tbl>
            <w:tblPr>
              <w:tblStyle w:val="28"/>
              <w:tblW w:w="843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98"/>
              <w:gridCol w:w="2040"/>
              <w:gridCol w:w="1275"/>
              <w:gridCol w:w="1608"/>
              <w:gridCol w:w="1150"/>
              <w:gridCol w:w="1762"/>
            </w:tblGrid>
            <w:tr w14:paraId="5F8961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98" w:type="dxa"/>
                  <w:tcBorders>
                    <w:tl2br w:val="nil"/>
                    <w:tr2bl w:val="nil"/>
                  </w:tcBorders>
                  <w:vAlign w:val="center"/>
                </w:tcPr>
                <w:p w14:paraId="36CAFE6B">
                  <w:pPr>
                    <w:pStyle w:val="7"/>
                    <w:spacing w:line="240" w:lineRule="auto"/>
                    <w:ind w:left="0" w:firstLine="0"/>
                    <w:jc w:val="center"/>
                    <w:rPr>
                      <w:b/>
                      <w:bCs/>
                      <w:color w:val="auto"/>
                      <w:sz w:val="21"/>
                      <w:szCs w:val="21"/>
                    </w:rPr>
                  </w:pPr>
                  <w:r>
                    <w:rPr>
                      <w:b/>
                      <w:bCs/>
                      <w:color w:val="auto"/>
                      <w:sz w:val="21"/>
                      <w:szCs w:val="21"/>
                    </w:rPr>
                    <w:t>序号</w:t>
                  </w:r>
                </w:p>
              </w:tc>
              <w:tc>
                <w:tcPr>
                  <w:tcW w:w="2040" w:type="dxa"/>
                  <w:tcBorders>
                    <w:tl2br w:val="nil"/>
                    <w:tr2bl w:val="nil"/>
                  </w:tcBorders>
                  <w:vAlign w:val="center"/>
                </w:tcPr>
                <w:p w14:paraId="69A13A9C">
                  <w:pPr>
                    <w:pStyle w:val="7"/>
                    <w:spacing w:line="240" w:lineRule="auto"/>
                    <w:ind w:left="0" w:firstLine="0"/>
                    <w:jc w:val="center"/>
                    <w:rPr>
                      <w:b/>
                      <w:bCs/>
                      <w:color w:val="auto"/>
                      <w:sz w:val="21"/>
                      <w:szCs w:val="21"/>
                    </w:rPr>
                  </w:pPr>
                  <w:r>
                    <w:rPr>
                      <w:b/>
                      <w:bCs/>
                      <w:color w:val="auto"/>
                      <w:sz w:val="21"/>
                      <w:szCs w:val="21"/>
                    </w:rPr>
                    <w:t>危险物质名称</w:t>
                  </w:r>
                </w:p>
              </w:tc>
              <w:tc>
                <w:tcPr>
                  <w:tcW w:w="1275" w:type="dxa"/>
                  <w:tcBorders>
                    <w:tl2br w:val="nil"/>
                    <w:tr2bl w:val="nil"/>
                  </w:tcBorders>
                  <w:vAlign w:val="center"/>
                </w:tcPr>
                <w:p w14:paraId="227B5A83">
                  <w:pPr>
                    <w:pStyle w:val="7"/>
                    <w:spacing w:line="240" w:lineRule="auto"/>
                    <w:ind w:left="0" w:firstLine="0"/>
                    <w:jc w:val="center"/>
                    <w:rPr>
                      <w:b/>
                      <w:bCs/>
                      <w:color w:val="auto"/>
                      <w:sz w:val="21"/>
                      <w:szCs w:val="21"/>
                    </w:rPr>
                  </w:pPr>
                  <w:r>
                    <w:rPr>
                      <w:b/>
                      <w:bCs/>
                      <w:color w:val="auto"/>
                      <w:sz w:val="21"/>
                      <w:szCs w:val="21"/>
                    </w:rPr>
                    <w:t>CAS号</w:t>
                  </w:r>
                </w:p>
              </w:tc>
              <w:tc>
                <w:tcPr>
                  <w:tcW w:w="1608" w:type="dxa"/>
                  <w:tcBorders>
                    <w:tl2br w:val="nil"/>
                    <w:tr2bl w:val="nil"/>
                  </w:tcBorders>
                  <w:vAlign w:val="center"/>
                </w:tcPr>
                <w:p w14:paraId="6AFF6DCD">
                  <w:pPr>
                    <w:pStyle w:val="7"/>
                    <w:spacing w:line="240" w:lineRule="auto"/>
                    <w:ind w:left="0" w:firstLine="0"/>
                    <w:jc w:val="center"/>
                    <w:rPr>
                      <w:b/>
                      <w:bCs/>
                      <w:color w:val="auto"/>
                      <w:sz w:val="21"/>
                      <w:szCs w:val="21"/>
                    </w:rPr>
                  </w:pPr>
                  <w:r>
                    <w:rPr>
                      <w:b/>
                      <w:bCs/>
                      <w:color w:val="auto"/>
                      <w:sz w:val="21"/>
                      <w:szCs w:val="21"/>
                    </w:rPr>
                    <w:t>最大存在总量qn/t</w:t>
                  </w:r>
                </w:p>
              </w:tc>
              <w:tc>
                <w:tcPr>
                  <w:tcW w:w="1150" w:type="dxa"/>
                  <w:tcBorders>
                    <w:tl2br w:val="nil"/>
                    <w:tr2bl w:val="nil"/>
                  </w:tcBorders>
                  <w:vAlign w:val="center"/>
                </w:tcPr>
                <w:p w14:paraId="484C81A1">
                  <w:pPr>
                    <w:pStyle w:val="7"/>
                    <w:spacing w:line="240" w:lineRule="auto"/>
                    <w:ind w:left="0" w:firstLine="0"/>
                    <w:jc w:val="center"/>
                    <w:rPr>
                      <w:b/>
                      <w:bCs/>
                      <w:color w:val="auto"/>
                      <w:sz w:val="21"/>
                      <w:szCs w:val="21"/>
                    </w:rPr>
                  </w:pPr>
                  <w:r>
                    <w:rPr>
                      <w:b/>
                      <w:bCs/>
                      <w:color w:val="auto"/>
                      <w:sz w:val="21"/>
                      <w:szCs w:val="21"/>
                    </w:rPr>
                    <w:t>临界量Qn/t</w:t>
                  </w:r>
                </w:p>
              </w:tc>
              <w:tc>
                <w:tcPr>
                  <w:tcW w:w="1762" w:type="dxa"/>
                  <w:tcBorders>
                    <w:tl2br w:val="nil"/>
                    <w:tr2bl w:val="nil"/>
                  </w:tcBorders>
                  <w:vAlign w:val="center"/>
                </w:tcPr>
                <w:p w14:paraId="59FE933D">
                  <w:pPr>
                    <w:pStyle w:val="7"/>
                    <w:spacing w:line="240" w:lineRule="auto"/>
                    <w:ind w:left="0" w:firstLine="0"/>
                    <w:jc w:val="center"/>
                    <w:rPr>
                      <w:b/>
                      <w:bCs/>
                      <w:color w:val="auto"/>
                      <w:sz w:val="21"/>
                      <w:szCs w:val="21"/>
                    </w:rPr>
                  </w:pPr>
                  <w:r>
                    <w:rPr>
                      <w:b/>
                      <w:bCs/>
                      <w:color w:val="auto"/>
                      <w:sz w:val="21"/>
                      <w:szCs w:val="21"/>
                    </w:rPr>
                    <w:t>该种危险物质Q值</w:t>
                  </w:r>
                </w:p>
              </w:tc>
            </w:tr>
            <w:tr w14:paraId="4A4EDB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98" w:type="dxa"/>
                  <w:tcBorders>
                    <w:tl2br w:val="nil"/>
                    <w:tr2bl w:val="nil"/>
                  </w:tcBorders>
                  <w:vAlign w:val="center"/>
                </w:tcPr>
                <w:p w14:paraId="6DDF5554">
                  <w:pPr>
                    <w:pStyle w:val="7"/>
                    <w:spacing w:line="240" w:lineRule="auto"/>
                    <w:ind w:left="0" w:firstLine="0"/>
                    <w:jc w:val="center"/>
                    <w:rPr>
                      <w:color w:val="auto"/>
                      <w:sz w:val="21"/>
                      <w:szCs w:val="21"/>
                    </w:rPr>
                  </w:pPr>
                  <w:r>
                    <w:rPr>
                      <w:color w:val="auto"/>
                      <w:sz w:val="21"/>
                      <w:szCs w:val="21"/>
                    </w:rPr>
                    <w:t>1</w:t>
                  </w:r>
                </w:p>
              </w:tc>
              <w:tc>
                <w:tcPr>
                  <w:tcW w:w="2040" w:type="dxa"/>
                  <w:tcBorders>
                    <w:tl2br w:val="nil"/>
                    <w:tr2bl w:val="nil"/>
                  </w:tcBorders>
                  <w:vAlign w:val="center"/>
                </w:tcPr>
                <w:p w14:paraId="37DC9595">
                  <w:pPr>
                    <w:pStyle w:val="7"/>
                    <w:spacing w:line="240" w:lineRule="auto"/>
                    <w:ind w:left="0" w:leftChars="0" w:firstLine="0" w:firstLineChars="0"/>
                    <w:jc w:val="center"/>
                    <w:rPr>
                      <w:rFonts w:hint="default" w:eastAsia="宋体"/>
                      <w:color w:val="auto"/>
                      <w:sz w:val="21"/>
                      <w:szCs w:val="21"/>
                      <w:lang w:val="en-US" w:eastAsia="zh-CN"/>
                    </w:rPr>
                  </w:pPr>
                  <w:r>
                    <w:rPr>
                      <w:rFonts w:hint="eastAsia"/>
                      <w:color w:val="auto"/>
                      <w:sz w:val="21"/>
                      <w:szCs w:val="21"/>
                      <w:lang w:val="en-US" w:eastAsia="zh-CN"/>
                    </w:rPr>
                    <w:t>水性油墨</w:t>
                  </w:r>
                </w:p>
              </w:tc>
              <w:tc>
                <w:tcPr>
                  <w:tcW w:w="1275" w:type="dxa"/>
                  <w:tcBorders>
                    <w:tl2br w:val="nil"/>
                    <w:tr2bl w:val="nil"/>
                  </w:tcBorders>
                  <w:vAlign w:val="center"/>
                </w:tcPr>
                <w:p w14:paraId="067A8118">
                  <w:pPr>
                    <w:pStyle w:val="7"/>
                    <w:spacing w:line="240" w:lineRule="auto"/>
                    <w:ind w:left="0" w:firstLine="0"/>
                    <w:jc w:val="center"/>
                    <w:rPr>
                      <w:rFonts w:hint="eastAsia" w:eastAsia="宋体"/>
                      <w:color w:val="auto"/>
                      <w:sz w:val="21"/>
                      <w:szCs w:val="21"/>
                      <w:lang w:eastAsia="zh-CN"/>
                    </w:rPr>
                  </w:pPr>
                  <w:r>
                    <w:rPr>
                      <w:rFonts w:hint="eastAsia"/>
                      <w:b w:val="0"/>
                      <w:bCs/>
                      <w:color w:val="auto"/>
                      <w:spacing w:val="0"/>
                      <w:sz w:val="21"/>
                      <w:szCs w:val="21"/>
                      <w:shd w:val="clear" w:color="auto" w:fill="FFFFFF"/>
                      <w:lang w:val="en-US" w:eastAsia="zh-CN"/>
                    </w:rPr>
                    <w:t>/</w:t>
                  </w:r>
                </w:p>
              </w:tc>
              <w:tc>
                <w:tcPr>
                  <w:tcW w:w="1608" w:type="dxa"/>
                  <w:tcBorders>
                    <w:tl2br w:val="nil"/>
                    <w:tr2bl w:val="nil"/>
                  </w:tcBorders>
                  <w:vAlign w:val="center"/>
                </w:tcPr>
                <w:p w14:paraId="129EEA23">
                  <w:pPr>
                    <w:pStyle w:val="7"/>
                    <w:spacing w:line="240" w:lineRule="auto"/>
                    <w:ind w:left="0" w:firstLine="0"/>
                    <w:jc w:val="center"/>
                    <w:rPr>
                      <w:rFonts w:hint="default" w:eastAsia="宋体"/>
                      <w:color w:val="auto"/>
                      <w:sz w:val="21"/>
                      <w:szCs w:val="21"/>
                      <w:lang w:val="en-US" w:eastAsia="zh-CN"/>
                    </w:rPr>
                  </w:pPr>
                  <w:r>
                    <w:rPr>
                      <w:rFonts w:hint="eastAsia"/>
                      <w:color w:val="auto"/>
                      <w:sz w:val="21"/>
                      <w:szCs w:val="21"/>
                      <w:lang w:val="en-US" w:eastAsia="zh-CN"/>
                    </w:rPr>
                    <w:t>3.4</w:t>
                  </w:r>
                </w:p>
              </w:tc>
              <w:tc>
                <w:tcPr>
                  <w:tcW w:w="1150" w:type="dxa"/>
                  <w:tcBorders>
                    <w:tl2br w:val="nil"/>
                    <w:tr2bl w:val="nil"/>
                  </w:tcBorders>
                  <w:vAlign w:val="center"/>
                </w:tcPr>
                <w:p w14:paraId="4A2A8B73">
                  <w:pPr>
                    <w:spacing w:line="240" w:lineRule="auto"/>
                    <w:ind w:left="0" w:firstLine="0"/>
                    <w:jc w:val="center"/>
                    <w:rPr>
                      <w:rFonts w:hint="default" w:eastAsia="宋体"/>
                      <w:color w:val="auto"/>
                      <w:sz w:val="21"/>
                      <w:szCs w:val="21"/>
                      <w:lang w:val="en-US" w:eastAsia="zh-CN"/>
                    </w:rPr>
                  </w:pPr>
                  <w:r>
                    <w:rPr>
                      <w:rFonts w:hint="eastAsia"/>
                      <w:color w:val="auto"/>
                      <w:sz w:val="21"/>
                      <w:szCs w:val="21"/>
                      <w:lang w:val="en-US" w:eastAsia="zh-CN"/>
                    </w:rPr>
                    <w:t>50</w:t>
                  </w:r>
                </w:p>
              </w:tc>
              <w:tc>
                <w:tcPr>
                  <w:tcW w:w="1762" w:type="dxa"/>
                  <w:tcBorders>
                    <w:tl2br w:val="nil"/>
                    <w:tr2bl w:val="nil"/>
                  </w:tcBorders>
                  <w:vAlign w:val="center"/>
                </w:tcPr>
                <w:p w14:paraId="2CD520A5">
                  <w:pPr>
                    <w:pStyle w:val="7"/>
                    <w:spacing w:line="240" w:lineRule="auto"/>
                    <w:ind w:left="0" w:firstLine="0"/>
                    <w:jc w:val="center"/>
                    <w:rPr>
                      <w:rFonts w:hint="default" w:eastAsia="宋体"/>
                      <w:color w:val="auto"/>
                      <w:sz w:val="21"/>
                      <w:szCs w:val="21"/>
                      <w:lang w:val="en-US" w:eastAsia="zh-CN"/>
                    </w:rPr>
                  </w:pPr>
                  <w:r>
                    <w:rPr>
                      <w:color w:val="auto"/>
                      <w:sz w:val="21"/>
                      <w:szCs w:val="21"/>
                    </w:rPr>
                    <w:t>0.</w:t>
                  </w:r>
                  <w:r>
                    <w:rPr>
                      <w:rFonts w:hint="eastAsia"/>
                      <w:color w:val="auto"/>
                      <w:sz w:val="21"/>
                      <w:szCs w:val="21"/>
                      <w:lang w:val="en-US" w:eastAsia="zh-CN"/>
                    </w:rPr>
                    <w:t>068</w:t>
                  </w:r>
                </w:p>
              </w:tc>
            </w:tr>
            <w:tr w14:paraId="1BDBBC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98" w:type="dxa"/>
                  <w:tcBorders>
                    <w:tl2br w:val="nil"/>
                    <w:tr2bl w:val="nil"/>
                  </w:tcBorders>
                  <w:vAlign w:val="center"/>
                </w:tcPr>
                <w:p w14:paraId="23C90662">
                  <w:pPr>
                    <w:pStyle w:val="7"/>
                    <w:spacing w:line="240" w:lineRule="auto"/>
                    <w:ind w:left="0" w:leftChars="0" w:firstLine="0" w:firstLineChars="0"/>
                    <w:jc w:val="center"/>
                    <w:rPr>
                      <w:rFonts w:hint="eastAsia" w:eastAsia="宋体"/>
                      <w:color w:val="auto"/>
                      <w:sz w:val="21"/>
                      <w:szCs w:val="21"/>
                      <w:lang w:val="en-US" w:eastAsia="zh-CN"/>
                    </w:rPr>
                  </w:pPr>
                  <w:r>
                    <w:rPr>
                      <w:rFonts w:hint="eastAsia"/>
                      <w:color w:val="auto"/>
                      <w:sz w:val="21"/>
                      <w:szCs w:val="21"/>
                      <w:lang w:val="en-US" w:eastAsia="zh-CN"/>
                    </w:rPr>
                    <w:t>2</w:t>
                  </w:r>
                </w:p>
              </w:tc>
              <w:tc>
                <w:tcPr>
                  <w:tcW w:w="2040" w:type="dxa"/>
                  <w:tcBorders>
                    <w:tl2br w:val="nil"/>
                    <w:tr2bl w:val="nil"/>
                  </w:tcBorders>
                  <w:vAlign w:val="center"/>
                </w:tcPr>
                <w:p w14:paraId="769B7F1C">
                  <w:pPr>
                    <w:pStyle w:val="7"/>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油墨</w:t>
                  </w:r>
                </w:p>
              </w:tc>
              <w:tc>
                <w:tcPr>
                  <w:tcW w:w="1275" w:type="dxa"/>
                  <w:tcBorders>
                    <w:tl2br w:val="nil"/>
                    <w:tr2bl w:val="nil"/>
                  </w:tcBorders>
                  <w:vAlign w:val="center"/>
                </w:tcPr>
                <w:p w14:paraId="1D36414F">
                  <w:pPr>
                    <w:pStyle w:val="7"/>
                    <w:spacing w:line="240" w:lineRule="auto"/>
                    <w:ind w:left="0" w:leftChars="0" w:firstLine="0" w:firstLineChars="0"/>
                    <w:jc w:val="center"/>
                    <w:rPr>
                      <w:rFonts w:hint="eastAsia"/>
                      <w:b w:val="0"/>
                      <w:bCs/>
                      <w:color w:val="auto"/>
                      <w:spacing w:val="0"/>
                      <w:sz w:val="21"/>
                      <w:szCs w:val="21"/>
                      <w:shd w:val="clear" w:color="auto" w:fill="FFFFFF"/>
                      <w:lang w:val="en-US" w:eastAsia="zh-CN"/>
                    </w:rPr>
                  </w:pPr>
                  <w:r>
                    <w:rPr>
                      <w:rFonts w:hint="eastAsia"/>
                      <w:b w:val="0"/>
                      <w:bCs/>
                      <w:color w:val="auto"/>
                      <w:spacing w:val="0"/>
                      <w:sz w:val="21"/>
                      <w:szCs w:val="21"/>
                      <w:shd w:val="clear" w:color="auto" w:fill="FFFFFF"/>
                      <w:lang w:val="en-US" w:eastAsia="zh-CN"/>
                    </w:rPr>
                    <w:t>/</w:t>
                  </w:r>
                </w:p>
              </w:tc>
              <w:tc>
                <w:tcPr>
                  <w:tcW w:w="1608" w:type="dxa"/>
                  <w:tcBorders>
                    <w:tl2br w:val="nil"/>
                    <w:tr2bl w:val="nil"/>
                  </w:tcBorders>
                  <w:vAlign w:val="center"/>
                </w:tcPr>
                <w:p w14:paraId="1A267E0F">
                  <w:pPr>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0.1</w:t>
                  </w:r>
                </w:p>
              </w:tc>
              <w:tc>
                <w:tcPr>
                  <w:tcW w:w="1150" w:type="dxa"/>
                  <w:tcBorders>
                    <w:tl2br w:val="nil"/>
                    <w:tr2bl w:val="nil"/>
                  </w:tcBorders>
                  <w:vAlign w:val="center"/>
                </w:tcPr>
                <w:p w14:paraId="4129A366">
                  <w:pPr>
                    <w:spacing w:line="240" w:lineRule="auto"/>
                    <w:ind w:left="0" w:leftChars="0" w:firstLine="0" w:firstLineChars="0"/>
                    <w:jc w:val="center"/>
                    <w:rPr>
                      <w:rFonts w:hint="eastAsia"/>
                      <w:color w:val="auto"/>
                      <w:sz w:val="21"/>
                      <w:szCs w:val="21"/>
                      <w:lang w:val="en-US" w:eastAsia="zh-CN"/>
                    </w:rPr>
                  </w:pPr>
                  <w:r>
                    <w:rPr>
                      <w:rFonts w:hint="eastAsia"/>
                      <w:color w:val="auto"/>
                      <w:sz w:val="21"/>
                      <w:szCs w:val="21"/>
                      <w:lang w:val="en-US" w:eastAsia="zh-CN"/>
                    </w:rPr>
                    <w:t>50</w:t>
                  </w:r>
                </w:p>
              </w:tc>
              <w:tc>
                <w:tcPr>
                  <w:tcW w:w="1762" w:type="dxa"/>
                  <w:tcBorders>
                    <w:tl2br w:val="nil"/>
                    <w:tr2bl w:val="nil"/>
                  </w:tcBorders>
                  <w:vAlign w:val="center"/>
                </w:tcPr>
                <w:p w14:paraId="53150432">
                  <w:pPr>
                    <w:pStyle w:val="7"/>
                    <w:spacing w:line="240" w:lineRule="auto"/>
                    <w:ind w:left="0" w:leftChars="0" w:firstLine="0" w:firstLineChars="0"/>
                    <w:jc w:val="center"/>
                    <w:rPr>
                      <w:rFonts w:hint="default" w:eastAsia="宋体"/>
                      <w:color w:val="auto"/>
                      <w:sz w:val="21"/>
                      <w:szCs w:val="21"/>
                      <w:lang w:val="en-US" w:eastAsia="zh-CN"/>
                    </w:rPr>
                  </w:pPr>
                  <w:r>
                    <w:rPr>
                      <w:rFonts w:hint="eastAsia"/>
                      <w:color w:val="auto"/>
                      <w:sz w:val="21"/>
                      <w:szCs w:val="21"/>
                      <w:lang w:val="en-US" w:eastAsia="zh-CN"/>
                    </w:rPr>
                    <w:t>0.002</w:t>
                  </w:r>
                </w:p>
              </w:tc>
            </w:tr>
            <w:tr w14:paraId="77E0D7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598" w:type="dxa"/>
                  <w:tcBorders>
                    <w:tl2br w:val="nil"/>
                    <w:tr2bl w:val="nil"/>
                  </w:tcBorders>
                  <w:vAlign w:val="center"/>
                </w:tcPr>
                <w:p w14:paraId="25435C66">
                  <w:pPr>
                    <w:pStyle w:val="7"/>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3</w:t>
                  </w:r>
                </w:p>
              </w:tc>
              <w:tc>
                <w:tcPr>
                  <w:tcW w:w="2040" w:type="dxa"/>
                  <w:tcBorders>
                    <w:tl2br w:val="nil"/>
                    <w:tr2bl w:val="nil"/>
                  </w:tcBorders>
                  <w:vAlign w:val="center"/>
                </w:tcPr>
                <w:p w14:paraId="275680DB">
                  <w:pPr>
                    <w:pStyle w:val="7"/>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稀释剂</w:t>
                  </w:r>
                </w:p>
              </w:tc>
              <w:tc>
                <w:tcPr>
                  <w:tcW w:w="1275" w:type="dxa"/>
                  <w:tcBorders>
                    <w:tl2br w:val="nil"/>
                    <w:tr2bl w:val="nil"/>
                  </w:tcBorders>
                  <w:vAlign w:val="center"/>
                </w:tcPr>
                <w:p w14:paraId="36C150DC">
                  <w:pPr>
                    <w:spacing w:line="240" w:lineRule="auto"/>
                    <w:ind w:left="0" w:leftChars="0" w:firstLine="0" w:firstLineChars="0"/>
                    <w:jc w:val="center"/>
                    <w:rPr>
                      <w:rFonts w:hint="eastAsia"/>
                      <w:b w:val="0"/>
                      <w:bCs/>
                      <w:color w:val="auto"/>
                      <w:spacing w:val="0"/>
                      <w:sz w:val="21"/>
                      <w:szCs w:val="21"/>
                      <w:shd w:val="clear" w:color="auto" w:fill="FFFFFF"/>
                      <w:lang w:val="en-US" w:eastAsia="zh-CN"/>
                    </w:rPr>
                  </w:pPr>
                  <w:r>
                    <w:rPr>
                      <w:rFonts w:hint="eastAsia"/>
                      <w:b w:val="0"/>
                      <w:bCs/>
                      <w:color w:val="auto"/>
                      <w:spacing w:val="0"/>
                      <w:sz w:val="21"/>
                      <w:szCs w:val="21"/>
                      <w:shd w:val="clear" w:color="auto" w:fill="FFFFFF"/>
                      <w:lang w:val="en-US" w:eastAsia="zh-CN"/>
                    </w:rPr>
                    <w:t>/</w:t>
                  </w:r>
                </w:p>
              </w:tc>
              <w:tc>
                <w:tcPr>
                  <w:tcW w:w="1608" w:type="dxa"/>
                  <w:tcBorders>
                    <w:tl2br w:val="nil"/>
                    <w:tr2bl w:val="nil"/>
                  </w:tcBorders>
                  <w:vAlign w:val="center"/>
                </w:tcPr>
                <w:p w14:paraId="6B96FA54">
                  <w:pPr>
                    <w:pStyle w:val="7"/>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0.02</w:t>
                  </w:r>
                </w:p>
              </w:tc>
              <w:tc>
                <w:tcPr>
                  <w:tcW w:w="1150" w:type="dxa"/>
                  <w:tcBorders>
                    <w:tl2br w:val="nil"/>
                    <w:tr2bl w:val="nil"/>
                  </w:tcBorders>
                  <w:vAlign w:val="center"/>
                </w:tcPr>
                <w:p w14:paraId="54386A36">
                  <w:pPr>
                    <w:spacing w:line="240" w:lineRule="auto"/>
                    <w:ind w:left="0" w:leftChars="0" w:firstLine="0" w:firstLineChars="0"/>
                    <w:jc w:val="center"/>
                    <w:rPr>
                      <w:rFonts w:hint="eastAsia"/>
                      <w:color w:val="auto"/>
                      <w:sz w:val="21"/>
                      <w:szCs w:val="21"/>
                      <w:lang w:val="en-US" w:eastAsia="zh-CN"/>
                    </w:rPr>
                  </w:pPr>
                  <w:r>
                    <w:rPr>
                      <w:rFonts w:hint="eastAsia"/>
                      <w:color w:val="auto"/>
                      <w:sz w:val="21"/>
                      <w:szCs w:val="21"/>
                      <w:lang w:val="en-US" w:eastAsia="zh-CN"/>
                    </w:rPr>
                    <w:t>50</w:t>
                  </w:r>
                </w:p>
              </w:tc>
              <w:tc>
                <w:tcPr>
                  <w:tcW w:w="1762" w:type="dxa"/>
                  <w:tcBorders>
                    <w:tl2br w:val="nil"/>
                    <w:tr2bl w:val="nil"/>
                  </w:tcBorders>
                  <w:vAlign w:val="center"/>
                </w:tcPr>
                <w:p w14:paraId="3EF86E84">
                  <w:pPr>
                    <w:pStyle w:val="7"/>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0.0004</w:t>
                  </w:r>
                </w:p>
              </w:tc>
            </w:tr>
            <w:tr w14:paraId="4A55FA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98" w:type="dxa"/>
                  <w:tcBorders>
                    <w:tl2br w:val="nil"/>
                    <w:tr2bl w:val="nil"/>
                  </w:tcBorders>
                  <w:vAlign w:val="center"/>
                </w:tcPr>
                <w:p w14:paraId="445C4CB4">
                  <w:pPr>
                    <w:pStyle w:val="7"/>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4</w:t>
                  </w:r>
                </w:p>
              </w:tc>
              <w:tc>
                <w:tcPr>
                  <w:tcW w:w="2040" w:type="dxa"/>
                  <w:tcBorders>
                    <w:tl2br w:val="nil"/>
                    <w:tr2bl w:val="nil"/>
                  </w:tcBorders>
                  <w:vAlign w:val="center"/>
                </w:tcPr>
                <w:p w14:paraId="57B9B60F">
                  <w:pPr>
                    <w:pStyle w:val="7"/>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废润滑油</w:t>
                  </w:r>
                </w:p>
              </w:tc>
              <w:tc>
                <w:tcPr>
                  <w:tcW w:w="1275" w:type="dxa"/>
                  <w:tcBorders>
                    <w:tl2br w:val="nil"/>
                    <w:tr2bl w:val="nil"/>
                  </w:tcBorders>
                  <w:vAlign w:val="center"/>
                </w:tcPr>
                <w:p w14:paraId="130690DC">
                  <w:pPr>
                    <w:spacing w:line="240" w:lineRule="auto"/>
                    <w:ind w:left="0" w:leftChars="0" w:firstLine="0" w:firstLineChars="0"/>
                    <w:jc w:val="center"/>
                    <w:rPr>
                      <w:rFonts w:hint="eastAsia"/>
                      <w:b w:val="0"/>
                      <w:bCs/>
                      <w:color w:val="auto"/>
                      <w:spacing w:val="0"/>
                      <w:sz w:val="21"/>
                      <w:szCs w:val="21"/>
                      <w:shd w:val="clear" w:color="auto" w:fill="FFFFFF"/>
                      <w:lang w:val="en-US" w:eastAsia="zh-CN"/>
                    </w:rPr>
                  </w:pPr>
                  <w:r>
                    <w:rPr>
                      <w:rFonts w:hint="eastAsia"/>
                      <w:b w:val="0"/>
                      <w:bCs/>
                      <w:color w:val="auto"/>
                      <w:spacing w:val="0"/>
                      <w:sz w:val="21"/>
                      <w:szCs w:val="21"/>
                      <w:shd w:val="clear" w:color="auto" w:fill="FFFFFF"/>
                      <w:lang w:val="en-US" w:eastAsia="zh-CN"/>
                    </w:rPr>
                    <w:t>/</w:t>
                  </w:r>
                </w:p>
              </w:tc>
              <w:tc>
                <w:tcPr>
                  <w:tcW w:w="1608" w:type="dxa"/>
                  <w:tcBorders>
                    <w:tl2br w:val="nil"/>
                    <w:tr2bl w:val="nil"/>
                  </w:tcBorders>
                  <w:vAlign w:val="center"/>
                </w:tcPr>
                <w:p w14:paraId="0280FE31">
                  <w:pPr>
                    <w:pStyle w:val="7"/>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0.02</w:t>
                  </w:r>
                </w:p>
              </w:tc>
              <w:tc>
                <w:tcPr>
                  <w:tcW w:w="1150" w:type="dxa"/>
                  <w:tcBorders>
                    <w:tl2br w:val="nil"/>
                    <w:tr2bl w:val="nil"/>
                  </w:tcBorders>
                  <w:vAlign w:val="center"/>
                </w:tcPr>
                <w:p w14:paraId="1937E6DF">
                  <w:pPr>
                    <w:spacing w:line="240" w:lineRule="auto"/>
                    <w:ind w:left="0" w:leftChars="0" w:firstLine="0" w:firstLineChars="0"/>
                    <w:jc w:val="center"/>
                    <w:rPr>
                      <w:rFonts w:hint="eastAsia"/>
                      <w:color w:val="auto"/>
                      <w:sz w:val="21"/>
                      <w:szCs w:val="21"/>
                      <w:lang w:val="en-US" w:eastAsia="zh-CN"/>
                    </w:rPr>
                  </w:pPr>
                  <w:r>
                    <w:rPr>
                      <w:rFonts w:hint="eastAsia"/>
                      <w:color w:val="auto"/>
                      <w:sz w:val="21"/>
                      <w:szCs w:val="21"/>
                      <w:lang w:val="en-US" w:eastAsia="zh-CN"/>
                    </w:rPr>
                    <w:t>2500</w:t>
                  </w:r>
                </w:p>
              </w:tc>
              <w:tc>
                <w:tcPr>
                  <w:tcW w:w="1762" w:type="dxa"/>
                  <w:tcBorders>
                    <w:tl2br w:val="nil"/>
                    <w:tr2bl w:val="nil"/>
                  </w:tcBorders>
                  <w:vAlign w:val="center"/>
                </w:tcPr>
                <w:p w14:paraId="6F5648B1">
                  <w:pPr>
                    <w:pStyle w:val="7"/>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0.000008</w:t>
                  </w:r>
                </w:p>
              </w:tc>
            </w:tr>
            <w:tr w14:paraId="2D4159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98" w:type="dxa"/>
                  <w:tcBorders>
                    <w:tl2br w:val="nil"/>
                    <w:tr2bl w:val="nil"/>
                  </w:tcBorders>
                  <w:vAlign w:val="center"/>
                </w:tcPr>
                <w:p w14:paraId="79AB72EC">
                  <w:pPr>
                    <w:pStyle w:val="7"/>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5</w:t>
                  </w:r>
                </w:p>
              </w:tc>
              <w:tc>
                <w:tcPr>
                  <w:tcW w:w="2040" w:type="dxa"/>
                  <w:tcBorders>
                    <w:tl2br w:val="nil"/>
                    <w:tr2bl w:val="nil"/>
                  </w:tcBorders>
                  <w:vAlign w:val="center"/>
                </w:tcPr>
                <w:p w14:paraId="42060A62">
                  <w:pPr>
                    <w:pStyle w:val="7"/>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其它危险废物</w:t>
                  </w:r>
                </w:p>
              </w:tc>
              <w:tc>
                <w:tcPr>
                  <w:tcW w:w="1275" w:type="dxa"/>
                  <w:tcBorders>
                    <w:tl2br w:val="nil"/>
                    <w:tr2bl w:val="nil"/>
                  </w:tcBorders>
                  <w:vAlign w:val="center"/>
                </w:tcPr>
                <w:p w14:paraId="6E791BEE">
                  <w:pPr>
                    <w:spacing w:line="240" w:lineRule="auto"/>
                    <w:ind w:left="0" w:leftChars="0" w:firstLine="0" w:firstLineChars="0"/>
                    <w:jc w:val="center"/>
                    <w:rPr>
                      <w:rFonts w:hint="eastAsia"/>
                      <w:b w:val="0"/>
                      <w:bCs/>
                      <w:color w:val="auto"/>
                      <w:spacing w:val="0"/>
                      <w:sz w:val="21"/>
                      <w:szCs w:val="21"/>
                      <w:shd w:val="clear" w:color="auto" w:fill="FFFFFF"/>
                      <w:lang w:val="en-US" w:eastAsia="zh-CN"/>
                    </w:rPr>
                  </w:pPr>
                  <w:r>
                    <w:rPr>
                      <w:rFonts w:hint="eastAsia"/>
                      <w:b w:val="0"/>
                      <w:bCs/>
                      <w:color w:val="auto"/>
                      <w:spacing w:val="0"/>
                      <w:sz w:val="21"/>
                      <w:szCs w:val="21"/>
                      <w:shd w:val="clear" w:color="auto" w:fill="FFFFFF"/>
                      <w:lang w:val="en-US" w:eastAsia="zh-CN"/>
                    </w:rPr>
                    <w:t>/</w:t>
                  </w:r>
                </w:p>
              </w:tc>
              <w:tc>
                <w:tcPr>
                  <w:tcW w:w="1608" w:type="dxa"/>
                  <w:tcBorders>
                    <w:tl2br w:val="nil"/>
                    <w:tr2bl w:val="nil"/>
                  </w:tcBorders>
                  <w:vAlign w:val="center"/>
                </w:tcPr>
                <w:p w14:paraId="662889F4">
                  <w:pPr>
                    <w:pStyle w:val="7"/>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2.352</w:t>
                  </w:r>
                </w:p>
              </w:tc>
              <w:tc>
                <w:tcPr>
                  <w:tcW w:w="1150" w:type="dxa"/>
                  <w:tcBorders>
                    <w:tl2br w:val="nil"/>
                    <w:tr2bl w:val="nil"/>
                  </w:tcBorders>
                  <w:vAlign w:val="center"/>
                </w:tcPr>
                <w:p w14:paraId="0BD6FBF2">
                  <w:pPr>
                    <w:pStyle w:val="7"/>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50</w:t>
                  </w:r>
                </w:p>
              </w:tc>
              <w:tc>
                <w:tcPr>
                  <w:tcW w:w="1762" w:type="dxa"/>
                  <w:tcBorders>
                    <w:tl2br w:val="nil"/>
                    <w:tr2bl w:val="nil"/>
                  </w:tcBorders>
                  <w:vAlign w:val="center"/>
                </w:tcPr>
                <w:p w14:paraId="5E7F81A1">
                  <w:pPr>
                    <w:pStyle w:val="7"/>
                    <w:spacing w:line="240" w:lineRule="auto"/>
                    <w:ind w:left="0" w:leftChars="0" w:firstLine="0" w:firstLineChars="0"/>
                    <w:jc w:val="center"/>
                    <w:rPr>
                      <w:rFonts w:hint="default"/>
                      <w:color w:val="auto"/>
                      <w:sz w:val="21"/>
                      <w:szCs w:val="21"/>
                      <w:lang w:val="en-US" w:eastAsia="zh-CN"/>
                    </w:rPr>
                  </w:pPr>
                  <w:r>
                    <w:rPr>
                      <w:rFonts w:hint="eastAsia"/>
                      <w:color w:val="auto"/>
                      <w:sz w:val="21"/>
                      <w:szCs w:val="21"/>
                      <w:lang w:val="en-US" w:eastAsia="zh-CN"/>
                    </w:rPr>
                    <w:t>0.04704</w:t>
                  </w:r>
                </w:p>
              </w:tc>
            </w:tr>
            <w:tr w14:paraId="7E6495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71" w:type="dxa"/>
                  <w:gridSpan w:val="5"/>
                  <w:tcBorders>
                    <w:tl2br w:val="nil"/>
                    <w:tr2bl w:val="nil"/>
                  </w:tcBorders>
                  <w:vAlign w:val="center"/>
                </w:tcPr>
                <w:p w14:paraId="55C9B2C9">
                  <w:pPr>
                    <w:pStyle w:val="7"/>
                    <w:spacing w:line="240" w:lineRule="auto"/>
                    <w:ind w:left="0" w:firstLine="0"/>
                    <w:jc w:val="center"/>
                    <w:rPr>
                      <w:color w:val="auto"/>
                      <w:sz w:val="21"/>
                      <w:szCs w:val="21"/>
                    </w:rPr>
                  </w:pPr>
                  <w:r>
                    <w:rPr>
                      <w:color w:val="auto"/>
                      <w:sz w:val="21"/>
                      <w:szCs w:val="21"/>
                    </w:rPr>
                    <w:t>合计</w:t>
                  </w:r>
                </w:p>
              </w:tc>
              <w:tc>
                <w:tcPr>
                  <w:tcW w:w="1762" w:type="dxa"/>
                  <w:tcBorders>
                    <w:tl2br w:val="nil"/>
                    <w:tr2bl w:val="nil"/>
                  </w:tcBorders>
                  <w:vAlign w:val="center"/>
                </w:tcPr>
                <w:p w14:paraId="32F35EEB">
                  <w:pPr>
                    <w:pStyle w:val="7"/>
                    <w:spacing w:line="240" w:lineRule="auto"/>
                    <w:ind w:left="0" w:firstLine="0"/>
                    <w:jc w:val="center"/>
                    <w:rPr>
                      <w:rFonts w:hint="default" w:eastAsia="宋体"/>
                      <w:color w:val="auto"/>
                      <w:sz w:val="21"/>
                      <w:szCs w:val="21"/>
                      <w:lang w:val="en-US" w:eastAsia="zh-CN"/>
                    </w:rPr>
                  </w:pPr>
                  <w:r>
                    <w:rPr>
                      <w:color w:val="auto"/>
                      <w:sz w:val="21"/>
                      <w:szCs w:val="21"/>
                    </w:rPr>
                    <w:t>0.</w:t>
                  </w:r>
                  <w:r>
                    <w:rPr>
                      <w:rFonts w:hint="eastAsia"/>
                      <w:color w:val="auto"/>
                      <w:sz w:val="21"/>
                      <w:szCs w:val="21"/>
                      <w:lang w:val="en-US" w:eastAsia="zh-CN"/>
                    </w:rPr>
                    <w:t>117448</w:t>
                  </w:r>
                </w:p>
              </w:tc>
            </w:tr>
            <w:tr w14:paraId="248DF3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8433" w:type="dxa"/>
                  <w:gridSpan w:val="6"/>
                  <w:tcBorders>
                    <w:tl2br w:val="nil"/>
                    <w:tr2bl w:val="nil"/>
                  </w:tcBorders>
                  <w:vAlign w:val="center"/>
                </w:tcPr>
                <w:p w14:paraId="682BA32D">
                  <w:pPr>
                    <w:rPr>
                      <w:rFonts w:hint="eastAsia" w:eastAsia="宋体"/>
                      <w:color w:val="auto"/>
                      <w:sz w:val="21"/>
                      <w:szCs w:val="21"/>
                      <w:lang w:eastAsia="zh-CN"/>
                    </w:rPr>
                  </w:pPr>
                  <w:r>
                    <w:rPr>
                      <w:color w:val="auto"/>
                      <w:szCs w:val="21"/>
                    </w:rPr>
                    <w:t>a.</w:t>
                  </w:r>
                  <w:r>
                    <w:rPr>
                      <w:rFonts w:hint="eastAsia"/>
                      <w:color w:val="auto"/>
                      <w:sz w:val="21"/>
                      <w:szCs w:val="21"/>
                      <w:lang w:val="en-US" w:eastAsia="zh-CN"/>
                    </w:rPr>
                    <w:t>健康危险急性毒性物质</w:t>
                  </w:r>
                  <w:r>
                    <w:rPr>
                      <w:color w:val="auto"/>
                      <w:szCs w:val="21"/>
                    </w:rPr>
                    <w:t>的临界量执行《建设项目环境风险评价技术导则》（HJ169-2018）表B.2其他危险物质临界量推荐值中健康危险急性毒性物质（类别2，类别3）的临界量；</w:t>
                  </w:r>
                </w:p>
              </w:tc>
            </w:tr>
          </w:tbl>
          <w:p w14:paraId="1C630A73">
            <w:pPr>
              <w:spacing w:line="360" w:lineRule="auto"/>
              <w:ind w:firstLine="480" w:firstLineChars="200"/>
              <w:rPr>
                <w:color w:val="auto"/>
                <w:sz w:val="24"/>
              </w:rPr>
            </w:pPr>
            <w:r>
              <w:rPr>
                <w:color w:val="auto"/>
                <w:sz w:val="24"/>
              </w:rPr>
              <w:t>根据本项目Q值计算结果，本项目环境风险潜势为I，分析内容见表4-</w:t>
            </w:r>
            <w:r>
              <w:rPr>
                <w:rFonts w:hint="eastAsia"/>
                <w:color w:val="auto"/>
                <w:sz w:val="24"/>
                <w:lang w:val="en-US" w:eastAsia="zh-CN"/>
              </w:rPr>
              <w:t>22</w:t>
            </w:r>
            <w:r>
              <w:rPr>
                <w:color w:val="auto"/>
                <w:sz w:val="24"/>
              </w:rPr>
              <w:t>。</w:t>
            </w:r>
          </w:p>
          <w:p w14:paraId="3FAA3613">
            <w:pPr>
              <w:jc w:val="center"/>
              <w:rPr>
                <w:rFonts w:ascii="Times New Roman" w:hAnsi="Times New Roman" w:eastAsia="宋体" w:cs="Times New Roman"/>
                <w:b/>
                <w:bCs/>
                <w:color w:val="auto"/>
                <w:sz w:val="24"/>
                <w:lang w:val="en-GB"/>
              </w:rPr>
            </w:pPr>
            <w:r>
              <w:rPr>
                <w:rFonts w:ascii="Times New Roman" w:hAnsi="Times New Roman" w:eastAsia="宋体" w:cs="Times New Roman"/>
                <w:b/>
                <w:bCs/>
                <w:color w:val="auto"/>
                <w:sz w:val="24"/>
                <w:lang w:val="en-GB"/>
              </w:rPr>
              <w:t>表</w:t>
            </w:r>
            <w:r>
              <w:rPr>
                <w:rFonts w:ascii="Times New Roman" w:hAnsi="Times New Roman" w:eastAsia="宋体" w:cs="Times New Roman"/>
                <w:b/>
                <w:bCs/>
                <w:color w:val="auto"/>
                <w:sz w:val="24"/>
                <w:lang w:val="zh-CN"/>
              </w:rPr>
              <w:t>4-</w:t>
            </w:r>
            <w:r>
              <w:rPr>
                <w:rFonts w:hint="eastAsia" w:cs="Times New Roman"/>
                <w:b/>
                <w:bCs/>
                <w:color w:val="auto"/>
                <w:sz w:val="24"/>
                <w:lang w:val="en-US" w:eastAsia="zh-CN"/>
              </w:rPr>
              <w:t>22</w:t>
            </w:r>
            <w:r>
              <w:rPr>
                <w:rFonts w:ascii="Times New Roman" w:hAnsi="Times New Roman" w:eastAsia="宋体" w:cs="Times New Roman"/>
                <w:b/>
                <w:bCs/>
                <w:color w:val="auto"/>
                <w:sz w:val="24"/>
                <w:lang w:val="zh-CN"/>
              </w:rPr>
              <w:t xml:space="preserve">  </w:t>
            </w:r>
            <w:r>
              <w:rPr>
                <w:rFonts w:ascii="Times New Roman" w:hAnsi="Times New Roman" w:eastAsia="宋体" w:cs="Times New Roman"/>
                <w:b/>
                <w:bCs/>
                <w:color w:val="auto"/>
                <w:sz w:val="24"/>
                <w:lang w:val="en-GB"/>
              </w:rPr>
              <w:t>建设项目环境风险简单分析内容表</w:t>
            </w:r>
          </w:p>
          <w:tbl>
            <w:tblPr>
              <w:tblStyle w:val="28"/>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92"/>
              <w:gridCol w:w="1089"/>
              <w:gridCol w:w="1983"/>
              <w:gridCol w:w="1020"/>
              <w:gridCol w:w="2384"/>
            </w:tblGrid>
            <w:tr w14:paraId="757964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83" w:type="pct"/>
                  <w:tcBorders>
                    <w:tl2br w:val="nil"/>
                    <w:tr2bl w:val="nil"/>
                  </w:tcBorders>
                  <w:vAlign w:val="center"/>
                </w:tcPr>
                <w:p w14:paraId="5558493E">
                  <w:pPr>
                    <w:pStyle w:val="7"/>
                    <w:spacing w:line="240" w:lineRule="auto"/>
                    <w:ind w:left="0" w:firstLine="0"/>
                    <w:jc w:val="center"/>
                    <w:rPr>
                      <w:b/>
                      <w:bCs/>
                      <w:color w:val="auto"/>
                      <w:sz w:val="21"/>
                      <w:szCs w:val="21"/>
                    </w:rPr>
                  </w:pPr>
                  <w:r>
                    <w:rPr>
                      <w:b/>
                      <w:bCs/>
                      <w:color w:val="auto"/>
                      <w:sz w:val="21"/>
                      <w:szCs w:val="21"/>
                    </w:rPr>
                    <w:t>建设项目名称</w:t>
                  </w:r>
                </w:p>
              </w:tc>
              <w:tc>
                <w:tcPr>
                  <w:tcW w:w="3816" w:type="pct"/>
                  <w:gridSpan w:val="4"/>
                  <w:tcBorders>
                    <w:tl2br w:val="nil"/>
                    <w:tr2bl w:val="nil"/>
                  </w:tcBorders>
                  <w:vAlign w:val="center"/>
                </w:tcPr>
                <w:p w14:paraId="5E884663">
                  <w:pPr>
                    <w:pStyle w:val="7"/>
                    <w:spacing w:line="240" w:lineRule="auto"/>
                    <w:ind w:left="0" w:firstLine="0"/>
                    <w:jc w:val="center"/>
                    <w:rPr>
                      <w:color w:val="auto"/>
                      <w:sz w:val="21"/>
                      <w:szCs w:val="21"/>
                    </w:rPr>
                  </w:pPr>
                  <w:r>
                    <w:rPr>
                      <w:rFonts w:hint="eastAsia"/>
                      <w:color w:val="auto"/>
                      <w:sz w:val="21"/>
                      <w:szCs w:val="21"/>
                      <w:highlight w:val="none"/>
                      <w:lang w:val="en-US" w:eastAsia="zh-CN"/>
                    </w:rPr>
                    <w:t>高安市金峰彩印有限公司年印刷5000万米热封膜建设项目</w:t>
                  </w:r>
                </w:p>
              </w:tc>
            </w:tr>
            <w:tr w14:paraId="331B21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83" w:type="pct"/>
                  <w:tcBorders>
                    <w:tl2br w:val="nil"/>
                    <w:tr2bl w:val="nil"/>
                  </w:tcBorders>
                  <w:vAlign w:val="center"/>
                </w:tcPr>
                <w:p w14:paraId="0FD1622D">
                  <w:pPr>
                    <w:pStyle w:val="7"/>
                    <w:spacing w:line="240" w:lineRule="auto"/>
                    <w:ind w:left="0" w:firstLine="0"/>
                    <w:jc w:val="center"/>
                    <w:rPr>
                      <w:color w:val="auto"/>
                      <w:sz w:val="21"/>
                      <w:szCs w:val="21"/>
                    </w:rPr>
                  </w:pPr>
                  <w:r>
                    <w:rPr>
                      <w:color w:val="auto"/>
                      <w:sz w:val="21"/>
                      <w:szCs w:val="21"/>
                    </w:rPr>
                    <w:t>建设地点</w:t>
                  </w:r>
                </w:p>
              </w:tc>
              <w:tc>
                <w:tcPr>
                  <w:tcW w:w="3816" w:type="pct"/>
                  <w:gridSpan w:val="4"/>
                  <w:tcBorders>
                    <w:tl2br w:val="nil"/>
                    <w:tr2bl w:val="nil"/>
                  </w:tcBorders>
                  <w:vAlign w:val="center"/>
                </w:tcPr>
                <w:p w14:paraId="3BC9A412">
                  <w:pPr>
                    <w:adjustRightInd w:val="0"/>
                    <w:snapToGrid w:val="0"/>
                    <w:jc w:val="center"/>
                    <w:rPr>
                      <w:rFonts w:hint="default"/>
                      <w:color w:val="auto"/>
                      <w:sz w:val="21"/>
                      <w:szCs w:val="21"/>
                      <w:lang w:val="en-US"/>
                    </w:rPr>
                  </w:pPr>
                  <w:r>
                    <w:rPr>
                      <w:rFonts w:hint="eastAsia"/>
                      <w:color w:val="auto"/>
                      <w:sz w:val="21"/>
                      <w:szCs w:val="21"/>
                      <w:lang w:val="en-US" w:eastAsia="zh-CN"/>
                    </w:rPr>
                    <w:t>高安市蓝坊镇燕窝村</w:t>
                  </w:r>
                </w:p>
              </w:tc>
            </w:tr>
            <w:tr w14:paraId="132C23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183" w:type="pct"/>
                  <w:tcBorders>
                    <w:tl2br w:val="nil"/>
                    <w:tr2bl w:val="nil"/>
                  </w:tcBorders>
                  <w:vAlign w:val="center"/>
                </w:tcPr>
                <w:p w14:paraId="76218EDF">
                  <w:pPr>
                    <w:pStyle w:val="7"/>
                    <w:spacing w:line="240" w:lineRule="auto"/>
                    <w:ind w:left="0" w:firstLine="0"/>
                    <w:jc w:val="center"/>
                    <w:rPr>
                      <w:color w:val="auto"/>
                      <w:sz w:val="21"/>
                      <w:szCs w:val="21"/>
                    </w:rPr>
                  </w:pPr>
                  <w:r>
                    <w:rPr>
                      <w:color w:val="auto"/>
                      <w:sz w:val="21"/>
                      <w:szCs w:val="21"/>
                    </w:rPr>
                    <w:t>地理坐标</w:t>
                  </w:r>
                </w:p>
              </w:tc>
              <w:tc>
                <w:tcPr>
                  <w:tcW w:w="650" w:type="pct"/>
                  <w:tcBorders>
                    <w:tl2br w:val="nil"/>
                    <w:tr2bl w:val="nil"/>
                  </w:tcBorders>
                  <w:vAlign w:val="center"/>
                </w:tcPr>
                <w:p w14:paraId="56DF28A7">
                  <w:pPr>
                    <w:pStyle w:val="7"/>
                    <w:spacing w:line="240" w:lineRule="auto"/>
                    <w:ind w:left="0" w:firstLine="0"/>
                    <w:jc w:val="center"/>
                    <w:rPr>
                      <w:color w:val="auto"/>
                      <w:sz w:val="21"/>
                      <w:szCs w:val="21"/>
                    </w:rPr>
                  </w:pPr>
                  <w:r>
                    <w:rPr>
                      <w:color w:val="auto"/>
                      <w:sz w:val="21"/>
                      <w:szCs w:val="21"/>
                    </w:rPr>
                    <w:t>经度</w:t>
                  </w:r>
                </w:p>
              </w:tc>
              <w:tc>
                <w:tcPr>
                  <w:tcW w:w="1143" w:type="pct"/>
                  <w:tcBorders>
                    <w:tl2br w:val="nil"/>
                    <w:tr2bl w:val="nil"/>
                  </w:tcBorders>
                  <w:vAlign w:val="center"/>
                </w:tcPr>
                <w:p w14:paraId="5D98B305">
                  <w:pPr>
                    <w:pStyle w:val="7"/>
                    <w:spacing w:line="240" w:lineRule="auto"/>
                    <w:ind w:left="0" w:firstLine="0"/>
                    <w:jc w:val="center"/>
                    <w:rPr>
                      <w:color w:val="auto"/>
                      <w:sz w:val="21"/>
                      <w:szCs w:val="21"/>
                    </w:rPr>
                  </w:pPr>
                  <w:r>
                    <w:rPr>
                      <w:color w:val="auto"/>
                      <w:sz w:val="21"/>
                      <w:szCs w:val="21"/>
                    </w:rPr>
                    <w:t>E</w:t>
                  </w:r>
                  <w:r>
                    <w:rPr>
                      <w:rFonts w:hint="eastAsia"/>
                      <w:color w:val="auto"/>
                      <w:sz w:val="21"/>
                      <w:szCs w:val="21"/>
                    </w:rPr>
                    <w:t>115</w:t>
                  </w:r>
                  <w:r>
                    <w:rPr>
                      <w:color w:val="auto"/>
                      <w:sz w:val="21"/>
                      <w:szCs w:val="21"/>
                    </w:rPr>
                    <w:t>°</w:t>
                  </w:r>
                  <w:r>
                    <w:rPr>
                      <w:rFonts w:hint="eastAsia"/>
                      <w:color w:val="auto"/>
                      <w:sz w:val="21"/>
                      <w:szCs w:val="21"/>
                    </w:rPr>
                    <w:t>25</w:t>
                  </w:r>
                  <w:r>
                    <w:rPr>
                      <w:color w:val="auto"/>
                      <w:sz w:val="21"/>
                      <w:szCs w:val="21"/>
                    </w:rPr>
                    <w:t>′</w:t>
                  </w:r>
                  <w:r>
                    <w:rPr>
                      <w:rFonts w:hint="eastAsia"/>
                      <w:color w:val="auto"/>
                      <w:sz w:val="21"/>
                      <w:szCs w:val="21"/>
                    </w:rPr>
                    <w:t>32.382</w:t>
                  </w:r>
                  <w:r>
                    <w:rPr>
                      <w:color w:val="auto"/>
                      <w:sz w:val="21"/>
                      <w:szCs w:val="21"/>
                    </w:rPr>
                    <w:t>″</w:t>
                  </w:r>
                </w:p>
              </w:tc>
              <w:tc>
                <w:tcPr>
                  <w:tcW w:w="609" w:type="pct"/>
                  <w:tcBorders>
                    <w:tl2br w:val="nil"/>
                    <w:tr2bl w:val="nil"/>
                  </w:tcBorders>
                  <w:vAlign w:val="center"/>
                </w:tcPr>
                <w:p w14:paraId="768FB679">
                  <w:pPr>
                    <w:pStyle w:val="7"/>
                    <w:spacing w:line="240" w:lineRule="auto"/>
                    <w:ind w:left="0" w:firstLine="0"/>
                    <w:jc w:val="center"/>
                    <w:rPr>
                      <w:color w:val="auto"/>
                      <w:sz w:val="21"/>
                      <w:szCs w:val="21"/>
                    </w:rPr>
                  </w:pPr>
                  <w:r>
                    <w:rPr>
                      <w:color w:val="auto"/>
                      <w:sz w:val="21"/>
                      <w:szCs w:val="21"/>
                    </w:rPr>
                    <w:t>纬度</w:t>
                  </w:r>
                </w:p>
              </w:tc>
              <w:tc>
                <w:tcPr>
                  <w:tcW w:w="1413" w:type="pct"/>
                  <w:tcBorders>
                    <w:tl2br w:val="nil"/>
                    <w:tr2bl w:val="nil"/>
                  </w:tcBorders>
                  <w:vAlign w:val="center"/>
                </w:tcPr>
                <w:p w14:paraId="2C372789">
                  <w:pPr>
                    <w:pStyle w:val="7"/>
                    <w:spacing w:line="240" w:lineRule="auto"/>
                    <w:ind w:left="0" w:firstLine="0"/>
                    <w:jc w:val="center"/>
                    <w:rPr>
                      <w:color w:val="auto"/>
                      <w:sz w:val="21"/>
                      <w:szCs w:val="21"/>
                    </w:rPr>
                  </w:pPr>
                  <w:r>
                    <w:rPr>
                      <w:color w:val="auto"/>
                      <w:sz w:val="21"/>
                      <w:szCs w:val="21"/>
                    </w:rPr>
                    <w:t>N</w:t>
                  </w:r>
                  <w:r>
                    <w:rPr>
                      <w:rFonts w:hint="eastAsia"/>
                      <w:color w:val="auto"/>
                      <w:sz w:val="21"/>
                      <w:szCs w:val="21"/>
                    </w:rPr>
                    <w:t>28</w:t>
                  </w:r>
                  <w:r>
                    <w:rPr>
                      <w:color w:val="auto"/>
                      <w:sz w:val="21"/>
                      <w:szCs w:val="21"/>
                    </w:rPr>
                    <w:t>°</w:t>
                  </w:r>
                  <w:r>
                    <w:rPr>
                      <w:rFonts w:hint="eastAsia"/>
                      <w:color w:val="auto"/>
                      <w:sz w:val="21"/>
                      <w:szCs w:val="21"/>
                    </w:rPr>
                    <w:t>23</w:t>
                  </w:r>
                  <w:r>
                    <w:rPr>
                      <w:color w:val="auto"/>
                      <w:sz w:val="21"/>
                      <w:szCs w:val="21"/>
                    </w:rPr>
                    <w:t>′</w:t>
                  </w:r>
                  <w:r>
                    <w:rPr>
                      <w:rFonts w:hint="eastAsia"/>
                      <w:color w:val="auto"/>
                      <w:sz w:val="21"/>
                      <w:szCs w:val="21"/>
                    </w:rPr>
                    <w:t>41.676</w:t>
                  </w:r>
                  <w:r>
                    <w:rPr>
                      <w:color w:val="auto"/>
                      <w:sz w:val="21"/>
                      <w:szCs w:val="21"/>
                    </w:rPr>
                    <w:t>″</w:t>
                  </w:r>
                </w:p>
              </w:tc>
            </w:tr>
            <w:tr w14:paraId="0A507A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183" w:type="pct"/>
                  <w:tcBorders>
                    <w:tl2br w:val="nil"/>
                    <w:tr2bl w:val="nil"/>
                  </w:tcBorders>
                  <w:vAlign w:val="center"/>
                </w:tcPr>
                <w:p w14:paraId="0210418F">
                  <w:pPr>
                    <w:pStyle w:val="7"/>
                    <w:spacing w:line="240" w:lineRule="auto"/>
                    <w:ind w:left="0" w:firstLine="0"/>
                    <w:jc w:val="center"/>
                    <w:rPr>
                      <w:color w:val="auto"/>
                      <w:sz w:val="21"/>
                      <w:szCs w:val="21"/>
                    </w:rPr>
                  </w:pPr>
                  <w:r>
                    <w:rPr>
                      <w:color w:val="auto"/>
                      <w:sz w:val="21"/>
                      <w:szCs w:val="21"/>
                    </w:rPr>
                    <w:t>主要危险物质及分布</w:t>
                  </w:r>
                </w:p>
              </w:tc>
              <w:tc>
                <w:tcPr>
                  <w:tcW w:w="3816" w:type="pct"/>
                  <w:gridSpan w:val="4"/>
                  <w:tcBorders>
                    <w:tl2br w:val="nil"/>
                    <w:tr2bl w:val="nil"/>
                  </w:tcBorders>
                  <w:vAlign w:val="center"/>
                </w:tcPr>
                <w:p w14:paraId="086B38D6">
                  <w:pPr>
                    <w:pStyle w:val="7"/>
                    <w:spacing w:line="240" w:lineRule="auto"/>
                    <w:ind w:left="0" w:firstLine="0"/>
                    <w:jc w:val="center"/>
                    <w:rPr>
                      <w:rFonts w:hint="default" w:eastAsia="宋体"/>
                      <w:color w:val="auto"/>
                      <w:sz w:val="21"/>
                      <w:szCs w:val="21"/>
                      <w:lang w:val="en-US" w:eastAsia="zh-CN"/>
                    </w:rPr>
                  </w:pPr>
                  <w:r>
                    <w:rPr>
                      <w:rFonts w:hint="eastAsia"/>
                      <w:color w:val="auto"/>
                      <w:sz w:val="21"/>
                      <w:szCs w:val="21"/>
                      <w:lang w:val="en-US" w:eastAsia="zh-CN"/>
                    </w:rPr>
                    <w:t>油墨车间、</w:t>
                  </w:r>
                  <w:r>
                    <w:rPr>
                      <w:rFonts w:hint="eastAsia" w:eastAsia="宋体"/>
                      <w:color w:val="auto"/>
                      <w:sz w:val="21"/>
                      <w:szCs w:val="21"/>
                      <w:lang w:val="en-US" w:eastAsia="zh-CN"/>
                    </w:rPr>
                    <w:t>危废暂存间</w:t>
                  </w:r>
                </w:p>
              </w:tc>
            </w:tr>
            <w:tr w14:paraId="4C29C3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3" w:type="pct"/>
                  <w:tcBorders>
                    <w:tl2br w:val="nil"/>
                    <w:tr2bl w:val="nil"/>
                  </w:tcBorders>
                  <w:vAlign w:val="center"/>
                </w:tcPr>
                <w:p w14:paraId="28A8AA22">
                  <w:pPr>
                    <w:pStyle w:val="7"/>
                    <w:spacing w:line="240" w:lineRule="auto"/>
                    <w:ind w:left="0" w:firstLine="0"/>
                    <w:jc w:val="center"/>
                    <w:rPr>
                      <w:color w:val="auto"/>
                      <w:sz w:val="21"/>
                      <w:szCs w:val="21"/>
                    </w:rPr>
                  </w:pPr>
                  <w:r>
                    <w:rPr>
                      <w:color w:val="auto"/>
                      <w:sz w:val="21"/>
                      <w:szCs w:val="21"/>
                    </w:rPr>
                    <w:t>环境影响途径及危害后果</w:t>
                  </w:r>
                </w:p>
              </w:tc>
              <w:tc>
                <w:tcPr>
                  <w:tcW w:w="3816" w:type="pct"/>
                  <w:gridSpan w:val="4"/>
                  <w:tcBorders>
                    <w:tl2br w:val="nil"/>
                    <w:tr2bl w:val="nil"/>
                  </w:tcBorders>
                  <w:vAlign w:val="center"/>
                </w:tcPr>
                <w:p w14:paraId="62FEBEAE">
                  <w:pPr>
                    <w:pStyle w:val="7"/>
                    <w:spacing w:line="240" w:lineRule="auto"/>
                    <w:ind w:left="0" w:leftChars="0" w:firstLine="0" w:firstLineChars="0"/>
                    <w:jc w:val="both"/>
                    <w:rPr>
                      <w:rFonts w:hint="eastAsia"/>
                      <w:color w:val="auto"/>
                      <w:sz w:val="21"/>
                      <w:szCs w:val="21"/>
                    </w:rPr>
                  </w:pPr>
                  <w:r>
                    <w:rPr>
                      <w:color w:val="auto"/>
                      <w:sz w:val="21"/>
                      <w:szCs w:val="21"/>
                    </w:rPr>
                    <w:t>根据《建设项目环境风险评价技术导则》（HJ 169-2018）附录B中的环境风险物质对比，项目中</w:t>
                  </w:r>
                  <w:r>
                    <w:rPr>
                      <w:rFonts w:hint="eastAsia"/>
                      <w:color w:val="auto"/>
                      <w:sz w:val="21"/>
                      <w:szCs w:val="21"/>
                    </w:rPr>
                    <w:t>产生的</w:t>
                  </w:r>
                  <w:r>
                    <w:rPr>
                      <w:rFonts w:hint="eastAsia"/>
                      <w:color w:val="auto"/>
                      <w:sz w:val="21"/>
                      <w:szCs w:val="21"/>
                      <w:lang w:val="en-US" w:eastAsia="zh-CN"/>
                    </w:rPr>
                    <w:t>健康危险急性毒性物质、废润滑油可能会引发火灾、造成</w:t>
                  </w:r>
                  <w:r>
                    <w:rPr>
                      <w:rFonts w:hint="eastAsia"/>
                      <w:color w:val="auto"/>
                      <w:sz w:val="21"/>
                      <w:szCs w:val="21"/>
                    </w:rPr>
                    <w:t>泄漏</w:t>
                  </w:r>
                  <w:r>
                    <w:rPr>
                      <w:color w:val="auto"/>
                      <w:sz w:val="21"/>
                      <w:szCs w:val="21"/>
                    </w:rPr>
                    <w:t>，对</w:t>
                  </w:r>
                  <w:r>
                    <w:rPr>
                      <w:rFonts w:hint="eastAsia"/>
                      <w:color w:val="auto"/>
                      <w:sz w:val="21"/>
                      <w:szCs w:val="21"/>
                      <w:lang w:val="en-US" w:eastAsia="zh-CN"/>
                    </w:rPr>
                    <w:t>大气、地下水、</w:t>
                  </w:r>
                  <w:r>
                    <w:rPr>
                      <w:color w:val="auto"/>
                      <w:sz w:val="21"/>
                      <w:szCs w:val="21"/>
                    </w:rPr>
                    <w:t>地表水造成影响及危害</w:t>
                  </w:r>
                  <w:r>
                    <w:rPr>
                      <w:rFonts w:hint="eastAsia"/>
                      <w:color w:val="auto"/>
                      <w:sz w:val="21"/>
                      <w:szCs w:val="21"/>
                    </w:rPr>
                    <w:t>。</w:t>
                  </w:r>
                </w:p>
              </w:tc>
            </w:tr>
            <w:tr w14:paraId="6877CC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183" w:type="pct"/>
                  <w:tcBorders>
                    <w:tl2br w:val="nil"/>
                    <w:tr2bl w:val="nil"/>
                  </w:tcBorders>
                  <w:vAlign w:val="center"/>
                </w:tcPr>
                <w:p w14:paraId="646DE9A8">
                  <w:pPr>
                    <w:pStyle w:val="7"/>
                    <w:spacing w:line="240" w:lineRule="auto"/>
                    <w:ind w:left="0" w:firstLine="0"/>
                    <w:jc w:val="center"/>
                    <w:rPr>
                      <w:color w:val="auto"/>
                      <w:sz w:val="21"/>
                      <w:szCs w:val="21"/>
                    </w:rPr>
                  </w:pPr>
                  <w:r>
                    <w:rPr>
                      <w:color w:val="auto"/>
                      <w:sz w:val="21"/>
                      <w:szCs w:val="21"/>
                    </w:rPr>
                    <w:t>风险防范措施要求</w:t>
                  </w:r>
                </w:p>
              </w:tc>
              <w:tc>
                <w:tcPr>
                  <w:tcW w:w="3816" w:type="pct"/>
                  <w:gridSpan w:val="4"/>
                  <w:tcBorders>
                    <w:tl2br w:val="nil"/>
                    <w:tr2bl w:val="nil"/>
                  </w:tcBorders>
                  <w:vAlign w:val="center"/>
                </w:tcPr>
                <w:p w14:paraId="30DD9CC5">
                  <w:pPr>
                    <w:pStyle w:val="7"/>
                    <w:spacing w:line="240" w:lineRule="auto"/>
                    <w:ind w:left="0" w:leftChars="0" w:firstLine="0" w:firstLineChars="0"/>
                    <w:jc w:val="both"/>
                    <w:rPr>
                      <w:rFonts w:hint="default" w:eastAsia="宋体"/>
                      <w:color w:val="auto"/>
                      <w:sz w:val="21"/>
                      <w:szCs w:val="21"/>
                      <w:lang w:val="en-US" w:eastAsia="zh-CN"/>
                    </w:rPr>
                  </w:pPr>
                  <w:r>
                    <w:rPr>
                      <w:rFonts w:hint="eastAsia"/>
                      <w:color w:val="auto"/>
                      <w:sz w:val="21"/>
                      <w:szCs w:val="21"/>
                    </w:rPr>
                    <w:t>定期检查厂房是否存在火灾风险，于</w:t>
                  </w:r>
                  <w:r>
                    <w:rPr>
                      <w:rFonts w:hint="eastAsia"/>
                      <w:color w:val="auto"/>
                      <w:sz w:val="21"/>
                      <w:szCs w:val="21"/>
                      <w:lang w:val="en-US" w:eastAsia="zh-CN"/>
                    </w:rPr>
                    <w:t>生产</w:t>
                  </w:r>
                  <w:r>
                    <w:rPr>
                      <w:rFonts w:hint="eastAsia"/>
                      <w:color w:val="auto"/>
                      <w:sz w:val="21"/>
                      <w:szCs w:val="21"/>
                    </w:rPr>
                    <w:t>车间安置消防器具以预防火灾初期可自行进行扑灭；应于具备</w:t>
                  </w:r>
                  <w:r>
                    <w:rPr>
                      <w:rFonts w:hint="eastAsia"/>
                      <w:color w:val="auto"/>
                      <w:sz w:val="21"/>
                      <w:szCs w:val="21"/>
                      <w:lang w:val="en-US" w:eastAsia="zh-CN"/>
                    </w:rPr>
                    <w:t>物质</w:t>
                  </w:r>
                  <w:r>
                    <w:rPr>
                      <w:rFonts w:hint="eastAsia"/>
                      <w:color w:val="auto"/>
                      <w:sz w:val="21"/>
                      <w:szCs w:val="21"/>
                    </w:rPr>
                    <w:t>泄露</w:t>
                  </w:r>
                  <w:r>
                    <w:rPr>
                      <w:rFonts w:hint="eastAsia"/>
                      <w:color w:val="auto"/>
                      <w:sz w:val="21"/>
                      <w:szCs w:val="21"/>
                      <w:lang w:val="en-US" w:eastAsia="zh-CN"/>
                    </w:rPr>
                    <w:t>可能性</w:t>
                  </w:r>
                  <w:r>
                    <w:rPr>
                      <w:rFonts w:hint="eastAsia"/>
                      <w:color w:val="auto"/>
                      <w:sz w:val="21"/>
                      <w:szCs w:val="21"/>
                    </w:rPr>
                    <w:t>的区域四周边界设置围堰，以防止意外事故发生</w:t>
                  </w:r>
                  <w:r>
                    <w:rPr>
                      <w:rFonts w:hint="eastAsia"/>
                      <w:color w:val="auto"/>
                      <w:sz w:val="21"/>
                      <w:szCs w:val="21"/>
                      <w:lang w:val="en-US" w:eastAsia="zh-CN"/>
                    </w:rPr>
                    <w:t>时物质</w:t>
                  </w:r>
                  <w:r>
                    <w:rPr>
                      <w:rFonts w:hint="eastAsia"/>
                      <w:color w:val="auto"/>
                      <w:sz w:val="21"/>
                      <w:szCs w:val="21"/>
                    </w:rPr>
                    <w:t>泄露情况。</w:t>
                  </w:r>
                </w:p>
              </w:tc>
            </w:tr>
            <w:tr w14:paraId="7663A1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183" w:type="pct"/>
                  <w:tcBorders>
                    <w:tl2br w:val="nil"/>
                    <w:tr2bl w:val="nil"/>
                  </w:tcBorders>
                  <w:vAlign w:val="center"/>
                </w:tcPr>
                <w:p w14:paraId="4F4225B0">
                  <w:pPr>
                    <w:pStyle w:val="7"/>
                    <w:spacing w:line="240" w:lineRule="auto"/>
                    <w:ind w:left="0" w:firstLine="0"/>
                    <w:jc w:val="center"/>
                    <w:rPr>
                      <w:color w:val="auto"/>
                      <w:sz w:val="21"/>
                      <w:szCs w:val="21"/>
                    </w:rPr>
                  </w:pPr>
                  <w:r>
                    <w:rPr>
                      <w:color w:val="auto"/>
                      <w:sz w:val="21"/>
                      <w:szCs w:val="21"/>
                    </w:rPr>
                    <w:t>填表说明</w:t>
                  </w:r>
                </w:p>
              </w:tc>
              <w:tc>
                <w:tcPr>
                  <w:tcW w:w="3816" w:type="pct"/>
                  <w:gridSpan w:val="4"/>
                  <w:tcBorders>
                    <w:tl2br w:val="nil"/>
                    <w:tr2bl w:val="nil"/>
                  </w:tcBorders>
                  <w:vAlign w:val="center"/>
                </w:tcPr>
                <w:p w14:paraId="14063F8D">
                  <w:pPr>
                    <w:pStyle w:val="7"/>
                    <w:spacing w:line="240" w:lineRule="auto"/>
                    <w:ind w:left="0" w:leftChars="0" w:firstLine="0" w:firstLineChars="0"/>
                    <w:jc w:val="both"/>
                    <w:rPr>
                      <w:color w:val="auto"/>
                      <w:sz w:val="21"/>
                      <w:szCs w:val="21"/>
                    </w:rPr>
                  </w:pPr>
                  <w:r>
                    <w:rPr>
                      <w:color w:val="auto"/>
                      <w:sz w:val="21"/>
                      <w:szCs w:val="21"/>
                    </w:rPr>
                    <w:t>拟建项目所使用的各类原辅料</w:t>
                  </w:r>
                  <w:r>
                    <w:rPr>
                      <w:rFonts w:hint="eastAsia"/>
                      <w:color w:val="auto"/>
                      <w:sz w:val="21"/>
                      <w:szCs w:val="21"/>
                    </w:rPr>
                    <w:t>及产生物质中</w:t>
                  </w:r>
                  <w:r>
                    <w:rPr>
                      <w:color w:val="auto"/>
                      <w:sz w:val="21"/>
                      <w:szCs w:val="21"/>
                    </w:rPr>
                    <w:t>，各</w:t>
                  </w:r>
                  <w:r>
                    <w:rPr>
                      <w:rFonts w:hint="eastAsia"/>
                      <w:color w:val="auto"/>
                      <w:sz w:val="21"/>
                      <w:szCs w:val="21"/>
                    </w:rPr>
                    <w:t>风险物质</w:t>
                  </w:r>
                  <w:r>
                    <w:rPr>
                      <w:color w:val="auto"/>
                      <w:sz w:val="21"/>
                      <w:szCs w:val="21"/>
                    </w:rPr>
                    <w:t>q/Q之和为小于1，根据《建设项目环境风险评价技术导则》（HJ169-2018），本项目的环境风险潜势直接判定为I，环境风险评价可开展简单分析。</w:t>
                  </w:r>
                </w:p>
              </w:tc>
            </w:tr>
            <w:tr w14:paraId="59806B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0" w:hRule="atLeast"/>
              </w:trPr>
              <w:tc>
                <w:tcPr>
                  <w:tcW w:w="1183" w:type="pct"/>
                  <w:tcBorders>
                    <w:tl2br w:val="nil"/>
                    <w:tr2bl w:val="nil"/>
                  </w:tcBorders>
                  <w:vAlign w:val="center"/>
                </w:tcPr>
                <w:p w14:paraId="2CFA8581">
                  <w:pPr>
                    <w:pStyle w:val="7"/>
                    <w:spacing w:line="240" w:lineRule="auto"/>
                    <w:ind w:left="0" w:firstLine="0"/>
                    <w:jc w:val="center"/>
                    <w:rPr>
                      <w:color w:val="auto"/>
                      <w:sz w:val="21"/>
                      <w:szCs w:val="21"/>
                    </w:rPr>
                  </w:pPr>
                  <w:bookmarkStart w:id="1" w:name="_Toc15128"/>
                  <w:bookmarkStart w:id="2" w:name="_Toc23293"/>
                  <w:bookmarkStart w:id="3" w:name="_Toc337733282"/>
                  <w:bookmarkStart w:id="4" w:name="_Toc22915"/>
                  <w:bookmarkStart w:id="5" w:name="_Toc655"/>
                  <w:bookmarkStart w:id="6" w:name="_Toc8444"/>
                  <w:bookmarkStart w:id="7" w:name="_Toc6156"/>
                  <w:bookmarkStart w:id="8" w:name="_Toc320797716"/>
                  <w:bookmarkStart w:id="9" w:name="_Toc130"/>
                  <w:bookmarkStart w:id="10" w:name="_Toc17979"/>
                  <w:bookmarkStart w:id="11" w:name="_Toc24958"/>
                  <w:bookmarkStart w:id="12" w:name="_Toc396723244"/>
                  <w:bookmarkStart w:id="13" w:name="_Toc28728"/>
                  <w:r>
                    <w:rPr>
                      <w:color w:val="auto"/>
                      <w:sz w:val="21"/>
                      <w:szCs w:val="21"/>
                    </w:rPr>
                    <w:t>环境影响途径及危害后果</w:t>
                  </w:r>
                </w:p>
              </w:tc>
              <w:tc>
                <w:tcPr>
                  <w:tcW w:w="3816" w:type="pct"/>
                  <w:gridSpan w:val="4"/>
                  <w:tcBorders>
                    <w:tl2br w:val="nil"/>
                    <w:tr2bl w:val="nil"/>
                  </w:tcBorders>
                  <w:vAlign w:val="center"/>
                </w:tcPr>
                <w:p w14:paraId="7949D442">
                  <w:pPr>
                    <w:pStyle w:val="7"/>
                    <w:spacing w:line="240" w:lineRule="auto"/>
                    <w:ind w:left="0" w:firstLine="0"/>
                    <w:jc w:val="both"/>
                    <w:rPr>
                      <w:rFonts w:hint="eastAsia"/>
                      <w:color w:val="auto"/>
                      <w:sz w:val="21"/>
                      <w:szCs w:val="21"/>
                      <w:lang w:eastAsia="zh-CN"/>
                    </w:rPr>
                  </w:pPr>
                  <w:r>
                    <w:rPr>
                      <w:rFonts w:hint="eastAsia"/>
                      <w:color w:val="auto"/>
                      <w:sz w:val="21"/>
                      <w:szCs w:val="21"/>
                      <w:lang w:eastAsia="zh-CN"/>
                    </w:rPr>
                    <w:t>（</w:t>
                  </w:r>
                  <w:r>
                    <w:rPr>
                      <w:rFonts w:hint="eastAsia"/>
                      <w:color w:val="auto"/>
                      <w:sz w:val="21"/>
                      <w:szCs w:val="21"/>
                      <w:lang w:val="en-US" w:eastAsia="zh-CN"/>
                    </w:rPr>
                    <w:t>1</w:t>
                  </w:r>
                  <w:r>
                    <w:rPr>
                      <w:rFonts w:hint="eastAsia"/>
                      <w:color w:val="auto"/>
                      <w:sz w:val="21"/>
                      <w:szCs w:val="21"/>
                      <w:lang w:eastAsia="zh-CN"/>
                    </w:rPr>
                    <w:t>）</w:t>
                  </w:r>
                  <w:r>
                    <w:rPr>
                      <w:rFonts w:hint="eastAsia"/>
                      <w:color w:val="auto"/>
                      <w:sz w:val="21"/>
                      <w:szCs w:val="21"/>
                      <w:lang w:val="en-US" w:eastAsia="zh-CN"/>
                    </w:rPr>
                    <w:t>油墨车间、</w:t>
                  </w:r>
                  <w:r>
                    <w:rPr>
                      <w:rFonts w:hint="eastAsia"/>
                      <w:color w:val="auto"/>
                      <w:sz w:val="21"/>
                      <w:szCs w:val="21"/>
                    </w:rPr>
                    <w:t>危废暂存间对大气环境的危害后果</w:t>
                  </w:r>
                </w:p>
                <w:p w14:paraId="12AB29AA">
                  <w:pPr>
                    <w:pStyle w:val="7"/>
                    <w:spacing w:line="240" w:lineRule="auto"/>
                    <w:ind w:left="0" w:leftChars="0" w:firstLine="0" w:firstLineChars="0"/>
                    <w:jc w:val="both"/>
                    <w:rPr>
                      <w:rFonts w:hint="eastAsia"/>
                      <w:color w:val="auto"/>
                      <w:sz w:val="21"/>
                      <w:szCs w:val="21"/>
                    </w:rPr>
                  </w:pPr>
                  <w:r>
                    <w:rPr>
                      <w:rFonts w:hint="eastAsia"/>
                      <w:color w:val="auto"/>
                      <w:sz w:val="21"/>
                      <w:szCs w:val="21"/>
                    </w:rPr>
                    <w:t>对大气的危害后果主要为火灾，完全燃烧产生二氧化碳、氮氧化物</w:t>
                  </w:r>
                  <w:r>
                    <w:rPr>
                      <w:rFonts w:hint="eastAsia"/>
                      <w:color w:val="auto"/>
                      <w:sz w:val="21"/>
                      <w:szCs w:val="21"/>
                      <w:lang w:eastAsia="zh-CN"/>
                    </w:rPr>
                    <w:t>：</w:t>
                  </w:r>
                  <w:r>
                    <w:rPr>
                      <w:rFonts w:hint="eastAsia"/>
                      <w:color w:val="auto"/>
                      <w:sz w:val="21"/>
                      <w:szCs w:val="21"/>
                    </w:rPr>
                    <w:t>不完全燃烧主要产生一氧化碳、二氧化碳、氮氧化物和有机废气，</w:t>
                  </w:r>
                  <w:r>
                    <w:rPr>
                      <w:rFonts w:hint="eastAsia"/>
                      <w:color w:val="auto"/>
                      <w:sz w:val="21"/>
                      <w:szCs w:val="21"/>
                      <w:lang w:val="en-US" w:eastAsia="zh-CN"/>
                    </w:rPr>
                    <w:t>应</w:t>
                  </w:r>
                  <w:r>
                    <w:rPr>
                      <w:rFonts w:hint="eastAsia"/>
                      <w:color w:val="auto"/>
                      <w:sz w:val="21"/>
                      <w:szCs w:val="21"/>
                    </w:rPr>
                    <w:t>按要求做好相应的防腐、防渗，应严格做好火灾防范措施，</w:t>
                  </w:r>
                  <w:r>
                    <w:rPr>
                      <w:rFonts w:hint="eastAsia"/>
                      <w:color w:val="auto"/>
                      <w:sz w:val="21"/>
                      <w:szCs w:val="21"/>
                      <w:lang w:val="en-US" w:eastAsia="zh-CN"/>
                    </w:rPr>
                    <w:t>暂存区</w:t>
                  </w:r>
                  <w:r>
                    <w:rPr>
                      <w:rFonts w:hint="eastAsia"/>
                      <w:color w:val="auto"/>
                      <w:sz w:val="21"/>
                      <w:szCs w:val="21"/>
                    </w:rPr>
                    <w:t>内安装烟感警报器、视频监控，一旦发生火灾，烟感警报器检测到烟气后发出警报，以便及时发现火灾事故，以第一时间启动应急处置，主要影响范围为厂内，而对外环境影响较小。</w:t>
                  </w:r>
                </w:p>
                <w:p w14:paraId="53BCDF4F">
                  <w:pPr>
                    <w:pStyle w:val="7"/>
                    <w:spacing w:line="240" w:lineRule="auto"/>
                    <w:ind w:left="0" w:firstLine="0"/>
                    <w:jc w:val="both"/>
                    <w:rPr>
                      <w:rFonts w:hint="eastAsia"/>
                      <w:color w:val="auto"/>
                      <w:sz w:val="21"/>
                      <w:szCs w:val="21"/>
                      <w:lang w:eastAsia="zh-CN"/>
                    </w:rPr>
                  </w:pPr>
                  <w:r>
                    <w:rPr>
                      <w:rFonts w:hint="eastAsia"/>
                      <w:color w:val="auto"/>
                      <w:sz w:val="21"/>
                      <w:szCs w:val="21"/>
                      <w:lang w:eastAsia="zh-CN"/>
                    </w:rPr>
                    <w:t>（</w:t>
                  </w:r>
                  <w:r>
                    <w:rPr>
                      <w:rFonts w:hint="eastAsia"/>
                      <w:color w:val="auto"/>
                      <w:sz w:val="21"/>
                      <w:szCs w:val="21"/>
                      <w:lang w:val="en-US" w:eastAsia="zh-CN"/>
                    </w:rPr>
                    <w:t>2</w:t>
                  </w:r>
                  <w:r>
                    <w:rPr>
                      <w:rFonts w:hint="eastAsia"/>
                      <w:color w:val="auto"/>
                      <w:sz w:val="21"/>
                      <w:szCs w:val="21"/>
                      <w:lang w:eastAsia="zh-CN"/>
                    </w:rPr>
                    <w:t>）</w:t>
                  </w:r>
                  <w:r>
                    <w:rPr>
                      <w:rFonts w:hint="eastAsia"/>
                      <w:color w:val="auto"/>
                      <w:sz w:val="21"/>
                      <w:szCs w:val="21"/>
                      <w:lang w:val="en-US" w:eastAsia="zh-CN"/>
                    </w:rPr>
                    <w:t>原料暂存区</w:t>
                  </w:r>
                  <w:r>
                    <w:rPr>
                      <w:rFonts w:hint="eastAsia"/>
                      <w:color w:val="auto"/>
                      <w:sz w:val="21"/>
                      <w:szCs w:val="21"/>
                    </w:rPr>
                    <w:t>对</w:t>
                  </w:r>
                  <w:r>
                    <w:rPr>
                      <w:rFonts w:hint="eastAsia"/>
                      <w:color w:val="auto"/>
                      <w:sz w:val="21"/>
                      <w:szCs w:val="21"/>
                      <w:lang w:val="en-US" w:eastAsia="zh-CN"/>
                    </w:rPr>
                    <w:t>地表水、地下水</w:t>
                  </w:r>
                  <w:r>
                    <w:rPr>
                      <w:rFonts w:hint="eastAsia"/>
                      <w:color w:val="auto"/>
                      <w:sz w:val="21"/>
                      <w:szCs w:val="21"/>
                    </w:rPr>
                    <w:t>环境的危害后果</w:t>
                  </w:r>
                </w:p>
                <w:p w14:paraId="2B6C1027">
                  <w:pPr>
                    <w:pStyle w:val="7"/>
                    <w:spacing w:line="240" w:lineRule="auto"/>
                    <w:ind w:left="0" w:leftChars="0" w:firstLine="0" w:firstLineChars="0"/>
                    <w:jc w:val="both"/>
                    <w:rPr>
                      <w:rFonts w:hint="eastAsia"/>
                      <w:color w:val="auto"/>
                      <w:sz w:val="21"/>
                      <w:szCs w:val="21"/>
                    </w:rPr>
                  </w:pPr>
                  <w:r>
                    <w:rPr>
                      <w:rFonts w:hint="eastAsia"/>
                      <w:color w:val="auto"/>
                      <w:sz w:val="21"/>
                      <w:szCs w:val="21"/>
                    </w:rPr>
                    <w:t>对</w:t>
                  </w:r>
                  <w:r>
                    <w:rPr>
                      <w:rFonts w:hint="eastAsia"/>
                      <w:color w:val="auto"/>
                      <w:sz w:val="21"/>
                      <w:szCs w:val="21"/>
                      <w:lang w:val="en-US" w:eastAsia="zh-CN"/>
                    </w:rPr>
                    <w:t>地表水、地下水</w:t>
                  </w:r>
                  <w:r>
                    <w:rPr>
                      <w:rFonts w:hint="eastAsia"/>
                      <w:color w:val="auto"/>
                      <w:sz w:val="21"/>
                      <w:szCs w:val="21"/>
                    </w:rPr>
                    <w:t>的危害后果主要为</w:t>
                  </w:r>
                  <w:r>
                    <w:rPr>
                      <w:rFonts w:hint="eastAsia"/>
                      <w:color w:val="auto"/>
                      <w:sz w:val="21"/>
                      <w:szCs w:val="21"/>
                      <w:lang w:val="en-US" w:eastAsia="zh-CN"/>
                    </w:rPr>
                    <w:t>液体泄露</w:t>
                  </w:r>
                  <w:r>
                    <w:rPr>
                      <w:rFonts w:hint="eastAsia"/>
                      <w:color w:val="auto"/>
                      <w:sz w:val="21"/>
                      <w:szCs w:val="21"/>
                    </w:rPr>
                    <w:t>，</w:t>
                  </w:r>
                  <w:r>
                    <w:rPr>
                      <w:rFonts w:hint="eastAsia"/>
                      <w:color w:val="auto"/>
                      <w:sz w:val="21"/>
                      <w:szCs w:val="21"/>
                      <w:lang w:val="en-US" w:eastAsia="zh-CN"/>
                    </w:rPr>
                    <w:t>地面需做好</w:t>
                  </w:r>
                  <w:r>
                    <w:rPr>
                      <w:rFonts w:hint="eastAsia"/>
                      <w:color w:val="auto"/>
                      <w:sz w:val="21"/>
                      <w:szCs w:val="21"/>
                    </w:rPr>
                    <w:t>防腐、防渗，</w:t>
                  </w:r>
                  <w:r>
                    <w:rPr>
                      <w:rFonts w:hint="eastAsia"/>
                      <w:color w:val="auto"/>
                      <w:sz w:val="21"/>
                      <w:szCs w:val="21"/>
                      <w:highlight w:val="none"/>
                      <w:lang w:val="en-US" w:eastAsia="zh-CN"/>
                    </w:rPr>
                    <w:t>防</w:t>
                  </w:r>
                  <w:r>
                    <w:rPr>
                      <w:rFonts w:hint="eastAsia"/>
                      <w:color w:val="auto"/>
                      <w:sz w:val="21"/>
                      <w:szCs w:val="21"/>
                      <w:lang w:val="en-US" w:eastAsia="zh-CN"/>
                    </w:rPr>
                    <w:t>溢等</w:t>
                  </w:r>
                  <w:r>
                    <w:rPr>
                      <w:rFonts w:hint="eastAsia"/>
                      <w:color w:val="auto"/>
                      <w:sz w:val="21"/>
                      <w:szCs w:val="21"/>
                    </w:rPr>
                    <w:t>防范措施</w:t>
                  </w:r>
                  <w:r>
                    <w:rPr>
                      <w:rFonts w:hint="eastAsia"/>
                      <w:color w:val="auto"/>
                      <w:sz w:val="21"/>
                      <w:szCs w:val="21"/>
                      <w:lang w:eastAsia="zh-CN"/>
                    </w:rPr>
                    <w:t>。</w:t>
                  </w:r>
                </w:p>
              </w:tc>
            </w:tr>
            <w:tr w14:paraId="65D98F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183" w:type="pct"/>
                  <w:tcBorders>
                    <w:tl2br w:val="nil"/>
                    <w:tr2bl w:val="nil"/>
                  </w:tcBorders>
                  <w:vAlign w:val="center"/>
                </w:tcPr>
                <w:p w14:paraId="7BE00D8A">
                  <w:pPr>
                    <w:pStyle w:val="7"/>
                    <w:spacing w:line="240" w:lineRule="auto"/>
                    <w:ind w:left="0" w:firstLine="0"/>
                    <w:jc w:val="center"/>
                    <w:rPr>
                      <w:color w:val="auto"/>
                      <w:sz w:val="21"/>
                      <w:szCs w:val="21"/>
                    </w:rPr>
                  </w:pPr>
                  <w:r>
                    <w:rPr>
                      <w:color w:val="auto"/>
                      <w:sz w:val="21"/>
                      <w:szCs w:val="21"/>
                    </w:rPr>
                    <w:t>风险防范措施要求</w:t>
                  </w:r>
                </w:p>
              </w:tc>
              <w:tc>
                <w:tcPr>
                  <w:tcW w:w="3816" w:type="pct"/>
                  <w:gridSpan w:val="4"/>
                  <w:tcBorders>
                    <w:tl2br w:val="nil"/>
                    <w:tr2bl w:val="nil"/>
                  </w:tcBorders>
                  <w:vAlign w:val="center"/>
                </w:tcPr>
                <w:p w14:paraId="2868A908">
                  <w:pPr>
                    <w:pStyle w:val="7"/>
                    <w:numPr>
                      <w:ilvl w:val="0"/>
                      <w:numId w:val="0"/>
                    </w:numPr>
                    <w:spacing w:line="240" w:lineRule="auto"/>
                    <w:ind w:leftChars="0"/>
                    <w:jc w:val="both"/>
                    <w:rPr>
                      <w:rFonts w:hint="eastAsia"/>
                      <w:color w:val="auto"/>
                      <w:sz w:val="21"/>
                      <w:szCs w:val="21"/>
                    </w:rPr>
                  </w:pPr>
                  <w:r>
                    <w:rPr>
                      <w:rFonts w:hint="eastAsia"/>
                      <w:color w:val="auto"/>
                      <w:sz w:val="21"/>
                      <w:szCs w:val="21"/>
                      <w:lang w:eastAsia="zh-CN"/>
                    </w:rPr>
                    <w:t>（</w:t>
                  </w:r>
                  <w:r>
                    <w:rPr>
                      <w:rFonts w:hint="eastAsia"/>
                      <w:color w:val="auto"/>
                      <w:sz w:val="21"/>
                      <w:szCs w:val="21"/>
                      <w:lang w:val="en-US" w:eastAsia="zh-CN"/>
                    </w:rPr>
                    <w:t>1</w:t>
                  </w:r>
                  <w:r>
                    <w:rPr>
                      <w:rFonts w:hint="eastAsia"/>
                      <w:color w:val="auto"/>
                      <w:sz w:val="21"/>
                      <w:szCs w:val="21"/>
                      <w:lang w:eastAsia="zh-CN"/>
                    </w:rPr>
                    <w:t>）</w:t>
                  </w:r>
                  <w:r>
                    <w:rPr>
                      <w:rFonts w:hint="eastAsia"/>
                      <w:color w:val="auto"/>
                      <w:sz w:val="21"/>
                      <w:szCs w:val="21"/>
                    </w:rPr>
                    <w:t>设备的安全管理</w:t>
                  </w:r>
                  <w:r>
                    <w:rPr>
                      <w:rFonts w:hint="eastAsia"/>
                      <w:color w:val="auto"/>
                      <w:sz w:val="21"/>
                      <w:szCs w:val="21"/>
                      <w:lang w:eastAsia="zh-CN"/>
                    </w:rPr>
                    <w:t>：</w:t>
                  </w:r>
                  <w:r>
                    <w:rPr>
                      <w:rFonts w:hint="eastAsia"/>
                      <w:color w:val="auto"/>
                      <w:sz w:val="21"/>
                      <w:szCs w:val="21"/>
                    </w:rPr>
                    <w:t>定期对生产线关键设备进行安全监测，检测内容、时间、人员应有记录保存。安全监测应根据设备的安全性、危险性设定检测频次。</w:t>
                  </w:r>
                </w:p>
                <w:p w14:paraId="6572E289">
                  <w:pPr>
                    <w:pStyle w:val="7"/>
                    <w:numPr>
                      <w:ilvl w:val="0"/>
                      <w:numId w:val="0"/>
                    </w:numPr>
                    <w:spacing w:line="240" w:lineRule="auto"/>
                    <w:ind w:leftChars="0"/>
                    <w:jc w:val="both"/>
                    <w:rPr>
                      <w:rFonts w:hint="eastAsia"/>
                      <w:color w:val="auto"/>
                      <w:sz w:val="21"/>
                      <w:szCs w:val="21"/>
                    </w:rPr>
                  </w:pPr>
                  <w:r>
                    <w:rPr>
                      <w:rFonts w:hint="eastAsia"/>
                      <w:color w:val="auto"/>
                      <w:sz w:val="21"/>
                      <w:szCs w:val="21"/>
                      <w:lang w:eastAsia="zh-CN"/>
                    </w:rPr>
                    <w:t>（</w:t>
                  </w:r>
                  <w:r>
                    <w:rPr>
                      <w:rFonts w:hint="eastAsia"/>
                      <w:color w:val="auto"/>
                      <w:sz w:val="21"/>
                      <w:szCs w:val="21"/>
                      <w:lang w:val="en-US" w:eastAsia="zh-CN"/>
                    </w:rPr>
                    <w:t>2</w:t>
                  </w:r>
                  <w:r>
                    <w:rPr>
                      <w:rFonts w:hint="eastAsia"/>
                      <w:color w:val="auto"/>
                      <w:sz w:val="21"/>
                      <w:szCs w:val="21"/>
                      <w:lang w:eastAsia="zh-CN"/>
                    </w:rPr>
                    <w:t>）</w:t>
                  </w:r>
                  <w:r>
                    <w:rPr>
                      <w:rFonts w:hint="eastAsia"/>
                      <w:color w:val="auto"/>
                      <w:sz w:val="21"/>
                      <w:szCs w:val="21"/>
                    </w:rPr>
                    <w:t>应加强火源的管理，严禁烟火带入，对设备进行维修焊接，应经</w:t>
                  </w:r>
                  <w:r>
                    <w:rPr>
                      <w:rFonts w:hint="eastAsia"/>
                      <w:color w:val="auto"/>
                      <w:sz w:val="21"/>
                      <w:szCs w:val="21"/>
                      <w:lang w:val="en-US" w:eastAsia="zh-CN"/>
                    </w:rPr>
                    <w:t>安</w:t>
                  </w:r>
                  <w:r>
                    <w:rPr>
                      <w:rFonts w:hint="eastAsia"/>
                      <w:color w:val="auto"/>
                      <w:sz w:val="21"/>
                      <w:szCs w:val="21"/>
                    </w:rPr>
                    <w:t>全部门的确认、准许，并有记录。</w:t>
                  </w:r>
                </w:p>
                <w:p w14:paraId="42C965FA">
                  <w:pPr>
                    <w:pStyle w:val="7"/>
                    <w:spacing w:line="240" w:lineRule="auto"/>
                    <w:ind w:left="0" w:firstLine="0"/>
                    <w:jc w:val="both"/>
                    <w:rPr>
                      <w:rFonts w:hint="eastAsia"/>
                      <w:color w:val="auto"/>
                      <w:sz w:val="21"/>
                      <w:szCs w:val="21"/>
                    </w:rPr>
                  </w:pPr>
                  <w:r>
                    <w:rPr>
                      <w:rFonts w:hint="eastAsia"/>
                      <w:color w:val="auto"/>
                      <w:sz w:val="21"/>
                      <w:szCs w:val="21"/>
                      <w:lang w:eastAsia="zh-CN"/>
                    </w:rPr>
                    <w:t>（</w:t>
                  </w:r>
                  <w:r>
                    <w:rPr>
                      <w:rFonts w:hint="eastAsia"/>
                      <w:color w:val="auto"/>
                      <w:sz w:val="21"/>
                      <w:szCs w:val="21"/>
                      <w:lang w:val="en-US" w:eastAsia="zh-CN"/>
                    </w:rPr>
                    <w:t>3</w:t>
                  </w:r>
                  <w:r>
                    <w:rPr>
                      <w:rFonts w:hint="eastAsia"/>
                      <w:color w:val="auto"/>
                      <w:sz w:val="21"/>
                      <w:szCs w:val="21"/>
                      <w:lang w:eastAsia="zh-CN"/>
                    </w:rPr>
                    <w:t>）</w:t>
                  </w:r>
                  <w:r>
                    <w:rPr>
                      <w:rFonts w:hint="eastAsia"/>
                      <w:color w:val="auto"/>
                      <w:sz w:val="21"/>
                      <w:szCs w:val="21"/>
                    </w:rPr>
                    <w:t>要有完善</w:t>
                  </w:r>
                  <w:r>
                    <w:rPr>
                      <w:rFonts w:hint="eastAsia"/>
                      <w:color w:val="auto"/>
                      <w:sz w:val="21"/>
                      <w:szCs w:val="21"/>
                      <w:highlight w:val="none"/>
                      <w:lang w:val="en-US" w:eastAsia="zh-CN"/>
                    </w:rPr>
                    <w:t>的</w:t>
                  </w:r>
                  <w:r>
                    <w:rPr>
                      <w:rFonts w:hint="eastAsia"/>
                      <w:color w:val="auto"/>
                      <w:sz w:val="21"/>
                      <w:szCs w:val="21"/>
                    </w:rPr>
                    <w:t>安全消防措施。从平面布置上，本厂生产装置区等各功能区之间应按照国家消防安全规定，设置足够的安全距离和道路，以便安全疏散和消防。生产线应设置完善的报警联动系统，以及水消防系统和ABC类干粉灭火器宴。</w:t>
                  </w:r>
                </w:p>
                <w:p w14:paraId="0DA820FA">
                  <w:pPr>
                    <w:pStyle w:val="7"/>
                    <w:spacing w:line="240" w:lineRule="auto"/>
                    <w:ind w:left="0" w:firstLine="0"/>
                    <w:jc w:val="both"/>
                    <w:rPr>
                      <w:rFonts w:hint="default" w:eastAsia="宋体"/>
                      <w:color w:val="auto"/>
                      <w:sz w:val="21"/>
                      <w:szCs w:val="21"/>
                      <w:lang w:val="en-US" w:eastAsia="zh-CN"/>
                    </w:rPr>
                  </w:pPr>
                  <w:r>
                    <w:rPr>
                      <w:rFonts w:hint="eastAsia"/>
                      <w:color w:val="auto"/>
                      <w:sz w:val="21"/>
                      <w:szCs w:val="21"/>
                      <w:lang w:eastAsia="zh-CN"/>
                    </w:rPr>
                    <w:t>（</w:t>
                  </w:r>
                  <w:r>
                    <w:rPr>
                      <w:rFonts w:hint="eastAsia"/>
                      <w:color w:val="auto"/>
                      <w:sz w:val="21"/>
                      <w:szCs w:val="21"/>
                      <w:lang w:val="en-US" w:eastAsia="zh-CN"/>
                    </w:rPr>
                    <w:t>4</w:t>
                  </w:r>
                  <w:r>
                    <w:rPr>
                      <w:rFonts w:hint="eastAsia"/>
                      <w:color w:val="auto"/>
                      <w:sz w:val="21"/>
                      <w:szCs w:val="21"/>
                      <w:lang w:eastAsia="zh-CN"/>
                    </w:rPr>
                    <w:t>）</w:t>
                  </w:r>
                  <w:r>
                    <w:rPr>
                      <w:rFonts w:hint="eastAsia"/>
                      <w:color w:val="auto"/>
                      <w:sz w:val="21"/>
                      <w:szCs w:val="21"/>
                      <w:lang w:val="en-US" w:eastAsia="zh-CN"/>
                    </w:rPr>
                    <w:t>厂内各区应做好分区防范措施，各区应做好相对于防渗、防漏要求。</w:t>
                  </w:r>
                </w:p>
              </w:tc>
            </w:tr>
            <w:tr w14:paraId="6CAF85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183" w:type="pct"/>
                  <w:tcBorders>
                    <w:tl2br w:val="nil"/>
                    <w:tr2bl w:val="nil"/>
                  </w:tcBorders>
                  <w:vAlign w:val="center"/>
                </w:tcPr>
                <w:p w14:paraId="3A3C831E">
                  <w:pPr>
                    <w:pStyle w:val="7"/>
                    <w:spacing w:line="240" w:lineRule="auto"/>
                    <w:ind w:left="0" w:firstLine="0"/>
                    <w:jc w:val="center"/>
                    <w:rPr>
                      <w:color w:val="auto"/>
                      <w:sz w:val="21"/>
                      <w:szCs w:val="21"/>
                    </w:rPr>
                  </w:pPr>
                  <w:r>
                    <w:rPr>
                      <w:color w:val="auto"/>
                      <w:sz w:val="21"/>
                      <w:szCs w:val="21"/>
                    </w:rPr>
                    <w:t>填表说明</w:t>
                  </w:r>
                </w:p>
              </w:tc>
              <w:tc>
                <w:tcPr>
                  <w:tcW w:w="3816" w:type="pct"/>
                  <w:gridSpan w:val="4"/>
                  <w:tcBorders>
                    <w:tl2br w:val="nil"/>
                    <w:tr2bl w:val="nil"/>
                  </w:tcBorders>
                  <w:vAlign w:val="center"/>
                </w:tcPr>
                <w:p w14:paraId="1796C2BB">
                  <w:pPr>
                    <w:pStyle w:val="7"/>
                    <w:spacing w:line="240" w:lineRule="auto"/>
                    <w:ind w:left="0" w:firstLine="0"/>
                    <w:jc w:val="both"/>
                    <w:rPr>
                      <w:color w:val="auto"/>
                      <w:sz w:val="21"/>
                      <w:szCs w:val="21"/>
                    </w:rPr>
                  </w:pPr>
                  <w:r>
                    <w:rPr>
                      <w:color w:val="auto"/>
                      <w:sz w:val="21"/>
                      <w:szCs w:val="21"/>
                    </w:rPr>
                    <w:t>拟建项目所使用的各类原辅料</w:t>
                  </w:r>
                  <w:r>
                    <w:rPr>
                      <w:rFonts w:hint="eastAsia"/>
                      <w:color w:val="auto"/>
                      <w:sz w:val="21"/>
                      <w:szCs w:val="21"/>
                    </w:rPr>
                    <w:t>及产生物质中</w:t>
                  </w:r>
                  <w:r>
                    <w:rPr>
                      <w:color w:val="auto"/>
                      <w:sz w:val="21"/>
                      <w:szCs w:val="21"/>
                    </w:rPr>
                    <w:t>，各</w:t>
                  </w:r>
                  <w:r>
                    <w:rPr>
                      <w:rFonts w:hint="eastAsia"/>
                      <w:color w:val="auto"/>
                      <w:sz w:val="21"/>
                      <w:szCs w:val="21"/>
                    </w:rPr>
                    <w:t>风险物质</w:t>
                  </w:r>
                  <w:r>
                    <w:rPr>
                      <w:color w:val="auto"/>
                      <w:sz w:val="21"/>
                      <w:szCs w:val="21"/>
                    </w:rPr>
                    <w:t>q/Q之和为小于1，根据《建设项目环境风险评价技术导则》（HJ169-2018），本项目的环境风险潜势直接判定为I，环境风险评价可开展简单分析。</w:t>
                  </w:r>
                </w:p>
              </w:tc>
            </w:tr>
          </w:tbl>
          <w:p w14:paraId="209940B0">
            <w:pPr>
              <w:spacing w:line="360" w:lineRule="auto"/>
              <w:ind w:firstLine="482" w:firstLineChars="200"/>
              <w:rPr>
                <w:b/>
                <w:bCs/>
                <w:color w:val="auto"/>
                <w:sz w:val="24"/>
              </w:rPr>
            </w:pPr>
            <w:r>
              <w:rPr>
                <w:rFonts w:hint="eastAsia"/>
                <w:b/>
                <w:bCs/>
                <w:color w:val="auto"/>
                <w:sz w:val="24"/>
                <w:lang w:val="en-US" w:eastAsia="zh-CN"/>
              </w:rPr>
              <w:t>3、</w:t>
            </w:r>
            <w:r>
              <w:rPr>
                <w:b/>
                <w:bCs/>
                <w:color w:val="auto"/>
                <w:sz w:val="24"/>
              </w:rPr>
              <w:t>环境风险防范措施及应急要求</w:t>
            </w:r>
          </w:p>
          <w:p w14:paraId="0771596E">
            <w:pPr>
              <w:spacing w:line="360" w:lineRule="auto"/>
              <w:ind w:firstLine="480" w:firstLineChars="200"/>
              <w:rPr>
                <w:color w:val="auto"/>
                <w:sz w:val="24"/>
              </w:rPr>
            </w:pPr>
            <w:r>
              <w:rPr>
                <w:color w:val="auto"/>
                <w:sz w:val="24"/>
              </w:rPr>
              <w:t>1）火灾、燃爆事故的防范措施</w:t>
            </w:r>
          </w:p>
          <w:p w14:paraId="69D77430">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lang w:val="en-US" w:eastAsia="zh-CN"/>
              </w:rPr>
              <w:t>当发现火情时，应争分夺秒，利用着火点附</w:t>
            </w:r>
            <w:r>
              <w:rPr>
                <w:rFonts w:hint="default" w:ascii="Times New Roman" w:hAnsi="Times New Roman" w:cs="Times New Roman"/>
                <w:color w:val="auto"/>
                <w:kern w:val="0"/>
                <w:sz w:val="24"/>
              </w:rPr>
              <w:t>近的灭火器材、黄沙等应急物资，奋力将小火控制、扑灭。当火灾较小，而身边无灭火器材时，可用扫帚、拖把、衣服等工具，打灭小火</w:t>
            </w:r>
            <w:r>
              <w:rPr>
                <w:rFonts w:hint="eastAsia" w:ascii="Times New Roman" w:hAnsi="Times New Roman" w:cs="Times New Roman"/>
                <w:color w:val="auto"/>
                <w:kern w:val="0"/>
                <w:sz w:val="24"/>
                <w:lang w:eastAsia="zh-CN"/>
              </w:rPr>
              <w:t>；</w:t>
            </w:r>
            <w:r>
              <w:rPr>
                <w:rFonts w:hint="default" w:ascii="Times New Roman" w:hAnsi="Times New Roman" w:cs="Times New Roman"/>
                <w:color w:val="auto"/>
                <w:kern w:val="0"/>
                <w:sz w:val="24"/>
              </w:rPr>
              <w:t>当火灾无法小范围扑灭，并有蔓延的趋势时，应及时启动消防应急救援，打开消防栓，对易燃品存放区实施消防水灭火。当火势有无法控制趋势时，并有蔓延到其它区域工段或企业时及时拨打消防救援电话</w:t>
            </w:r>
            <w:r>
              <w:rPr>
                <w:rFonts w:hint="eastAsia" w:ascii="Times New Roman" w:hAnsi="Times New Roman" w:cs="Times New Roman"/>
                <w:color w:val="auto"/>
                <w:kern w:val="0"/>
                <w:sz w:val="24"/>
                <w:lang w:eastAsia="zh-CN"/>
              </w:rPr>
              <w:t>；</w:t>
            </w:r>
            <w:r>
              <w:rPr>
                <w:rFonts w:hint="default" w:ascii="Times New Roman" w:hAnsi="Times New Roman" w:cs="Times New Roman"/>
                <w:color w:val="auto"/>
                <w:kern w:val="0"/>
                <w:sz w:val="24"/>
              </w:rPr>
              <w:t>遇着火点离临近周边企业较近，有可能影响周边企业厂内职工时，告知做好相应的防范准备；如若周边企业尚有人员，可与这些企业达成协议，借助其他公司应急资源共同灭火</w:t>
            </w:r>
            <w:r>
              <w:rPr>
                <w:rFonts w:hint="eastAsia" w:ascii="Times New Roman" w:hAnsi="Times New Roman" w:cs="Times New Roman"/>
                <w:color w:val="auto"/>
                <w:kern w:val="0"/>
                <w:sz w:val="24"/>
                <w:lang w:eastAsia="zh-CN"/>
              </w:rPr>
              <w:t>；</w:t>
            </w:r>
            <w:r>
              <w:rPr>
                <w:rFonts w:hint="default" w:ascii="Times New Roman" w:hAnsi="Times New Roman" w:cs="Times New Roman"/>
                <w:color w:val="auto"/>
                <w:kern w:val="0"/>
                <w:sz w:val="24"/>
              </w:rPr>
              <w:t>当火灾引燃厂房或其他物质，产生大量刺鼻的浓烟，应急救援队伍应根据浓烟扩散的方向，及时通知下风向的村庄及企业按照事先设定的相关风向条件下的撤离路线撤离至安全地点</w:t>
            </w:r>
            <w:r>
              <w:rPr>
                <w:rFonts w:hint="eastAsia" w:ascii="Times New Roman" w:hAnsi="Times New Roman" w:cs="Times New Roman"/>
                <w:color w:val="auto"/>
                <w:kern w:val="0"/>
                <w:sz w:val="24"/>
                <w:lang w:eastAsia="zh-CN"/>
              </w:rPr>
              <w:t>；</w:t>
            </w:r>
            <w:r>
              <w:rPr>
                <w:rFonts w:hint="default" w:ascii="Times New Roman" w:hAnsi="Times New Roman" w:cs="Times New Roman"/>
                <w:color w:val="auto"/>
                <w:kern w:val="0"/>
                <w:sz w:val="24"/>
              </w:rPr>
              <w:t>火灾条件下的应急监测应包含CO监测项，通过对下风向不同距离CO浓度的实时监测，应急指挥中心实时参考，有助于现场救援的指挥。</w:t>
            </w:r>
          </w:p>
          <w:p w14:paraId="5476A442">
            <w:pPr>
              <w:spacing w:line="360" w:lineRule="auto"/>
              <w:ind w:firstLine="480" w:firstLineChars="200"/>
              <w:rPr>
                <w:color w:val="auto"/>
                <w:sz w:val="24"/>
              </w:rPr>
            </w:pPr>
            <w:r>
              <w:rPr>
                <w:color w:val="auto"/>
                <w:sz w:val="24"/>
              </w:rPr>
              <w:t>2）泄漏应急措施</w:t>
            </w:r>
          </w:p>
          <w:p w14:paraId="4BBE418C">
            <w:pPr>
              <w:autoSpaceDE w:val="0"/>
              <w:autoSpaceDN w:val="0"/>
              <w:adjustRightInd w:val="0"/>
              <w:spacing w:line="360" w:lineRule="auto"/>
              <w:ind w:firstLine="480" w:firstLineChars="200"/>
              <w:jc w:val="left"/>
              <w:rPr>
                <w:rFonts w:hint="eastAsia" w:eastAsia="宋体"/>
                <w:color w:val="FF0000"/>
                <w:kern w:val="0"/>
                <w:sz w:val="24"/>
                <w:lang w:val="en-US" w:eastAsia="zh-CN"/>
              </w:rPr>
            </w:pPr>
            <w:r>
              <w:rPr>
                <w:rFonts w:hint="eastAsia"/>
                <w:color w:val="FF0000"/>
                <w:kern w:val="0"/>
                <w:sz w:val="24"/>
              </w:rPr>
              <w:t>根据</w:t>
            </w:r>
            <w:r>
              <w:rPr>
                <w:color w:val="FF0000"/>
                <w:sz w:val="24"/>
                <w:lang w:val="zh-CN"/>
              </w:rPr>
              <w:t>项目污染区划分</w:t>
            </w:r>
            <w:r>
              <w:rPr>
                <w:rFonts w:hint="eastAsia"/>
                <w:color w:val="FF0000"/>
                <w:sz w:val="24"/>
              </w:rPr>
              <w:t>的</w:t>
            </w:r>
            <w:r>
              <w:rPr>
                <w:color w:val="FF0000"/>
                <w:sz w:val="24"/>
                <w:lang w:val="zh-CN"/>
              </w:rPr>
              <w:t>防渗等级</w:t>
            </w:r>
            <w:r>
              <w:rPr>
                <w:rFonts w:hint="eastAsia"/>
                <w:color w:val="FF0000"/>
                <w:sz w:val="24"/>
                <w:lang w:val="zh-CN"/>
              </w:rPr>
              <w:t>，</w:t>
            </w:r>
            <w:r>
              <w:rPr>
                <w:rFonts w:hint="eastAsia"/>
                <w:color w:val="FF0000"/>
                <w:sz w:val="24"/>
              </w:rPr>
              <w:t>项目分别针对重点防渗区、一般防渗区</w:t>
            </w:r>
            <w:r>
              <w:rPr>
                <w:rFonts w:hint="eastAsia"/>
                <w:color w:val="FF0000"/>
                <w:sz w:val="24"/>
                <w:lang w:eastAsia="zh-CN"/>
              </w:rPr>
              <w:t>、</w:t>
            </w:r>
            <w:r>
              <w:rPr>
                <w:rFonts w:hint="eastAsia"/>
                <w:color w:val="FF0000"/>
                <w:sz w:val="24"/>
                <w:lang w:val="en-US" w:eastAsia="zh-CN"/>
              </w:rPr>
              <w:t>简单防渗区</w:t>
            </w:r>
            <w:r>
              <w:rPr>
                <w:rFonts w:hint="eastAsia"/>
                <w:color w:val="FF0000"/>
                <w:sz w:val="24"/>
              </w:rPr>
              <w:t>作相对应，符合匹配的防渗措施，以预防物质泄露导致污染土壤、</w:t>
            </w:r>
            <w:r>
              <w:rPr>
                <w:rFonts w:hint="eastAsia"/>
                <w:color w:val="FF0000"/>
                <w:sz w:val="24"/>
                <w:lang w:val="en-US" w:eastAsia="zh-CN"/>
              </w:rPr>
              <w:t>地表水、</w:t>
            </w:r>
            <w:r>
              <w:rPr>
                <w:rFonts w:hint="eastAsia"/>
                <w:color w:val="FF0000"/>
                <w:sz w:val="24"/>
              </w:rPr>
              <w:t>地下水</w:t>
            </w:r>
            <w:r>
              <w:rPr>
                <w:rFonts w:hint="eastAsia"/>
                <w:color w:val="FF0000"/>
                <w:sz w:val="24"/>
                <w:lang w:eastAsia="zh-CN"/>
              </w:rPr>
              <w:t>；</w:t>
            </w:r>
            <w:r>
              <w:rPr>
                <w:rFonts w:hint="eastAsia"/>
                <w:color w:val="FF0000"/>
                <w:sz w:val="24"/>
                <w:lang w:val="en-US" w:eastAsia="zh-CN"/>
              </w:rPr>
              <w:t>项目位于高安市凯吉纸箱包装有限公司厂区内，项目厂区四周设有排水沟渠，当发生火灾时所产生的火灾消防废水可通过沟渠临时引入高安市凯吉纸箱包装有限公司厂内所设应急事故池内，并将所设排水沟渠出口处填堵（仅保留一处出口使消防废水可排入应急事故池内），以防止消防废水沿排水沟渠泄露至周边林地，</w:t>
            </w:r>
            <w:r>
              <w:rPr>
                <w:rFonts w:hint="eastAsia"/>
                <w:color w:val="FF0000"/>
                <w:sz w:val="24"/>
              </w:rPr>
              <w:t>导致</w:t>
            </w:r>
            <w:r>
              <w:rPr>
                <w:rFonts w:hint="eastAsia"/>
                <w:color w:val="FF0000"/>
                <w:sz w:val="24"/>
                <w:lang w:val="en-US" w:eastAsia="zh-CN"/>
              </w:rPr>
              <w:t>周边</w:t>
            </w:r>
            <w:r>
              <w:rPr>
                <w:rFonts w:hint="eastAsia"/>
                <w:color w:val="FF0000"/>
                <w:sz w:val="24"/>
              </w:rPr>
              <w:t>污染土壤、</w:t>
            </w:r>
            <w:r>
              <w:rPr>
                <w:rFonts w:hint="eastAsia"/>
                <w:color w:val="FF0000"/>
                <w:sz w:val="24"/>
                <w:lang w:val="en-US" w:eastAsia="zh-CN"/>
              </w:rPr>
              <w:t>地表水、</w:t>
            </w:r>
            <w:r>
              <w:rPr>
                <w:rFonts w:hint="eastAsia"/>
                <w:color w:val="FF0000"/>
                <w:sz w:val="24"/>
              </w:rPr>
              <w:t>地下水</w:t>
            </w:r>
            <w:r>
              <w:rPr>
                <w:rFonts w:hint="eastAsia"/>
                <w:color w:val="FF0000"/>
                <w:sz w:val="24"/>
                <w:lang w:eastAsia="zh-CN"/>
              </w:rPr>
              <w:t>。</w:t>
            </w:r>
          </w:p>
          <w:p w14:paraId="51DC0E19">
            <w:pPr>
              <w:spacing w:line="360" w:lineRule="auto"/>
              <w:ind w:firstLine="480" w:firstLineChars="200"/>
              <w:rPr>
                <w:color w:val="auto"/>
                <w:sz w:val="24"/>
              </w:rPr>
            </w:pPr>
            <w:r>
              <w:rPr>
                <w:color w:val="auto"/>
                <w:sz w:val="24"/>
              </w:rPr>
              <w:t>3）</w:t>
            </w:r>
            <w:r>
              <w:rPr>
                <w:rFonts w:hint="eastAsia"/>
                <w:color w:val="auto"/>
                <w:sz w:val="24"/>
                <w:lang w:val="en-US" w:eastAsia="zh-CN"/>
              </w:rPr>
              <w:t>危废间</w:t>
            </w:r>
            <w:r>
              <w:rPr>
                <w:rFonts w:hint="eastAsia"/>
                <w:color w:val="auto"/>
                <w:sz w:val="24"/>
              </w:rPr>
              <w:t>事</w:t>
            </w:r>
            <w:r>
              <w:rPr>
                <w:color w:val="auto"/>
                <w:sz w:val="24"/>
              </w:rPr>
              <w:t>故防范措施</w:t>
            </w:r>
          </w:p>
          <w:p w14:paraId="685919F8">
            <w:pPr>
              <w:autoSpaceDE w:val="0"/>
              <w:autoSpaceDN w:val="0"/>
              <w:adjustRightInd w:val="0"/>
              <w:spacing w:line="360" w:lineRule="auto"/>
              <w:ind w:firstLine="480" w:firstLineChars="200"/>
              <w:jc w:val="left"/>
              <w:rPr>
                <w:rFonts w:hint="default" w:eastAsia="宋体"/>
                <w:color w:val="auto"/>
                <w:sz w:val="24"/>
                <w:lang w:val="en-US" w:eastAsia="zh-CN"/>
              </w:rPr>
            </w:pPr>
            <w:r>
              <w:rPr>
                <w:rFonts w:hint="eastAsia"/>
                <w:color w:val="auto"/>
                <w:sz w:val="24"/>
              </w:rPr>
              <w:t>由于危废间会堆放一定数量的有害物质，当发生火灾时点燃这些有害物质会产生有害废气，于是项目</w:t>
            </w:r>
            <w:r>
              <w:rPr>
                <w:color w:val="auto"/>
                <w:sz w:val="24"/>
              </w:rPr>
              <w:t>加强</w:t>
            </w:r>
            <w:r>
              <w:rPr>
                <w:rFonts w:hint="eastAsia"/>
                <w:color w:val="auto"/>
                <w:sz w:val="24"/>
              </w:rPr>
              <w:t>对危险废物暂存间的</w:t>
            </w:r>
            <w:r>
              <w:rPr>
                <w:color w:val="auto"/>
                <w:sz w:val="24"/>
              </w:rPr>
              <w:t>管理</w:t>
            </w:r>
            <w:r>
              <w:rPr>
                <w:rFonts w:hint="eastAsia"/>
                <w:color w:val="auto"/>
                <w:sz w:val="24"/>
                <w:lang w:eastAsia="zh-CN"/>
              </w:rPr>
              <w:t>，</w:t>
            </w:r>
            <w:r>
              <w:rPr>
                <w:rFonts w:hint="eastAsia"/>
                <w:color w:val="auto"/>
                <w:sz w:val="24"/>
                <w:lang w:val="en-US" w:eastAsia="zh-CN"/>
              </w:rPr>
              <w:t>危废间</w:t>
            </w:r>
            <w:r>
              <w:rPr>
                <w:rFonts w:hint="eastAsia"/>
                <w:color w:val="auto"/>
                <w:sz w:val="24"/>
              </w:rPr>
              <w:t>为</w:t>
            </w:r>
            <w:r>
              <w:rPr>
                <w:rFonts w:hint="eastAsia"/>
                <w:color w:val="auto"/>
                <w:sz w:val="24"/>
                <w:lang w:val="en-US" w:eastAsia="zh-CN"/>
              </w:rPr>
              <w:t>铁皮房</w:t>
            </w:r>
            <w:r>
              <w:rPr>
                <w:rFonts w:hint="eastAsia"/>
                <w:color w:val="auto"/>
                <w:sz w:val="24"/>
              </w:rPr>
              <w:t>封闭性</w:t>
            </w:r>
            <w:r>
              <w:rPr>
                <w:rFonts w:hint="eastAsia"/>
                <w:color w:val="auto"/>
                <w:sz w:val="24"/>
                <w:lang w:val="en-US" w:eastAsia="zh-CN"/>
              </w:rPr>
              <w:t>建筑</w:t>
            </w:r>
            <w:r>
              <w:rPr>
                <w:rFonts w:hint="eastAsia"/>
                <w:color w:val="auto"/>
                <w:sz w:val="24"/>
              </w:rPr>
              <w:t>，</w:t>
            </w:r>
            <w:r>
              <w:rPr>
                <w:rFonts w:hint="eastAsia"/>
                <w:color w:val="auto"/>
                <w:sz w:val="24"/>
                <w:lang w:val="en-US" w:eastAsia="zh-CN"/>
              </w:rPr>
              <w:t>危废间外部发生火灾时，通常</w:t>
            </w:r>
            <w:r>
              <w:rPr>
                <w:rFonts w:hint="eastAsia"/>
                <w:color w:val="auto"/>
                <w:sz w:val="24"/>
              </w:rPr>
              <w:t>情况下不会点燃危废间内暂存的危险物品</w:t>
            </w:r>
            <w:r>
              <w:rPr>
                <w:rFonts w:hint="eastAsia"/>
                <w:color w:val="auto"/>
                <w:sz w:val="24"/>
                <w:lang w:eastAsia="zh-CN"/>
              </w:rPr>
              <w:t>；</w:t>
            </w:r>
            <w:r>
              <w:rPr>
                <w:rFonts w:hint="eastAsia"/>
                <w:color w:val="auto"/>
                <w:sz w:val="24"/>
                <w:lang w:val="en-US" w:eastAsia="zh-CN"/>
              </w:rPr>
              <w:t>当危险间内部发生火灾时，及时关闭房门可以暂时抑制有害废气的逸散，以提供一定的反应时间去处理因火灾产生的有害废气。</w:t>
            </w:r>
          </w:p>
          <w:p w14:paraId="19C5ACCA">
            <w:pPr>
              <w:spacing w:line="360" w:lineRule="auto"/>
              <w:ind w:firstLine="480" w:firstLineChars="200"/>
              <w:rPr>
                <w:color w:val="auto"/>
                <w:sz w:val="24"/>
              </w:rPr>
            </w:pPr>
            <w:r>
              <w:rPr>
                <w:color w:val="auto"/>
                <w:sz w:val="24"/>
              </w:rPr>
              <w:t>4）废气事故防范措施</w:t>
            </w:r>
          </w:p>
          <w:p w14:paraId="7D306FF3">
            <w:pPr>
              <w:spacing w:line="360" w:lineRule="auto"/>
              <w:ind w:firstLine="480" w:firstLineChars="200"/>
              <w:rPr>
                <w:color w:val="auto"/>
                <w:sz w:val="24"/>
              </w:rPr>
            </w:pPr>
            <w:r>
              <w:rPr>
                <w:color w:val="auto"/>
                <w:sz w:val="24"/>
              </w:rPr>
              <w:t>企业应加强管理，一旦</w:t>
            </w:r>
            <w:r>
              <w:rPr>
                <w:rFonts w:hint="eastAsia"/>
                <w:color w:val="auto"/>
                <w:sz w:val="24"/>
              </w:rPr>
              <w:t>排风</w:t>
            </w:r>
            <w:r>
              <w:rPr>
                <w:color w:val="auto"/>
                <w:sz w:val="24"/>
              </w:rPr>
              <w:t>系统故障，立即停产检修，防止</w:t>
            </w:r>
            <w:r>
              <w:rPr>
                <w:rFonts w:hint="eastAsia"/>
                <w:color w:val="auto"/>
                <w:sz w:val="24"/>
              </w:rPr>
              <w:t>产生的</w:t>
            </w:r>
            <w:r>
              <w:rPr>
                <w:color w:val="auto"/>
                <w:sz w:val="24"/>
              </w:rPr>
              <w:t>事故废气</w:t>
            </w:r>
            <w:r>
              <w:rPr>
                <w:rFonts w:hint="eastAsia"/>
                <w:color w:val="auto"/>
                <w:sz w:val="24"/>
              </w:rPr>
              <w:t>全部无组织</w:t>
            </w:r>
            <w:r>
              <w:rPr>
                <w:color w:val="auto"/>
                <w:sz w:val="24"/>
              </w:rPr>
              <w:t>排放。</w:t>
            </w:r>
          </w:p>
          <w:p w14:paraId="67A64701">
            <w:pPr>
              <w:spacing w:line="360" w:lineRule="auto"/>
              <w:ind w:firstLine="480" w:firstLineChars="200"/>
              <w:rPr>
                <w:color w:val="auto"/>
                <w:sz w:val="24"/>
              </w:rPr>
            </w:pPr>
            <w:r>
              <w:rPr>
                <w:rFonts w:hint="default" w:ascii="Times New Roman" w:hAnsi="Times New Roman" w:cs="Times New Roman"/>
                <w:color w:val="auto"/>
                <w:sz w:val="24"/>
              </w:rPr>
              <w:t>5）</w:t>
            </w:r>
            <w:r>
              <w:rPr>
                <w:color w:val="auto"/>
                <w:sz w:val="24"/>
              </w:rPr>
              <w:t>员工作业时穿防静电工作服，带橡胶手套。按照消防主管部门要求，配备相关的灭火装置、物资以及消防废水池。</w:t>
            </w:r>
          </w:p>
          <w:p w14:paraId="60E84F4E">
            <w:pPr>
              <w:spacing w:line="360" w:lineRule="auto"/>
              <w:ind w:firstLine="480" w:firstLineChars="200"/>
              <w:rPr>
                <w:color w:val="auto"/>
                <w:sz w:val="24"/>
              </w:rPr>
            </w:pPr>
            <w:r>
              <w:rPr>
                <w:rFonts w:hint="eastAsia"/>
                <w:color w:val="auto"/>
                <w:sz w:val="24"/>
              </w:rPr>
              <w:t>6</w:t>
            </w:r>
            <w:r>
              <w:rPr>
                <w:color w:val="auto"/>
                <w:sz w:val="24"/>
              </w:rPr>
              <w:t>）制定应急预案，定期组织应急演练。</w:t>
            </w:r>
          </w:p>
          <w:p w14:paraId="06D404E6">
            <w:pPr>
              <w:spacing w:line="360" w:lineRule="auto"/>
              <w:ind w:firstLine="482" w:firstLineChars="200"/>
              <w:rPr>
                <w:b/>
                <w:bCs/>
                <w:color w:val="auto"/>
                <w:sz w:val="24"/>
              </w:rPr>
            </w:pPr>
            <w:r>
              <w:rPr>
                <w:rFonts w:hint="eastAsia"/>
                <w:b/>
                <w:bCs/>
                <w:color w:val="auto"/>
                <w:sz w:val="24"/>
                <w:lang w:val="en-US" w:eastAsia="zh-CN"/>
              </w:rPr>
              <w:t>4、</w:t>
            </w:r>
            <w:r>
              <w:rPr>
                <w:b/>
                <w:bCs/>
                <w:color w:val="auto"/>
                <w:sz w:val="24"/>
              </w:rPr>
              <w:t>环境风险应急预案</w:t>
            </w:r>
          </w:p>
          <w:p w14:paraId="33C3A646">
            <w:pPr>
              <w:adjustRightInd w:val="0"/>
              <w:snapToGrid w:val="0"/>
              <w:spacing w:line="360" w:lineRule="auto"/>
              <w:ind w:firstLine="480" w:firstLineChars="200"/>
              <w:rPr>
                <w:color w:val="auto"/>
                <w:sz w:val="24"/>
              </w:rPr>
            </w:pPr>
            <w:r>
              <w:rPr>
                <w:color w:val="auto"/>
                <w:sz w:val="24"/>
              </w:rPr>
              <w:t>对本项目生产过程中可能出现的突发环境风险事故，建设单位必须事先制订应对突发事故的应急预案，具体如下：</w:t>
            </w:r>
          </w:p>
          <w:p w14:paraId="730E743D">
            <w:pPr>
              <w:adjustRightInd w:val="0"/>
              <w:snapToGrid w:val="0"/>
              <w:spacing w:line="360" w:lineRule="auto"/>
              <w:ind w:firstLine="480" w:firstLineChars="200"/>
              <w:rPr>
                <w:color w:val="auto"/>
                <w:sz w:val="24"/>
              </w:rPr>
            </w:pPr>
            <w:r>
              <w:rPr>
                <w:color w:val="auto"/>
                <w:sz w:val="24"/>
              </w:rPr>
              <w:fldChar w:fldCharType="begin"/>
            </w:r>
            <w:r>
              <w:rPr>
                <w:color w:val="auto"/>
                <w:sz w:val="24"/>
              </w:rPr>
              <w:instrText xml:space="preserve"> = 1 \* GB3 \* MERGEFORMAT </w:instrText>
            </w:r>
            <w:r>
              <w:rPr>
                <w:color w:val="auto"/>
                <w:sz w:val="24"/>
              </w:rPr>
              <w:fldChar w:fldCharType="separate"/>
            </w:r>
            <w:r>
              <w:rPr>
                <w:color w:val="auto"/>
                <w:sz w:val="24"/>
              </w:rPr>
              <w:t>①</w:t>
            </w:r>
            <w:r>
              <w:rPr>
                <w:color w:val="auto"/>
                <w:sz w:val="24"/>
              </w:rPr>
              <w:fldChar w:fldCharType="end"/>
            </w:r>
            <w:r>
              <w:rPr>
                <w:color w:val="auto"/>
                <w:sz w:val="24"/>
              </w:rPr>
              <w:t>应急计划区</w:t>
            </w:r>
          </w:p>
          <w:p w14:paraId="584D0E87">
            <w:pPr>
              <w:adjustRightInd w:val="0"/>
              <w:snapToGrid w:val="0"/>
              <w:spacing w:line="360" w:lineRule="auto"/>
              <w:ind w:firstLine="480" w:firstLineChars="200"/>
              <w:rPr>
                <w:rFonts w:hint="default" w:eastAsia="宋体"/>
                <w:color w:val="auto"/>
                <w:sz w:val="24"/>
                <w:lang w:val="en-US" w:eastAsia="zh-CN"/>
              </w:rPr>
            </w:pPr>
            <w:r>
              <w:rPr>
                <w:rFonts w:hint="eastAsia"/>
                <w:color w:val="auto"/>
                <w:sz w:val="24"/>
              </w:rPr>
              <w:t>一般</w:t>
            </w:r>
            <w:r>
              <w:rPr>
                <w:color w:val="auto"/>
                <w:sz w:val="24"/>
              </w:rPr>
              <w:t>而言，应急计划区应包括厂内和厂外两部分，厂内分为生产装置区；厂外包括附近</w:t>
            </w:r>
            <w:r>
              <w:rPr>
                <w:rFonts w:hint="eastAsia"/>
                <w:color w:val="auto"/>
                <w:sz w:val="24"/>
              </w:rPr>
              <w:t>现有项目的员工宿舍</w:t>
            </w:r>
            <w:r>
              <w:rPr>
                <w:color w:val="auto"/>
                <w:sz w:val="24"/>
              </w:rPr>
              <w:t>。</w:t>
            </w:r>
            <w:r>
              <w:rPr>
                <w:rFonts w:hint="eastAsia"/>
                <w:color w:val="auto"/>
                <w:sz w:val="24"/>
                <w:lang w:val="en-US" w:eastAsia="zh-CN"/>
              </w:rPr>
              <w:t>项目不设置员工宿舍，故应急计划只对厂内进行分析。</w:t>
            </w:r>
          </w:p>
          <w:p w14:paraId="538EE7FB">
            <w:pPr>
              <w:adjustRightInd w:val="0"/>
              <w:snapToGrid w:val="0"/>
              <w:spacing w:line="360" w:lineRule="auto"/>
              <w:ind w:firstLine="480" w:firstLineChars="200"/>
              <w:rPr>
                <w:color w:val="auto"/>
                <w:sz w:val="24"/>
              </w:rPr>
            </w:pPr>
            <w:r>
              <w:rPr>
                <w:color w:val="auto"/>
                <w:sz w:val="24"/>
              </w:rPr>
              <w:fldChar w:fldCharType="begin"/>
            </w:r>
            <w:r>
              <w:rPr>
                <w:color w:val="auto"/>
                <w:sz w:val="24"/>
              </w:rPr>
              <w:instrText xml:space="preserve"> = 2 \* GB3 \* MERGEFORMAT </w:instrText>
            </w:r>
            <w:r>
              <w:rPr>
                <w:color w:val="auto"/>
                <w:sz w:val="24"/>
              </w:rPr>
              <w:fldChar w:fldCharType="separate"/>
            </w:r>
            <w:r>
              <w:rPr>
                <w:color w:val="auto"/>
                <w:sz w:val="24"/>
              </w:rPr>
              <w:t>②</w:t>
            </w:r>
            <w:r>
              <w:rPr>
                <w:color w:val="auto"/>
                <w:sz w:val="24"/>
              </w:rPr>
              <w:fldChar w:fldCharType="end"/>
            </w:r>
            <w:r>
              <w:rPr>
                <w:color w:val="auto"/>
                <w:sz w:val="24"/>
              </w:rPr>
              <w:t>应急组织机构、人员</w:t>
            </w:r>
          </w:p>
          <w:p w14:paraId="3378F374">
            <w:pPr>
              <w:adjustRightInd w:val="0"/>
              <w:snapToGrid w:val="0"/>
              <w:spacing w:line="360" w:lineRule="auto"/>
              <w:ind w:firstLine="480" w:firstLineChars="200"/>
              <w:rPr>
                <w:color w:val="auto"/>
                <w:sz w:val="24"/>
              </w:rPr>
            </w:pPr>
            <w:r>
              <w:rPr>
                <w:color w:val="auto"/>
                <w:sz w:val="24"/>
              </w:rPr>
              <w:t>应设置相应的应急组织机构，并配备相应的人员。</w:t>
            </w:r>
          </w:p>
          <w:p w14:paraId="6B7B4B79">
            <w:pPr>
              <w:adjustRightInd w:val="0"/>
              <w:snapToGrid w:val="0"/>
              <w:spacing w:line="360" w:lineRule="auto"/>
              <w:ind w:firstLine="480" w:firstLineChars="200"/>
              <w:rPr>
                <w:color w:val="auto"/>
                <w:sz w:val="24"/>
              </w:rPr>
            </w:pPr>
            <w:r>
              <w:rPr>
                <w:color w:val="auto"/>
                <w:sz w:val="24"/>
              </w:rPr>
              <w:t>应急组织机构分厂内应急组织机构和地区应急组织机构，厂内应急组织机构一般可由建设单位的环保、安全、卫生、消防及通讯等方面专业人员组成事故应急救护队，人员除由上述各部门指定人员组成外，尚需配备各生产系统指定的操作人员。厂内应急组织机构为临时性机构，人员平时均在各自的系统工作，事故状态下自动形成组织。地区应急组织机构由当地生态环境、安全部门牵头组成，其组织形式与厂内应急组织机构类似。</w:t>
            </w:r>
          </w:p>
          <w:p w14:paraId="349008B1">
            <w:pPr>
              <w:adjustRightInd w:val="0"/>
              <w:snapToGrid w:val="0"/>
              <w:spacing w:line="360" w:lineRule="auto"/>
              <w:ind w:firstLine="480" w:firstLineChars="200"/>
              <w:rPr>
                <w:color w:val="auto"/>
                <w:sz w:val="24"/>
              </w:rPr>
            </w:pPr>
            <w:r>
              <w:rPr>
                <w:color w:val="auto"/>
                <w:sz w:val="24"/>
              </w:rPr>
              <w:fldChar w:fldCharType="begin"/>
            </w:r>
            <w:r>
              <w:rPr>
                <w:color w:val="auto"/>
                <w:sz w:val="24"/>
              </w:rPr>
              <w:instrText xml:space="preserve"> = 3 \* GB3 \* MERGEFORMAT </w:instrText>
            </w:r>
            <w:r>
              <w:rPr>
                <w:color w:val="auto"/>
                <w:sz w:val="24"/>
              </w:rPr>
              <w:fldChar w:fldCharType="separate"/>
            </w:r>
            <w:r>
              <w:rPr>
                <w:color w:val="auto"/>
                <w:sz w:val="24"/>
              </w:rPr>
              <w:t>③</w:t>
            </w:r>
            <w:r>
              <w:rPr>
                <w:color w:val="auto"/>
                <w:sz w:val="24"/>
              </w:rPr>
              <w:fldChar w:fldCharType="end"/>
            </w:r>
            <w:r>
              <w:rPr>
                <w:color w:val="auto"/>
                <w:sz w:val="24"/>
              </w:rPr>
              <w:t>应急救援保障</w:t>
            </w:r>
          </w:p>
          <w:p w14:paraId="132EB371">
            <w:pPr>
              <w:adjustRightInd w:val="0"/>
              <w:snapToGrid w:val="0"/>
              <w:spacing w:line="360" w:lineRule="auto"/>
              <w:ind w:firstLine="480" w:firstLineChars="200"/>
              <w:rPr>
                <w:color w:val="auto"/>
                <w:sz w:val="24"/>
              </w:rPr>
            </w:pPr>
            <w:r>
              <w:rPr>
                <w:color w:val="auto"/>
                <w:sz w:val="24"/>
              </w:rPr>
              <w:t>应急救援指挥由相应的应急组织机构实施。</w:t>
            </w:r>
          </w:p>
          <w:p w14:paraId="6E72BCAB">
            <w:pPr>
              <w:adjustRightInd w:val="0"/>
              <w:snapToGrid w:val="0"/>
              <w:spacing w:line="360" w:lineRule="auto"/>
              <w:ind w:firstLine="480" w:firstLineChars="200"/>
              <w:rPr>
                <w:color w:val="auto"/>
                <w:sz w:val="24"/>
              </w:rPr>
            </w:pPr>
            <w:r>
              <w:rPr>
                <w:color w:val="auto"/>
                <w:sz w:val="24"/>
              </w:rPr>
              <w:t>建设单位应严格按照本评价提出的风险防范措施实施应急设施的建设，并应配备抢修、救护、消防等必须用品以及通讯、交通等工具。</w:t>
            </w:r>
          </w:p>
          <w:p w14:paraId="306A045C">
            <w:pPr>
              <w:adjustRightInd w:val="0"/>
              <w:snapToGrid w:val="0"/>
              <w:spacing w:line="360" w:lineRule="auto"/>
              <w:ind w:firstLine="480" w:firstLineChars="200"/>
              <w:rPr>
                <w:color w:val="auto"/>
                <w:sz w:val="24"/>
              </w:rPr>
            </w:pPr>
            <w:r>
              <w:rPr>
                <w:color w:val="auto"/>
                <w:sz w:val="24"/>
              </w:rPr>
              <w:fldChar w:fldCharType="begin"/>
            </w:r>
            <w:r>
              <w:rPr>
                <w:color w:val="auto"/>
                <w:sz w:val="24"/>
              </w:rPr>
              <w:instrText xml:space="preserve"> = 4 \* GB3 \* MERGEFORMAT </w:instrText>
            </w:r>
            <w:r>
              <w:rPr>
                <w:color w:val="auto"/>
                <w:sz w:val="24"/>
              </w:rPr>
              <w:fldChar w:fldCharType="separate"/>
            </w:r>
            <w:r>
              <w:rPr>
                <w:color w:val="auto"/>
                <w:sz w:val="24"/>
              </w:rPr>
              <w:t>④</w:t>
            </w:r>
            <w:r>
              <w:rPr>
                <w:color w:val="auto"/>
                <w:sz w:val="24"/>
              </w:rPr>
              <w:fldChar w:fldCharType="end"/>
            </w:r>
            <w:r>
              <w:rPr>
                <w:color w:val="auto"/>
                <w:sz w:val="24"/>
              </w:rPr>
              <w:t>报警、通讯联络方式</w:t>
            </w:r>
          </w:p>
          <w:p w14:paraId="6BE0BFDB">
            <w:pPr>
              <w:adjustRightInd w:val="0"/>
              <w:snapToGrid w:val="0"/>
              <w:spacing w:line="360" w:lineRule="auto"/>
              <w:ind w:firstLine="480" w:firstLineChars="200"/>
              <w:rPr>
                <w:color w:val="auto"/>
                <w:sz w:val="24"/>
              </w:rPr>
            </w:pPr>
            <w:r>
              <w:rPr>
                <w:color w:val="auto"/>
                <w:sz w:val="24"/>
              </w:rPr>
              <w:t>当发生风险事故时采用电话方式联络，必要时可通过电台或广播通知可能受影响的居民。</w:t>
            </w:r>
          </w:p>
          <w:p w14:paraId="0AD092F5">
            <w:pPr>
              <w:adjustRightInd w:val="0"/>
              <w:snapToGrid w:val="0"/>
              <w:spacing w:line="360" w:lineRule="auto"/>
              <w:ind w:firstLine="480" w:firstLineChars="200"/>
              <w:rPr>
                <w:color w:val="auto"/>
                <w:sz w:val="24"/>
              </w:rPr>
            </w:pPr>
            <w:r>
              <w:rPr>
                <w:color w:val="auto"/>
                <w:sz w:val="24"/>
              </w:rPr>
              <w:fldChar w:fldCharType="begin"/>
            </w:r>
            <w:r>
              <w:rPr>
                <w:color w:val="auto"/>
                <w:sz w:val="24"/>
              </w:rPr>
              <w:instrText xml:space="preserve"> = 5 \* GB3 \* MERGEFORMAT </w:instrText>
            </w:r>
            <w:r>
              <w:rPr>
                <w:color w:val="auto"/>
                <w:sz w:val="24"/>
              </w:rPr>
              <w:fldChar w:fldCharType="separate"/>
            </w:r>
            <w:r>
              <w:rPr>
                <w:color w:val="auto"/>
                <w:sz w:val="24"/>
              </w:rPr>
              <w:t>⑤</w:t>
            </w:r>
            <w:r>
              <w:rPr>
                <w:color w:val="auto"/>
                <w:sz w:val="24"/>
              </w:rPr>
              <w:fldChar w:fldCharType="end"/>
            </w:r>
            <w:r>
              <w:rPr>
                <w:color w:val="auto"/>
                <w:sz w:val="24"/>
              </w:rPr>
              <w:t>应急环境监测、抢险、救援及控制措施</w:t>
            </w:r>
          </w:p>
          <w:p w14:paraId="433BB199">
            <w:pPr>
              <w:adjustRightInd w:val="0"/>
              <w:snapToGrid w:val="0"/>
              <w:spacing w:line="360" w:lineRule="auto"/>
              <w:ind w:firstLine="480" w:firstLineChars="200"/>
              <w:rPr>
                <w:color w:val="auto"/>
                <w:sz w:val="24"/>
              </w:rPr>
            </w:pPr>
            <w:r>
              <w:rPr>
                <w:color w:val="auto"/>
                <w:sz w:val="24"/>
              </w:rPr>
              <w:t>应急环境监测由</w:t>
            </w:r>
            <w:r>
              <w:rPr>
                <w:rFonts w:hint="eastAsia"/>
                <w:color w:val="auto"/>
                <w:sz w:val="24"/>
                <w:lang w:val="en-US" w:eastAsia="zh-CN"/>
              </w:rPr>
              <w:t>高安市</w:t>
            </w:r>
            <w:r>
              <w:rPr>
                <w:color w:val="auto"/>
                <w:sz w:val="24"/>
              </w:rPr>
              <w:t>环境监测站实施，必要时请求上一级环境监测机构支援。应急抢险、救援工作以事故应急救护队为主，必要时配合相关的电力、医疗等部门协同进行。</w:t>
            </w:r>
          </w:p>
          <w:p w14:paraId="2D4EFAC7">
            <w:pPr>
              <w:adjustRightInd w:val="0"/>
              <w:snapToGrid w:val="0"/>
              <w:spacing w:line="360" w:lineRule="auto"/>
              <w:ind w:firstLine="480" w:firstLineChars="200"/>
              <w:rPr>
                <w:color w:val="auto"/>
                <w:sz w:val="24"/>
              </w:rPr>
            </w:pPr>
            <w:r>
              <w:rPr>
                <w:color w:val="auto"/>
                <w:sz w:val="24"/>
              </w:rPr>
              <w:t>本工程在易发生事故的生产场所设置相应的事故应急照明设施，并设置必备的防尘防毒口罩、防护手套、防护服、防毒面具、呼吸器、急救药品与器械等事故应急器具。在工艺设计中重要设备均设置相应的备品、备件或备用系统。主要生产厂房均设置两个以上的安全出口。在通向室外主通道处设事故排风的启动按钮。</w:t>
            </w:r>
          </w:p>
          <w:p w14:paraId="3D2C103E">
            <w:pPr>
              <w:adjustRightInd w:val="0"/>
              <w:snapToGrid w:val="0"/>
              <w:spacing w:line="360" w:lineRule="auto"/>
              <w:ind w:firstLine="480" w:firstLineChars="200"/>
              <w:rPr>
                <w:color w:val="auto"/>
                <w:sz w:val="24"/>
              </w:rPr>
            </w:pPr>
            <w:r>
              <w:rPr>
                <w:color w:val="auto"/>
                <w:sz w:val="24"/>
              </w:rPr>
              <w:fldChar w:fldCharType="begin"/>
            </w:r>
            <w:r>
              <w:rPr>
                <w:color w:val="auto"/>
                <w:sz w:val="24"/>
              </w:rPr>
              <w:instrText xml:space="preserve"> = 6 \* GB3 \* MERGEFORMAT </w:instrText>
            </w:r>
            <w:r>
              <w:rPr>
                <w:color w:val="auto"/>
                <w:sz w:val="24"/>
              </w:rPr>
              <w:fldChar w:fldCharType="separate"/>
            </w:r>
            <w:r>
              <w:rPr>
                <w:color w:val="auto"/>
                <w:sz w:val="24"/>
              </w:rPr>
              <w:t>⑥</w:t>
            </w:r>
            <w:r>
              <w:rPr>
                <w:color w:val="auto"/>
                <w:sz w:val="24"/>
              </w:rPr>
              <w:fldChar w:fldCharType="end"/>
            </w:r>
            <w:r>
              <w:rPr>
                <w:color w:val="auto"/>
                <w:sz w:val="24"/>
              </w:rPr>
              <w:t>人员紧急撤离、疏散、撤离组织计划</w:t>
            </w:r>
          </w:p>
          <w:p w14:paraId="52429BBA">
            <w:pPr>
              <w:adjustRightInd w:val="0"/>
              <w:snapToGrid w:val="0"/>
              <w:spacing w:line="360" w:lineRule="auto"/>
              <w:ind w:firstLine="480" w:firstLineChars="200"/>
              <w:rPr>
                <w:color w:val="auto"/>
                <w:sz w:val="24"/>
              </w:rPr>
            </w:pPr>
            <w:r>
              <w:rPr>
                <w:color w:val="auto"/>
                <w:sz w:val="24"/>
              </w:rPr>
              <w:t>撤离组织计划由相应的应急组织机构制定并组织实施。一旦出现突发性的污染事故，相关的人员、设备等的撤离与搬迁应有序按计划进行，避免造成混乱而引发次生污染及安全事故。</w:t>
            </w:r>
          </w:p>
          <w:p w14:paraId="6B793E1F">
            <w:pPr>
              <w:adjustRightInd w:val="0"/>
              <w:snapToGrid w:val="0"/>
              <w:spacing w:line="360" w:lineRule="auto"/>
              <w:ind w:firstLine="480" w:firstLineChars="200"/>
              <w:rPr>
                <w:color w:val="auto"/>
                <w:sz w:val="24"/>
              </w:rPr>
            </w:pPr>
            <w:r>
              <w:rPr>
                <w:color w:val="auto"/>
                <w:sz w:val="24"/>
              </w:rPr>
              <w:fldChar w:fldCharType="begin"/>
            </w:r>
            <w:r>
              <w:rPr>
                <w:color w:val="auto"/>
                <w:sz w:val="24"/>
              </w:rPr>
              <w:instrText xml:space="preserve"> = 7 \* GB3 \* MERGEFORMAT </w:instrText>
            </w:r>
            <w:r>
              <w:rPr>
                <w:color w:val="auto"/>
                <w:sz w:val="24"/>
              </w:rPr>
              <w:fldChar w:fldCharType="separate"/>
            </w:r>
            <w:r>
              <w:rPr>
                <w:color w:val="auto"/>
                <w:sz w:val="24"/>
              </w:rPr>
              <w:t>⑦</w:t>
            </w:r>
            <w:r>
              <w:rPr>
                <w:color w:val="auto"/>
                <w:sz w:val="24"/>
              </w:rPr>
              <w:fldChar w:fldCharType="end"/>
            </w:r>
            <w:r>
              <w:rPr>
                <w:color w:val="auto"/>
                <w:sz w:val="24"/>
              </w:rPr>
              <w:t>事故应急救援关闭程序与恢复措施</w:t>
            </w:r>
          </w:p>
          <w:p w14:paraId="56387849">
            <w:pPr>
              <w:adjustRightInd w:val="0"/>
              <w:snapToGrid w:val="0"/>
              <w:spacing w:line="360" w:lineRule="auto"/>
              <w:ind w:firstLine="480" w:firstLineChars="200"/>
              <w:rPr>
                <w:color w:val="auto"/>
                <w:sz w:val="24"/>
              </w:rPr>
            </w:pPr>
            <w:r>
              <w:rPr>
                <w:color w:val="auto"/>
                <w:sz w:val="24"/>
              </w:rPr>
              <w:t>突发性的污染事故在得到有效控制，并使事故造成的后果均恢复到常态或使之均得到可靠的处置后，事故应急救援程序随之关闭。如再次出现突发性的污染事故，则事故应急救援程序自动恢复。事故应急救援程序的启动、关闭与恢复均由相应的应急组织机构的上一级主管部门发布。</w:t>
            </w:r>
          </w:p>
          <w:p w14:paraId="47310F12">
            <w:pPr>
              <w:adjustRightInd w:val="0"/>
              <w:snapToGrid w:val="0"/>
              <w:spacing w:line="360" w:lineRule="auto"/>
              <w:ind w:firstLine="480" w:firstLineChars="200"/>
              <w:rPr>
                <w:color w:val="auto"/>
                <w:sz w:val="24"/>
              </w:rPr>
            </w:pPr>
            <w:r>
              <w:rPr>
                <w:color w:val="auto"/>
                <w:sz w:val="24"/>
              </w:rPr>
              <w:fldChar w:fldCharType="begin"/>
            </w:r>
            <w:r>
              <w:rPr>
                <w:color w:val="auto"/>
                <w:sz w:val="24"/>
              </w:rPr>
              <w:instrText xml:space="preserve"> = 8 \* GB3 \* MERGEFORMAT </w:instrText>
            </w:r>
            <w:r>
              <w:rPr>
                <w:color w:val="auto"/>
                <w:sz w:val="24"/>
              </w:rPr>
              <w:fldChar w:fldCharType="separate"/>
            </w:r>
            <w:r>
              <w:rPr>
                <w:color w:val="auto"/>
                <w:sz w:val="24"/>
              </w:rPr>
              <w:t>⑧</w:t>
            </w:r>
            <w:r>
              <w:rPr>
                <w:color w:val="auto"/>
                <w:sz w:val="24"/>
              </w:rPr>
              <w:fldChar w:fldCharType="end"/>
            </w:r>
            <w:r>
              <w:rPr>
                <w:color w:val="auto"/>
                <w:sz w:val="24"/>
              </w:rPr>
              <w:t>应急培训计划</w:t>
            </w:r>
          </w:p>
          <w:p w14:paraId="7F251B37">
            <w:pPr>
              <w:adjustRightInd w:val="0"/>
              <w:snapToGrid w:val="0"/>
              <w:spacing w:line="360" w:lineRule="auto"/>
              <w:ind w:firstLine="480" w:firstLineChars="200"/>
              <w:rPr>
                <w:b/>
                <w:bCs/>
                <w:color w:val="auto"/>
                <w:sz w:val="24"/>
              </w:rPr>
            </w:pPr>
            <w:r>
              <w:rPr>
                <w:color w:val="auto"/>
                <w:sz w:val="24"/>
              </w:rPr>
              <w:t>建设单位应制定相应的应急培训计划，组织相关的应急组织机构人员进行相应的事故预警、事故救险与处置、事故补救措施等专业的培训，应急培训应列入企业职业技能培训计划中，纳入厂内日常生产管理计划中。</w:t>
            </w:r>
          </w:p>
          <w:p w14:paraId="66637BA8">
            <w:pPr>
              <w:adjustRightInd w:val="0"/>
              <w:snapToGrid w:val="0"/>
              <w:spacing w:line="360" w:lineRule="auto"/>
              <w:ind w:firstLine="480" w:firstLineChars="200"/>
              <w:rPr>
                <w:color w:val="auto"/>
                <w:sz w:val="24"/>
              </w:rPr>
            </w:pPr>
            <w:r>
              <w:rPr>
                <w:color w:val="auto"/>
                <w:sz w:val="24"/>
              </w:rPr>
              <w:fldChar w:fldCharType="begin"/>
            </w:r>
            <w:r>
              <w:rPr>
                <w:color w:val="auto"/>
                <w:sz w:val="24"/>
              </w:rPr>
              <w:instrText xml:space="preserve"> = 9 \* GB3 \* MERGEFORMAT </w:instrText>
            </w:r>
            <w:r>
              <w:rPr>
                <w:color w:val="auto"/>
                <w:sz w:val="24"/>
              </w:rPr>
              <w:fldChar w:fldCharType="separate"/>
            </w:r>
            <w:r>
              <w:rPr>
                <w:color w:val="auto"/>
                <w:sz w:val="24"/>
              </w:rPr>
              <w:t>⑨</w:t>
            </w:r>
            <w:r>
              <w:rPr>
                <w:color w:val="auto"/>
                <w:sz w:val="24"/>
              </w:rPr>
              <w:fldChar w:fldCharType="end"/>
            </w:r>
            <w:r>
              <w:rPr>
                <w:color w:val="auto"/>
                <w:sz w:val="24"/>
              </w:rPr>
              <w:t>应急监测计划</w:t>
            </w:r>
          </w:p>
          <w:p w14:paraId="7A6BFB1F">
            <w:pPr>
              <w:adjustRightInd w:val="0"/>
              <w:snapToGrid w:val="0"/>
              <w:spacing w:line="360" w:lineRule="auto"/>
              <w:ind w:firstLine="480" w:firstLineChars="200"/>
              <w:rPr>
                <w:rFonts w:hint="default" w:eastAsia="宋体"/>
                <w:color w:val="auto"/>
                <w:sz w:val="24"/>
                <w:lang w:val="en-US" w:eastAsia="zh-CN"/>
              </w:rPr>
            </w:pPr>
            <w:r>
              <w:rPr>
                <w:color w:val="auto"/>
                <w:sz w:val="24"/>
              </w:rPr>
              <w:t>针对因火灾爆炸或其它原因产生的物料泄漏事故</w:t>
            </w:r>
            <w:r>
              <w:rPr>
                <w:rFonts w:hint="eastAsia"/>
                <w:color w:val="auto"/>
                <w:sz w:val="24"/>
                <w:lang w:eastAsia="zh-CN"/>
              </w:rPr>
              <w:t>、</w:t>
            </w:r>
            <w:r>
              <w:rPr>
                <w:rFonts w:hint="eastAsia"/>
                <w:color w:val="FF0000"/>
                <w:sz w:val="24"/>
                <w:lang w:val="en-US" w:eastAsia="zh-CN"/>
              </w:rPr>
              <w:t>消防废水泄露事故</w:t>
            </w:r>
            <w:r>
              <w:rPr>
                <w:color w:val="auto"/>
                <w:sz w:val="24"/>
              </w:rPr>
              <w:t>，大气污染监测主要考虑在发生事故的生产装置或仓库的最近厂界或上风向对照点、事故装置的下风向厂界、下风向最近的敏感保护目标处各设置一个大气环境监测点</w:t>
            </w:r>
            <w:r>
              <w:rPr>
                <w:rFonts w:hint="eastAsia"/>
                <w:color w:val="auto"/>
                <w:sz w:val="24"/>
                <w:lang w:eastAsia="zh-CN"/>
              </w:rPr>
              <w:t>；</w:t>
            </w:r>
            <w:r>
              <w:rPr>
                <w:rFonts w:hint="eastAsia"/>
                <w:color w:val="FF0000"/>
                <w:sz w:val="24"/>
                <w:lang w:val="en-US" w:eastAsia="zh-CN"/>
              </w:rPr>
              <w:t>水污染检测主要考虑在事故点下游水流平缓处设置一个水环境监测点。</w:t>
            </w:r>
          </w:p>
          <w:p w14:paraId="1866F8E2">
            <w:pPr>
              <w:adjustRightInd w:val="0"/>
              <w:snapToGrid w:val="0"/>
              <w:spacing w:line="360" w:lineRule="auto"/>
              <w:ind w:firstLine="480" w:firstLineChars="200"/>
              <w:rPr>
                <w:color w:val="auto"/>
                <w:sz w:val="24"/>
              </w:rPr>
            </w:pPr>
            <w:r>
              <w:rPr>
                <w:color w:val="auto"/>
                <w:sz w:val="24"/>
              </w:rPr>
              <w:t>大气监测因子：</w:t>
            </w:r>
            <w:r>
              <w:rPr>
                <w:rFonts w:hint="eastAsia"/>
                <w:color w:val="auto"/>
                <w:sz w:val="24"/>
                <w:highlight w:val="none"/>
                <w:lang w:val="en-US" w:eastAsia="zh-CN"/>
              </w:rPr>
              <w:t>挥发性有机物（</w:t>
            </w:r>
            <w:r>
              <w:rPr>
                <w:rFonts w:hint="eastAsia"/>
                <w:color w:val="auto"/>
                <w:sz w:val="24"/>
                <w:szCs w:val="24"/>
                <w:highlight w:val="none"/>
                <w:lang w:val="en-US" w:eastAsia="zh-CN"/>
              </w:rPr>
              <w:t>以</w:t>
            </w:r>
            <w:r>
              <w:rPr>
                <w:rFonts w:hint="default" w:ascii="Times New Roman" w:hAnsi="Times New Roman" w:cs="Times New Roman"/>
                <w:bCs/>
                <w:color w:val="auto"/>
                <w:sz w:val="24"/>
                <w:szCs w:val="24"/>
                <w:vertAlign w:val="baseline"/>
                <w:lang w:val="en-US" w:eastAsia="zh-CN"/>
              </w:rPr>
              <w:t>NMHC</w:t>
            </w:r>
            <w:r>
              <w:rPr>
                <w:rFonts w:hint="eastAsia" w:cs="Times New Roman"/>
                <w:bCs/>
                <w:color w:val="auto"/>
                <w:sz w:val="24"/>
                <w:szCs w:val="24"/>
                <w:vertAlign w:val="baseline"/>
                <w:lang w:val="en-US" w:eastAsia="zh-CN"/>
              </w:rPr>
              <w:t>计</w:t>
            </w:r>
            <w:r>
              <w:rPr>
                <w:rFonts w:hint="eastAsia"/>
                <w:color w:val="auto"/>
                <w:sz w:val="24"/>
                <w:highlight w:val="none"/>
                <w:lang w:val="en-US" w:eastAsia="zh-CN"/>
              </w:rPr>
              <w:t>）、</w:t>
            </w:r>
            <w:r>
              <w:rPr>
                <w:rFonts w:hint="eastAsia"/>
                <w:color w:val="auto"/>
                <w:sz w:val="24"/>
                <w:highlight w:val="none"/>
              </w:rPr>
              <w:t>颗粒物</w:t>
            </w:r>
            <w:r>
              <w:rPr>
                <w:rFonts w:hint="eastAsia"/>
                <w:color w:val="auto"/>
                <w:sz w:val="24"/>
                <w:highlight w:val="none"/>
                <w:lang w:eastAsia="zh-CN"/>
              </w:rPr>
              <w:t>、</w:t>
            </w:r>
            <w:r>
              <w:rPr>
                <w:rFonts w:hint="eastAsia"/>
                <w:color w:val="auto"/>
                <w:sz w:val="24"/>
                <w:highlight w:val="none"/>
                <w:lang w:val="en-US" w:eastAsia="zh-CN"/>
              </w:rPr>
              <w:t>SO</w:t>
            </w:r>
            <w:r>
              <w:rPr>
                <w:rFonts w:hint="eastAsia"/>
                <w:color w:val="auto"/>
                <w:sz w:val="24"/>
                <w:highlight w:val="none"/>
                <w:vertAlign w:val="subscript"/>
                <w:lang w:val="en-US" w:eastAsia="zh-CN"/>
              </w:rPr>
              <w:t>2</w:t>
            </w:r>
            <w:r>
              <w:rPr>
                <w:rFonts w:hint="eastAsia"/>
                <w:color w:val="auto"/>
                <w:sz w:val="24"/>
                <w:highlight w:val="none"/>
                <w:lang w:val="en-US" w:eastAsia="zh-CN"/>
              </w:rPr>
              <w:t>、NO</w:t>
            </w:r>
            <w:r>
              <w:rPr>
                <w:rFonts w:hint="eastAsia"/>
                <w:color w:val="auto"/>
                <w:sz w:val="24"/>
                <w:highlight w:val="none"/>
                <w:vertAlign w:val="subscript"/>
                <w:lang w:val="en-US" w:eastAsia="zh-CN"/>
              </w:rPr>
              <w:t>X</w:t>
            </w:r>
            <w:r>
              <w:rPr>
                <w:color w:val="auto"/>
                <w:sz w:val="24"/>
              </w:rPr>
              <w:t>。</w:t>
            </w:r>
          </w:p>
          <w:p w14:paraId="2FDC8FE4">
            <w:pPr>
              <w:adjustRightInd w:val="0"/>
              <w:snapToGrid w:val="0"/>
              <w:spacing w:line="360" w:lineRule="auto"/>
              <w:ind w:firstLine="480" w:firstLineChars="200"/>
              <w:rPr>
                <w:rFonts w:hint="default" w:eastAsia="宋体"/>
                <w:color w:val="FF0000"/>
                <w:sz w:val="24"/>
                <w:lang w:val="en-US" w:eastAsia="zh-CN"/>
              </w:rPr>
            </w:pPr>
            <w:r>
              <w:rPr>
                <w:rFonts w:hint="eastAsia"/>
                <w:color w:val="FF0000"/>
                <w:sz w:val="24"/>
                <w:lang w:val="en-US" w:eastAsia="zh-CN"/>
              </w:rPr>
              <w:t>地表水、地下水监测因子：CODcr、SS、NH</w:t>
            </w:r>
            <w:r>
              <w:rPr>
                <w:rFonts w:hint="eastAsia"/>
                <w:color w:val="FF0000"/>
                <w:sz w:val="24"/>
                <w:vertAlign w:val="subscript"/>
                <w:lang w:val="en-US" w:eastAsia="zh-CN"/>
              </w:rPr>
              <w:t>3</w:t>
            </w:r>
            <w:r>
              <w:rPr>
                <w:rFonts w:hint="eastAsia"/>
                <w:color w:val="FF0000"/>
                <w:sz w:val="24"/>
                <w:lang w:val="en-US" w:eastAsia="zh-CN"/>
              </w:rPr>
              <w:t>-N。</w:t>
            </w:r>
          </w:p>
          <w:p w14:paraId="5ABDA45E">
            <w:pPr>
              <w:adjustRightInd w:val="0"/>
              <w:snapToGrid w:val="0"/>
              <w:spacing w:line="360" w:lineRule="auto"/>
              <w:ind w:firstLine="480" w:firstLineChars="200"/>
              <w:rPr>
                <w:color w:val="auto"/>
                <w:sz w:val="24"/>
              </w:rPr>
            </w:pPr>
            <w:r>
              <w:rPr>
                <w:color w:val="auto"/>
                <w:sz w:val="24"/>
              </w:rPr>
              <w:t>大气监测频次：监测频次为1天4次，紧急情况时可增加为1次/2小时，监测一天。</w:t>
            </w:r>
          </w:p>
          <w:p w14:paraId="4CAAFE93">
            <w:pPr>
              <w:adjustRightInd w:val="0"/>
              <w:snapToGrid w:val="0"/>
              <w:spacing w:line="360" w:lineRule="auto"/>
              <w:ind w:firstLine="480" w:firstLineChars="200"/>
              <w:rPr>
                <w:rFonts w:hint="default" w:eastAsia="宋体"/>
                <w:color w:val="FF0000"/>
                <w:sz w:val="24"/>
                <w:lang w:val="en-US" w:eastAsia="zh-CN"/>
              </w:rPr>
            </w:pPr>
            <w:r>
              <w:rPr>
                <w:rFonts w:hint="eastAsia"/>
                <w:color w:val="FF0000"/>
                <w:sz w:val="24"/>
                <w:lang w:val="en-US" w:eastAsia="zh-CN"/>
              </w:rPr>
              <w:t>地表水、地下水监测频次：</w:t>
            </w:r>
            <w:r>
              <w:rPr>
                <w:color w:val="FF0000"/>
                <w:sz w:val="24"/>
              </w:rPr>
              <w:t>监测频次为1天4次，紧急情况时可增加为1次/2小时，监测一天。</w:t>
            </w:r>
          </w:p>
          <w:bookmarkEnd w:id="1"/>
          <w:bookmarkEnd w:id="2"/>
          <w:bookmarkEnd w:id="3"/>
          <w:bookmarkEnd w:id="4"/>
          <w:bookmarkEnd w:id="5"/>
          <w:bookmarkEnd w:id="6"/>
          <w:bookmarkEnd w:id="7"/>
          <w:bookmarkEnd w:id="8"/>
          <w:bookmarkEnd w:id="9"/>
          <w:bookmarkEnd w:id="10"/>
          <w:bookmarkEnd w:id="11"/>
          <w:bookmarkEnd w:id="12"/>
          <w:bookmarkEnd w:id="13"/>
          <w:p w14:paraId="6733EA82">
            <w:pPr>
              <w:spacing w:line="360" w:lineRule="auto"/>
              <w:ind w:firstLine="482" w:firstLineChars="200"/>
              <w:rPr>
                <w:b/>
                <w:bCs/>
                <w:color w:val="auto"/>
                <w:sz w:val="24"/>
              </w:rPr>
            </w:pPr>
            <w:r>
              <w:rPr>
                <w:rFonts w:hint="eastAsia"/>
                <w:b/>
                <w:bCs/>
                <w:color w:val="auto"/>
                <w:sz w:val="24"/>
                <w:lang w:val="en-US" w:eastAsia="zh-CN"/>
              </w:rPr>
              <w:t>七</w:t>
            </w:r>
            <w:r>
              <w:rPr>
                <w:b/>
                <w:bCs/>
                <w:color w:val="auto"/>
                <w:sz w:val="24"/>
              </w:rPr>
              <w:t>、环境管理</w:t>
            </w:r>
          </w:p>
          <w:p w14:paraId="64050956">
            <w:pPr>
              <w:spacing w:line="360" w:lineRule="auto"/>
              <w:ind w:firstLine="480" w:firstLineChars="200"/>
              <w:rPr>
                <w:color w:val="auto"/>
                <w:sz w:val="24"/>
              </w:rPr>
            </w:pPr>
            <w:r>
              <w:rPr>
                <w:color w:val="auto"/>
                <w:sz w:val="24"/>
              </w:rPr>
              <w:t>建设项目环境保护管理是指工程在营运期执行和遵守国家、省、市有关环境保护法律、法规、政策和标准，接受地方生态环境主管部门的环境监督，调整和制定环境保护规划和目标，把不利影响减免到最低限度，加强项目环境管理，及时调整工程运行方式和环境保护措施，最终达到保护环境的目的，取得更好的综合环境效益。</w:t>
            </w:r>
          </w:p>
          <w:p w14:paraId="2D8850F3">
            <w:pPr>
              <w:spacing w:line="360" w:lineRule="auto"/>
              <w:ind w:firstLine="480" w:firstLineChars="200"/>
              <w:rPr>
                <w:color w:val="auto"/>
                <w:sz w:val="24"/>
              </w:rPr>
            </w:pPr>
            <w:r>
              <w:rPr>
                <w:rFonts w:hint="eastAsia"/>
                <w:color w:val="auto"/>
                <w:sz w:val="24"/>
                <w:lang w:val="en-US" w:eastAsia="zh-CN"/>
              </w:rPr>
              <w:t>1、</w:t>
            </w:r>
            <w:r>
              <w:rPr>
                <w:color w:val="auto"/>
                <w:sz w:val="24"/>
              </w:rPr>
              <w:t>环境管理机构与人员</w:t>
            </w:r>
          </w:p>
          <w:p w14:paraId="6A3853E9">
            <w:pPr>
              <w:spacing w:line="360" w:lineRule="auto"/>
              <w:ind w:firstLine="480" w:firstLineChars="200"/>
              <w:rPr>
                <w:color w:val="auto"/>
                <w:sz w:val="24"/>
              </w:rPr>
            </w:pPr>
            <w:r>
              <w:rPr>
                <w:color w:val="auto"/>
                <w:sz w:val="24"/>
              </w:rPr>
              <w:t>运营期环境管理主体为</w:t>
            </w:r>
            <w:r>
              <w:rPr>
                <w:rFonts w:hint="eastAsia"/>
                <w:color w:val="auto"/>
                <w:sz w:val="24"/>
                <w:highlight w:val="none"/>
                <w:lang w:val="en-US" w:eastAsia="zh-CN"/>
              </w:rPr>
              <w:t>高安市金峰彩印有限公司</w:t>
            </w:r>
            <w:r>
              <w:rPr>
                <w:color w:val="auto"/>
                <w:sz w:val="24"/>
              </w:rPr>
              <w:t>，负责具体的环境管理和监测，环境监测可委托有资质的监测单位进行。</w:t>
            </w:r>
          </w:p>
          <w:p w14:paraId="3D253B22">
            <w:pPr>
              <w:spacing w:line="360" w:lineRule="auto"/>
              <w:ind w:firstLine="480" w:firstLineChars="200"/>
              <w:rPr>
                <w:color w:val="auto"/>
                <w:sz w:val="24"/>
              </w:rPr>
            </w:pPr>
            <w:r>
              <w:rPr>
                <w:rFonts w:hint="eastAsia"/>
                <w:color w:val="auto"/>
                <w:sz w:val="24"/>
                <w:lang w:val="en-US" w:eastAsia="zh-CN"/>
              </w:rPr>
              <w:t>2、</w:t>
            </w:r>
            <w:r>
              <w:rPr>
                <w:color w:val="auto"/>
                <w:sz w:val="24"/>
              </w:rPr>
              <w:t>环境管理机构职责</w:t>
            </w:r>
          </w:p>
          <w:p w14:paraId="5AF55EA3">
            <w:pPr>
              <w:spacing w:line="360" w:lineRule="auto"/>
              <w:ind w:firstLine="480" w:firstLineChars="200"/>
              <w:rPr>
                <w:color w:val="auto"/>
                <w:sz w:val="24"/>
              </w:rPr>
            </w:pPr>
            <w:r>
              <w:rPr>
                <w:color w:val="auto"/>
                <w:sz w:val="24"/>
              </w:rPr>
              <w:t>环境管理机构负责项目营运期的环境管理与环境监测工作，主要职责：</w:t>
            </w:r>
          </w:p>
          <w:p w14:paraId="3836F1CF">
            <w:pPr>
              <w:spacing w:line="360" w:lineRule="auto"/>
              <w:ind w:firstLine="480" w:firstLineChars="200"/>
              <w:rPr>
                <w:color w:val="auto"/>
                <w:sz w:val="24"/>
              </w:rPr>
            </w:pPr>
            <w:r>
              <w:rPr>
                <w:color w:val="auto"/>
                <w:sz w:val="24"/>
              </w:rPr>
              <w:t>1）编制、提出该项目营运期的短期环境保护计划及长远环境保护规划。</w:t>
            </w:r>
          </w:p>
          <w:p w14:paraId="26FF407F">
            <w:pPr>
              <w:spacing w:line="360" w:lineRule="auto"/>
              <w:ind w:firstLine="480" w:firstLineChars="200"/>
              <w:rPr>
                <w:color w:val="auto"/>
                <w:sz w:val="24"/>
              </w:rPr>
            </w:pPr>
            <w:r>
              <w:rPr>
                <w:color w:val="auto"/>
                <w:sz w:val="24"/>
              </w:rPr>
              <w:t>2）贯彻落实国家和地方的环境保护法律、法规、政策和标准，直接接受生态环境主管部门的监督、领导，配合生态环境主管部门作好环保工作。</w:t>
            </w:r>
          </w:p>
          <w:p w14:paraId="4EAFDB19">
            <w:pPr>
              <w:spacing w:line="360" w:lineRule="auto"/>
              <w:ind w:firstLine="480" w:firstLineChars="200"/>
              <w:rPr>
                <w:color w:val="auto"/>
                <w:sz w:val="24"/>
              </w:rPr>
            </w:pPr>
            <w:r>
              <w:rPr>
                <w:color w:val="auto"/>
                <w:sz w:val="24"/>
              </w:rPr>
              <w:t>3）领导并组织环境监测工作，制定和实施监测方案，定期向主管部门及生态环境主管部门上报。</w:t>
            </w:r>
          </w:p>
          <w:p w14:paraId="3BEE2089">
            <w:pPr>
              <w:spacing w:line="360" w:lineRule="auto"/>
              <w:ind w:firstLine="480" w:firstLineChars="200"/>
              <w:rPr>
                <w:color w:val="auto"/>
                <w:sz w:val="24"/>
              </w:rPr>
            </w:pPr>
            <w:r>
              <w:rPr>
                <w:color w:val="auto"/>
                <w:sz w:val="24"/>
              </w:rPr>
              <w:t>4）监督项目各排污口污染物排放情况，按《环境保护图形标志-排放口（源）》（GB15562.1-1995）的图形，在各气、水、声排污口（源）挂牌标识，做到各排污口（源）的环保标志明显，便于企业管理和公众监督，确保污染物达到国家排放标准。</w:t>
            </w:r>
          </w:p>
          <w:p w14:paraId="4F1D0B38">
            <w:pPr>
              <w:spacing w:line="360" w:lineRule="auto"/>
              <w:ind w:firstLine="480" w:firstLineChars="200"/>
              <w:rPr>
                <w:color w:val="auto"/>
                <w:sz w:val="24"/>
              </w:rPr>
            </w:pPr>
            <w:r>
              <w:rPr>
                <w:rFonts w:hint="eastAsia"/>
                <w:color w:val="auto"/>
                <w:sz w:val="24"/>
                <w:lang w:val="en-US" w:eastAsia="zh-CN"/>
              </w:rPr>
              <w:t>3、</w:t>
            </w:r>
            <w:r>
              <w:rPr>
                <w:color w:val="auto"/>
                <w:sz w:val="24"/>
              </w:rPr>
              <w:t>项目运营期的环境保护管理</w:t>
            </w:r>
          </w:p>
          <w:p w14:paraId="5D58F19F">
            <w:pPr>
              <w:spacing w:line="360" w:lineRule="auto"/>
              <w:ind w:firstLine="480" w:firstLineChars="200"/>
              <w:rPr>
                <w:color w:val="auto"/>
                <w:sz w:val="24"/>
              </w:rPr>
            </w:pPr>
            <w:r>
              <w:rPr>
                <w:color w:val="auto"/>
                <w:sz w:val="24"/>
              </w:rPr>
              <w:t>1）根据国家环保政策、标准及环境监测要求，制定该项目营运期环保管理规章制度、各种污染物排放控制指标；</w:t>
            </w:r>
          </w:p>
          <w:p w14:paraId="47E26E5C">
            <w:pPr>
              <w:spacing w:line="360" w:lineRule="auto"/>
              <w:ind w:firstLine="480" w:firstLineChars="200"/>
              <w:rPr>
                <w:color w:val="auto"/>
                <w:sz w:val="24"/>
              </w:rPr>
            </w:pPr>
            <w:r>
              <w:rPr>
                <w:color w:val="auto"/>
                <w:sz w:val="24"/>
              </w:rPr>
              <w:t>2）负责该项目内所有环保设施的日常运行管理，保障各环保设施的正常运行，并对环保设施的改进提出积极的建议；</w:t>
            </w:r>
          </w:p>
          <w:p w14:paraId="062B52C5">
            <w:pPr>
              <w:spacing w:line="360" w:lineRule="auto"/>
              <w:ind w:firstLine="480" w:firstLineChars="200"/>
              <w:rPr>
                <w:color w:val="auto"/>
                <w:sz w:val="24"/>
              </w:rPr>
            </w:pPr>
            <w:r>
              <w:rPr>
                <w:color w:val="auto"/>
                <w:sz w:val="24"/>
              </w:rPr>
              <w:t>3）负责该项目营运期环境监测工作，及时掌握该项目污染状况，整理监测数据，建立污染源档案；</w:t>
            </w:r>
          </w:p>
          <w:p w14:paraId="3E73986C">
            <w:pPr>
              <w:spacing w:line="360" w:lineRule="auto"/>
              <w:ind w:firstLine="480" w:firstLineChars="200"/>
              <w:rPr>
                <w:color w:val="auto"/>
                <w:sz w:val="24"/>
              </w:rPr>
            </w:pPr>
            <w:r>
              <w:rPr>
                <w:color w:val="auto"/>
                <w:sz w:val="24"/>
              </w:rPr>
              <w:t>4）负责对本单位职工和周边居民进行环保宣传工作；</w:t>
            </w:r>
          </w:p>
          <w:p w14:paraId="6183F1B3">
            <w:pPr>
              <w:spacing w:line="360" w:lineRule="auto"/>
              <w:ind w:firstLine="480" w:firstLineChars="200"/>
              <w:rPr>
                <w:color w:val="auto"/>
                <w:sz w:val="24"/>
              </w:rPr>
            </w:pPr>
            <w:r>
              <w:rPr>
                <w:color w:val="auto"/>
                <w:sz w:val="24"/>
              </w:rPr>
              <w:t>5）</w:t>
            </w:r>
            <w:r>
              <w:rPr>
                <w:rFonts w:hint="eastAsia"/>
                <w:color w:val="auto"/>
                <w:sz w:val="24"/>
                <w:lang w:val="en-US" w:eastAsia="zh-CN"/>
              </w:rPr>
              <w:t>危险废物的</w:t>
            </w:r>
            <w:r>
              <w:rPr>
                <w:color w:val="auto"/>
                <w:sz w:val="24"/>
              </w:rPr>
              <w:t>产生、收运、处置单位要建立台账，详细记录</w:t>
            </w:r>
            <w:r>
              <w:rPr>
                <w:rFonts w:hint="eastAsia"/>
                <w:color w:val="auto"/>
                <w:sz w:val="24"/>
                <w:lang w:val="en-US" w:eastAsia="zh-CN"/>
              </w:rPr>
              <w:t>危险废物</w:t>
            </w:r>
            <w:r>
              <w:rPr>
                <w:color w:val="auto"/>
                <w:sz w:val="24"/>
              </w:rPr>
              <w:t>的种类、数量、去向、用途等情况，定期向监管部门报告。</w:t>
            </w:r>
          </w:p>
          <w:p w14:paraId="3A05FA11">
            <w:pPr>
              <w:spacing w:line="360" w:lineRule="auto"/>
              <w:ind w:firstLine="482" w:firstLineChars="200"/>
              <w:rPr>
                <w:b/>
                <w:bCs/>
                <w:color w:val="auto"/>
                <w:sz w:val="24"/>
              </w:rPr>
            </w:pPr>
            <w:r>
              <w:rPr>
                <w:rFonts w:hint="eastAsia"/>
                <w:b/>
                <w:bCs/>
                <w:color w:val="auto"/>
                <w:sz w:val="24"/>
                <w:lang w:val="en-US" w:eastAsia="zh-CN"/>
              </w:rPr>
              <w:t>八</w:t>
            </w:r>
            <w:r>
              <w:rPr>
                <w:b/>
                <w:bCs/>
                <w:color w:val="auto"/>
                <w:sz w:val="24"/>
              </w:rPr>
              <w:t>、排污口规范化要求</w:t>
            </w:r>
          </w:p>
          <w:p w14:paraId="739A2427">
            <w:pPr>
              <w:spacing w:line="360" w:lineRule="auto"/>
              <w:ind w:firstLine="480" w:firstLineChars="200"/>
              <w:rPr>
                <w:color w:val="auto"/>
                <w:sz w:val="24"/>
              </w:rPr>
            </w:pPr>
            <w:r>
              <w:rPr>
                <w:color w:val="auto"/>
                <w:sz w:val="24"/>
              </w:rPr>
              <w:t>根据国家标准《环境保护图形标志-排放口（源）》和生态环境部《排污口规范化整治要求（试行）》的技术要求，企业所有排放口，包括水、气、声、固体废物，必须按照</w:t>
            </w:r>
            <w:r>
              <w:rPr>
                <w:rFonts w:hint="eastAsia"/>
                <w:color w:val="auto"/>
                <w:sz w:val="24"/>
              </w:rPr>
              <w:t>“</w:t>
            </w:r>
            <w:r>
              <w:rPr>
                <w:color w:val="auto"/>
                <w:sz w:val="24"/>
              </w:rPr>
              <w:t>便于计量监测、便于日常现场监督检查</w:t>
            </w:r>
            <w:r>
              <w:rPr>
                <w:rFonts w:hint="eastAsia"/>
                <w:color w:val="auto"/>
                <w:sz w:val="24"/>
              </w:rPr>
              <w:t>”</w:t>
            </w:r>
            <w:r>
              <w:rPr>
                <w:color w:val="auto"/>
                <w:sz w:val="24"/>
              </w:rPr>
              <w:t>的原则和规范化要求，设置与之相适应的环境保护图形标志牌，绘制企业排污口分布图，同时对污水排放口安装流量计，对治理设施安装运行监控装置。排污口的规范化要符合生态环境部门的有关要求。</w:t>
            </w:r>
          </w:p>
          <w:p w14:paraId="2CF7A595">
            <w:pPr>
              <w:spacing w:line="360" w:lineRule="auto"/>
              <w:ind w:firstLine="480" w:firstLineChars="200"/>
              <w:rPr>
                <w:color w:val="auto"/>
                <w:sz w:val="24"/>
              </w:rPr>
            </w:pPr>
            <w:r>
              <w:rPr>
                <w:rFonts w:hint="eastAsia"/>
                <w:color w:val="auto"/>
                <w:sz w:val="24"/>
                <w:lang w:val="en-US" w:eastAsia="zh-CN"/>
              </w:rPr>
              <w:t>1、</w:t>
            </w:r>
            <w:r>
              <w:rPr>
                <w:color w:val="auto"/>
                <w:sz w:val="24"/>
              </w:rPr>
              <w:t>排放口整治要求</w:t>
            </w:r>
          </w:p>
          <w:p w14:paraId="15E0E46B">
            <w:pPr>
              <w:spacing w:line="360" w:lineRule="auto"/>
              <w:ind w:firstLine="480" w:firstLineChars="200"/>
              <w:rPr>
                <w:color w:val="auto"/>
                <w:sz w:val="24"/>
              </w:rPr>
            </w:pPr>
            <w:r>
              <w:rPr>
                <w:color w:val="auto"/>
                <w:sz w:val="24"/>
              </w:rPr>
              <w:t>废水排污口、废气排气筒应设置便于采样、监测，并符合《污染源监测技术规范》要求的采样口和采样平台，无法满足《规范》要求的应由环境监测部门确认采样口位置。对无组织排放的有毒有害气体，应加装引风装置，进行收集、处理，并设置采样点。固体废物贮存、堆放场整治要求。一般固体废物应设置专用贮存、堆放场地。有毒有害固体废物等废物应设置有防扬散、防流失、防渗漏等防治措施的专用堆放场所。在厂界噪声敏感处按《污染源监测技术规范》设置该噪声源的监测点。</w:t>
            </w:r>
          </w:p>
          <w:p w14:paraId="1C62F45D">
            <w:pPr>
              <w:spacing w:line="360" w:lineRule="auto"/>
              <w:ind w:firstLine="480" w:firstLineChars="200"/>
              <w:rPr>
                <w:color w:val="auto"/>
                <w:sz w:val="24"/>
              </w:rPr>
            </w:pPr>
            <w:r>
              <w:rPr>
                <w:rFonts w:hint="eastAsia"/>
                <w:color w:val="auto"/>
                <w:sz w:val="24"/>
                <w:lang w:val="en-US" w:eastAsia="zh-CN"/>
              </w:rPr>
              <w:t>2、</w:t>
            </w:r>
            <w:r>
              <w:rPr>
                <w:color w:val="auto"/>
                <w:sz w:val="24"/>
              </w:rPr>
              <w:t>排放口立标、建档要求</w:t>
            </w:r>
          </w:p>
          <w:p w14:paraId="7A920ADC">
            <w:pPr>
              <w:spacing w:line="360" w:lineRule="auto"/>
              <w:ind w:firstLine="480" w:firstLineChars="200"/>
              <w:rPr>
                <w:color w:val="auto"/>
                <w:sz w:val="24"/>
              </w:rPr>
            </w:pPr>
            <w:r>
              <w:rPr>
                <w:color w:val="auto"/>
                <w:sz w:val="24"/>
              </w:rPr>
              <w:t>1）排放口立标要求</w:t>
            </w:r>
          </w:p>
          <w:p w14:paraId="21AAB5F3">
            <w:pPr>
              <w:spacing w:line="360" w:lineRule="auto"/>
              <w:ind w:firstLine="480" w:firstLineChars="200"/>
              <w:rPr>
                <w:color w:val="auto"/>
                <w:sz w:val="24"/>
              </w:rPr>
            </w:pPr>
            <w:r>
              <w:rPr>
                <w:color w:val="auto"/>
                <w:sz w:val="24"/>
              </w:rPr>
              <w:t>污染物排放口（源）及固体废物贮存、堆放场必须按照国家标准《环境保护图形标志》（GB15562.1-1995）的规定设置与之相适应的环境保护图形标志牌。环境保护图形标志牌设置位置应距污染物排放口（源）、固体废物贮存（堆放）场或采样点较近且醒目处，并能长久保留。一般污染物排放口（源）、固体废物贮存（堆放）场设置提示性环境保护图形标志牌；危险废物贮存（堆放）场应设置警告性环境保护图形标志牌。</w:t>
            </w:r>
          </w:p>
          <w:p w14:paraId="75EE397F">
            <w:pPr>
              <w:spacing w:line="360" w:lineRule="auto"/>
              <w:ind w:firstLine="480" w:firstLineChars="200"/>
              <w:rPr>
                <w:color w:val="auto"/>
                <w:sz w:val="24"/>
              </w:rPr>
            </w:pPr>
            <w:r>
              <w:rPr>
                <w:color w:val="auto"/>
                <w:sz w:val="24"/>
              </w:rPr>
              <w:t>2）排放口建档要求</w:t>
            </w:r>
          </w:p>
          <w:p w14:paraId="78DFFFF3">
            <w:pPr>
              <w:spacing w:line="360" w:lineRule="auto"/>
              <w:ind w:firstLine="480" w:firstLineChars="200"/>
              <w:rPr>
                <w:color w:val="auto"/>
                <w:sz w:val="24"/>
              </w:rPr>
            </w:pPr>
            <w:r>
              <w:rPr>
                <w:color w:val="auto"/>
                <w:sz w:val="24"/>
              </w:rPr>
              <w:t>建设单位应使用生态环境部门签发给的《中华人民共和国规范化排放口登记证》并按要求认真填写。登记证与标志牌配套使用，根据登记证的内容建立排放口管理档案，包括排污单位名称、排污口性质及编号、排污口地理位置、排放主要污染物种类、数量、浓度、排污去向、立标情况、处理设施运行情况及整改意见等。</w:t>
            </w:r>
          </w:p>
          <w:p w14:paraId="56B5E5FE">
            <w:pPr>
              <w:spacing w:line="360" w:lineRule="auto"/>
              <w:ind w:firstLine="480" w:firstLineChars="200"/>
              <w:rPr>
                <w:b/>
                <w:bCs/>
                <w:color w:val="auto"/>
                <w:sz w:val="24"/>
              </w:rPr>
            </w:pPr>
            <w:r>
              <w:rPr>
                <w:color w:val="auto"/>
                <w:sz w:val="24"/>
              </w:rPr>
              <w:t>水、气、声、固排污口（源）挂牌标识见表4-</w:t>
            </w:r>
            <w:r>
              <w:rPr>
                <w:rFonts w:hint="eastAsia"/>
                <w:color w:val="auto"/>
                <w:sz w:val="24"/>
                <w:lang w:val="en-US" w:eastAsia="zh-CN"/>
              </w:rPr>
              <w:t>23</w:t>
            </w:r>
            <w:r>
              <w:rPr>
                <w:color w:val="auto"/>
                <w:sz w:val="24"/>
              </w:rPr>
              <w:t>。</w:t>
            </w:r>
          </w:p>
          <w:p w14:paraId="0BA8E2F8">
            <w:pPr>
              <w:pStyle w:val="90"/>
              <w:keepNext w:val="0"/>
              <w:keepLines w:val="0"/>
              <w:pageBreakBefore w:val="0"/>
              <w:widowControl/>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eastAsia="宋体" w:cs="Times New Roman"/>
                <w:b/>
                <w:bCs w:val="0"/>
                <w:color w:val="auto"/>
                <w:spacing w:val="0"/>
                <w:w w:val="100"/>
                <w:position w:val="0"/>
                <w:sz w:val="24"/>
                <w:szCs w:val="24"/>
                <w:highlight w:val="none"/>
                <w:lang w:eastAsia="zh-CN"/>
              </w:rPr>
            </w:pPr>
            <w:r>
              <w:rPr>
                <w:rFonts w:hint="default" w:ascii="Times New Roman" w:hAnsi="Times New Roman" w:eastAsia="宋体" w:cs="Times New Roman"/>
                <w:b/>
                <w:bCs w:val="0"/>
                <w:color w:val="auto"/>
                <w:spacing w:val="0"/>
                <w:w w:val="100"/>
                <w:position w:val="0"/>
                <w:sz w:val="24"/>
                <w:szCs w:val="24"/>
                <w:highlight w:val="none"/>
                <w:lang w:eastAsia="zh-CN"/>
              </w:rPr>
              <w:t>表4-</w:t>
            </w:r>
            <w:r>
              <w:rPr>
                <w:rFonts w:hint="eastAsia" w:cs="Times New Roman"/>
                <w:b/>
                <w:bCs w:val="0"/>
                <w:color w:val="auto"/>
                <w:spacing w:val="0"/>
                <w:w w:val="100"/>
                <w:position w:val="0"/>
                <w:sz w:val="24"/>
                <w:szCs w:val="24"/>
                <w:highlight w:val="none"/>
                <w:lang w:val="en-US" w:eastAsia="zh-CN"/>
              </w:rPr>
              <w:t>23</w:t>
            </w:r>
            <w:r>
              <w:rPr>
                <w:rFonts w:hint="default" w:ascii="Times New Roman" w:hAnsi="Times New Roman" w:eastAsia="宋体" w:cs="Times New Roman"/>
                <w:b/>
                <w:bCs w:val="0"/>
                <w:color w:val="auto"/>
                <w:spacing w:val="0"/>
                <w:w w:val="100"/>
                <w:position w:val="0"/>
                <w:sz w:val="24"/>
                <w:szCs w:val="24"/>
                <w:highlight w:val="none"/>
                <w:lang w:eastAsia="zh-CN"/>
              </w:rPr>
              <w:t xml:space="preserve">  环境保护图形符号一览表</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1521"/>
              <w:gridCol w:w="1521"/>
              <w:gridCol w:w="1516"/>
              <w:gridCol w:w="3244"/>
            </w:tblGrid>
            <w:tr w14:paraId="45ED2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14:paraId="429B6AC2">
                  <w:pPr>
                    <w:widowControl/>
                    <w:jc w:val="center"/>
                    <w:textAlignment w:val="center"/>
                    <w:rPr>
                      <w:color w:val="auto"/>
                      <w:sz w:val="24"/>
                    </w:rPr>
                  </w:pPr>
                  <w:r>
                    <w:rPr>
                      <w:b/>
                      <w:bCs/>
                      <w:color w:val="auto"/>
                    </w:rPr>
                    <w:t>序号</w:t>
                  </w:r>
                </w:p>
              </w:tc>
              <w:tc>
                <w:tcPr>
                  <w:tcW w:w="899" w:type="pct"/>
                  <w:vAlign w:val="center"/>
                </w:tcPr>
                <w:p w14:paraId="7FE57F66">
                  <w:pPr>
                    <w:widowControl/>
                    <w:jc w:val="center"/>
                    <w:textAlignment w:val="center"/>
                    <w:rPr>
                      <w:color w:val="auto"/>
                      <w:sz w:val="24"/>
                    </w:rPr>
                  </w:pPr>
                  <w:r>
                    <w:rPr>
                      <w:b/>
                      <w:bCs/>
                      <w:color w:val="auto"/>
                    </w:rPr>
                    <w:t>提示图形符号</w:t>
                  </w:r>
                </w:p>
              </w:tc>
              <w:tc>
                <w:tcPr>
                  <w:tcW w:w="899" w:type="pct"/>
                  <w:vAlign w:val="center"/>
                </w:tcPr>
                <w:p w14:paraId="6E666836">
                  <w:pPr>
                    <w:widowControl/>
                    <w:jc w:val="center"/>
                    <w:textAlignment w:val="center"/>
                    <w:rPr>
                      <w:color w:val="auto"/>
                      <w:sz w:val="24"/>
                    </w:rPr>
                  </w:pPr>
                  <w:r>
                    <w:rPr>
                      <w:b/>
                      <w:bCs/>
                      <w:color w:val="auto"/>
                    </w:rPr>
                    <w:t>警告图形符号</w:t>
                  </w:r>
                </w:p>
              </w:tc>
              <w:tc>
                <w:tcPr>
                  <w:tcW w:w="896" w:type="pct"/>
                  <w:vAlign w:val="center"/>
                </w:tcPr>
                <w:p w14:paraId="5A02506C">
                  <w:pPr>
                    <w:widowControl/>
                    <w:jc w:val="center"/>
                    <w:textAlignment w:val="center"/>
                    <w:rPr>
                      <w:color w:val="auto"/>
                      <w:sz w:val="24"/>
                    </w:rPr>
                  </w:pPr>
                  <w:r>
                    <w:rPr>
                      <w:b/>
                      <w:bCs/>
                      <w:color w:val="auto"/>
                    </w:rPr>
                    <w:t>名称</w:t>
                  </w:r>
                </w:p>
              </w:tc>
              <w:tc>
                <w:tcPr>
                  <w:tcW w:w="1916" w:type="pct"/>
                  <w:vAlign w:val="center"/>
                </w:tcPr>
                <w:p w14:paraId="27DF49AE">
                  <w:pPr>
                    <w:widowControl/>
                    <w:jc w:val="center"/>
                    <w:textAlignment w:val="center"/>
                    <w:rPr>
                      <w:color w:val="auto"/>
                      <w:sz w:val="24"/>
                    </w:rPr>
                  </w:pPr>
                  <w:r>
                    <w:rPr>
                      <w:b/>
                      <w:bCs/>
                      <w:color w:val="auto"/>
                    </w:rPr>
                    <w:t>功能</w:t>
                  </w:r>
                </w:p>
              </w:tc>
            </w:tr>
            <w:tr w14:paraId="29D46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14:paraId="79BDDCDC">
                  <w:pPr>
                    <w:widowControl/>
                    <w:jc w:val="center"/>
                    <w:textAlignment w:val="center"/>
                    <w:rPr>
                      <w:color w:val="auto"/>
                      <w:sz w:val="24"/>
                    </w:rPr>
                  </w:pPr>
                  <w:r>
                    <w:rPr>
                      <w:rFonts w:hint="eastAsia"/>
                      <w:color w:val="auto"/>
                      <w:kern w:val="0"/>
                      <w:szCs w:val="21"/>
                      <w:lang w:bidi="ar"/>
                    </w:rPr>
                    <w:t>1</w:t>
                  </w:r>
                </w:p>
              </w:tc>
              <w:tc>
                <w:tcPr>
                  <w:tcW w:w="899" w:type="pct"/>
                  <w:vAlign w:val="center"/>
                </w:tcPr>
                <w:p w14:paraId="4B92205A">
                  <w:pPr>
                    <w:widowControl/>
                    <w:jc w:val="center"/>
                    <w:textAlignment w:val="center"/>
                    <w:rPr>
                      <w:color w:val="auto"/>
                      <w:sz w:val="24"/>
                    </w:rPr>
                  </w:pPr>
                  <w:r>
                    <w:rPr>
                      <w:color w:val="auto"/>
                    </w:rPr>
                    <w:drawing>
                      <wp:inline distT="0" distB="0" distL="114300" distR="114300">
                        <wp:extent cx="600075" cy="638175"/>
                        <wp:effectExtent l="0" t="0" r="9525" b="9525"/>
                        <wp:docPr id="75" name="图片 48"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8" descr="未标题-1"/>
                                <pic:cNvPicPr>
                                  <a:picLocks noChangeAspect="1"/>
                                </pic:cNvPicPr>
                              </pic:nvPicPr>
                              <pic:blipFill>
                                <a:blip r:embed="rId34"/>
                                <a:stretch>
                                  <a:fillRect/>
                                </a:stretch>
                              </pic:blipFill>
                              <pic:spPr>
                                <a:xfrm>
                                  <a:off x="0" y="0"/>
                                  <a:ext cx="600075" cy="638175"/>
                                </a:xfrm>
                                <a:prstGeom prst="rect">
                                  <a:avLst/>
                                </a:prstGeom>
                                <a:noFill/>
                                <a:ln>
                                  <a:noFill/>
                                </a:ln>
                              </pic:spPr>
                            </pic:pic>
                          </a:graphicData>
                        </a:graphic>
                      </wp:inline>
                    </w:drawing>
                  </w:r>
                </w:p>
              </w:tc>
              <w:tc>
                <w:tcPr>
                  <w:tcW w:w="899" w:type="pct"/>
                  <w:vAlign w:val="center"/>
                </w:tcPr>
                <w:p w14:paraId="2A8628E3">
                  <w:pPr>
                    <w:widowControl/>
                    <w:jc w:val="center"/>
                    <w:textAlignment w:val="center"/>
                    <w:rPr>
                      <w:color w:val="auto"/>
                      <w:sz w:val="24"/>
                    </w:rPr>
                  </w:pPr>
                  <w:r>
                    <w:rPr>
                      <w:color w:val="auto"/>
                    </w:rPr>
                    <w:drawing>
                      <wp:inline distT="0" distB="0" distL="114300" distR="114300">
                        <wp:extent cx="666750" cy="628650"/>
                        <wp:effectExtent l="0" t="0" r="0" b="0"/>
                        <wp:docPr id="78" name="图片 49"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49" descr="未标题-2"/>
                                <pic:cNvPicPr>
                                  <a:picLocks noChangeAspect="1"/>
                                </pic:cNvPicPr>
                              </pic:nvPicPr>
                              <pic:blipFill>
                                <a:blip r:embed="rId35"/>
                                <a:stretch>
                                  <a:fillRect/>
                                </a:stretch>
                              </pic:blipFill>
                              <pic:spPr>
                                <a:xfrm>
                                  <a:off x="0" y="0"/>
                                  <a:ext cx="666750" cy="628650"/>
                                </a:xfrm>
                                <a:prstGeom prst="rect">
                                  <a:avLst/>
                                </a:prstGeom>
                                <a:noFill/>
                                <a:ln>
                                  <a:noFill/>
                                </a:ln>
                              </pic:spPr>
                            </pic:pic>
                          </a:graphicData>
                        </a:graphic>
                      </wp:inline>
                    </w:drawing>
                  </w:r>
                </w:p>
              </w:tc>
              <w:tc>
                <w:tcPr>
                  <w:tcW w:w="896" w:type="pct"/>
                  <w:vAlign w:val="center"/>
                </w:tcPr>
                <w:p w14:paraId="28F7FE01">
                  <w:pPr>
                    <w:widowControl/>
                    <w:jc w:val="center"/>
                    <w:textAlignment w:val="center"/>
                    <w:rPr>
                      <w:color w:val="auto"/>
                      <w:sz w:val="24"/>
                    </w:rPr>
                  </w:pPr>
                  <w:r>
                    <w:rPr>
                      <w:color w:val="auto"/>
                    </w:rPr>
                    <w:t>废水排放口</w:t>
                  </w:r>
                </w:p>
              </w:tc>
              <w:tc>
                <w:tcPr>
                  <w:tcW w:w="1916" w:type="pct"/>
                  <w:vAlign w:val="center"/>
                </w:tcPr>
                <w:p w14:paraId="29140060">
                  <w:pPr>
                    <w:widowControl/>
                    <w:jc w:val="center"/>
                    <w:textAlignment w:val="center"/>
                    <w:rPr>
                      <w:color w:val="auto"/>
                      <w:sz w:val="24"/>
                    </w:rPr>
                  </w:pPr>
                  <w:r>
                    <w:rPr>
                      <w:color w:val="auto"/>
                    </w:rPr>
                    <w:t>表示废水向水体排放</w:t>
                  </w:r>
                </w:p>
              </w:tc>
            </w:tr>
            <w:tr w14:paraId="0B83E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14:paraId="544A7E53">
                  <w:pPr>
                    <w:widowControl/>
                    <w:jc w:val="center"/>
                    <w:textAlignment w:val="center"/>
                    <w:rPr>
                      <w:color w:val="auto"/>
                      <w:sz w:val="24"/>
                    </w:rPr>
                  </w:pPr>
                  <w:r>
                    <w:rPr>
                      <w:rFonts w:hint="eastAsia"/>
                      <w:color w:val="auto"/>
                      <w:kern w:val="0"/>
                      <w:szCs w:val="21"/>
                      <w:lang w:bidi="ar"/>
                    </w:rPr>
                    <w:t>2</w:t>
                  </w:r>
                </w:p>
              </w:tc>
              <w:tc>
                <w:tcPr>
                  <w:tcW w:w="899" w:type="pct"/>
                  <w:vAlign w:val="center"/>
                </w:tcPr>
                <w:p w14:paraId="20AB5022">
                  <w:pPr>
                    <w:widowControl/>
                    <w:jc w:val="center"/>
                    <w:textAlignment w:val="center"/>
                    <w:rPr>
                      <w:color w:val="auto"/>
                      <w:sz w:val="24"/>
                    </w:rPr>
                  </w:pPr>
                  <w:r>
                    <w:rPr>
                      <w:color w:val="auto"/>
                    </w:rPr>
                    <w:drawing>
                      <wp:inline distT="0" distB="0" distL="114300" distR="114300">
                        <wp:extent cx="590550" cy="590550"/>
                        <wp:effectExtent l="0" t="0" r="0" b="0"/>
                        <wp:docPr id="38" name="图片 50" descr="未标题-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50" descr="未标题-3"/>
                                <pic:cNvPicPr>
                                  <a:picLocks noChangeAspect="1"/>
                                </pic:cNvPicPr>
                              </pic:nvPicPr>
                              <pic:blipFill>
                                <a:blip r:embed="rId36"/>
                                <a:stretch>
                                  <a:fillRect/>
                                </a:stretch>
                              </pic:blipFill>
                              <pic:spPr>
                                <a:xfrm>
                                  <a:off x="0" y="0"/>
                                  <a:ext cx="590550" cy="590550"/>
                                </a:xfrm>
                                <a:prstGeom prst="rect">
                                  <a:avLst/>
                                </a:prstGeom>
                                <a:noFill/>
                                <a:ln>
                                  <a:noFill/>
                                </a:ln>
                              </pic:spPr>
                            </pic:pic>
                          </a:graphicData>
                        </a:graphic>
                      </wp:inline>
                    </w:drawing>
                  </w:r>
                </w:p>
              </w:tc>
              <w:tc>
                <w:tcPr>
                  <w:tcW w:w="899" w:type="pct"/>
                  <w:vAlign w:val="center"/>
                </w:tcPr>
                <w:p w14:paraId="08CA648E">
                  <w:pPr>
                    <w:widowControl/>
                    <w:jc w:val="center"/>
                    <w:textAlignment w:val="center"/>
                    <w:rPr>
                      <w:color w:val="auto"/>
                      <w:sz w:val="24"/>
                    </w:rPr>
                  </w:pPr>
                  <w:r>
                    <w:rPr>
                      <w:color w:val="auto"/>
                    </w:rPr>
                    <w:drawing>
                      <wp:inline distT="0" distB="0" distL="114300" distR="114300">
                        <wp:extent cx="695325" cy="628650"/>
                        <wp:effectExtent l="0" t="0" r="9525" b="0"/>
                        <wp:docPr id="79" name="图片 51" descr="未标题-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51" descr="未标题-4"/>
                                <pic:cNvPicPr>
                                  <a:picLocks noChangeAspect="1"/>
                                </pic:cNvPicPr>
                              </pic:nvPicPr>
                              <pic:blipFill>
                                <a:blip r:embed="rId37"/>
                                <a:stretch>
                                  <a:fillRect/>
                                </a:stretch>
                              </pic:blipFill>
                              <pic:spPr>
                                <a:xfrm>
                                  <a:off x="0" y="0"/>
                                  <a:ext cx="695325" cy="628650"/>
                                </a:xfrm>
                                <a:prstGeom prst="rect">
                                  <a:avLst/>
                                </a:prstGeom>
                                <a:noFill/>
                                <a:ln>
                                  <a:noFill/>
                                </a:ln>
                              </pic:spPr>
                            </pic:pic>
                          </a:graphicData>
                        </a:graphic>
                      </wp:inline>
                    </w:drawing>
                  </w:r>
                </w:p>
              </w:tc>
              <w:tc>
                <w:tcPr>
                  <w:tcW w:w="896" w:type="pct"/>
                  <w:vAlign w:val="center"/>
                </w:tcPr>
                <w:p w14:paraId="5194888E">
                  <w:pPr>
                    <w:widowControl/>
                    <w:jc w:val="center"/>
                    <w:textAlignment w:val="center"/>
                    <w:rPr>
                      <w:color w:val="auto"/>
                      <w:sz w:val="24"/>
                    </w:rPr>
                  </w:pPr>
                  <w:r>
                    <w:rPr>
                      <w:color w:val="auto"/>
                    </w:rPr>
                    <w:t>废气排放口</w:t>
                  </w:r>
                </w:p>
              </w:tc>
              <w:tc>
                <w:tcPr>
                  <w:tcW w:w="1916" w:type="pct"/>
                  <w:vAlign w:val="center"/>
                </w:tcPr>
                <w:p w14:paraId="62255115">
                  <w:pPr>
                    <w:widowControl/>
                    <w:jc w:val="center"/>
                    <w:textAlignment w:val="center"/>
                    <w:rPr>
                      <w:color w:val="auto"/>
                      <w:sz w:val="24"/>
                    </w:rPr>
                  </w:pPr>
                  <w:r>
                    <w:rPr>
                      <w:color w:val="auto"/>
                    </w:rPr>
                    <w:t>表示废气向大气环境排放</w:t>
                  </w:r>
                </w:p>
              </w:tc>
            </w:tr>
            <w:tr w14:paraId="31156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14:paraId="4E571D4C">
                  <w:pPr>
                    <w:widowControl/>
                    <w:jc w:val="center"/>
                    <w:textAlignment w:val="center"/>
                    <w:rPr>
                      <w:color w:val="auto"/>
                      <w:sz w:val="24"/>
                    </w:rPr>
                  </w:pPr>
                  <w:r>
                    <w:rPr>
                      <w:rFonts w:hint="eastAsia"/>
                      <w:color w:val="auto"/>
                      <w:kern w:val="0"/>
                      <w:szCs w:val="21"/>
                      <w:lang w:bidi="ar"/>
                    </w:rPr>
                    <w:t>3</w:t>
                  </w:r>
                </w:p>
              </w:tc>
              <w:tc>
                <w:tcPr>
                  <w:tcW w:w="899" w:type="pct"/>
                  <w:vAlign w:val="center"/>
                </w:tcPr>
                <w:p w14:paraId="2DC94BBD">
                  <w:pPr>
                    <w:widowControl/>
                    <w:jc w:val="center"/>
                    <w:textAlignment w:val="center"/>
                    <w:rPr>
                      <w:color w:val="auto"/>
                      <w:sz w:val="24"/>
                    </w:rPr>
                  </w:pPr>
                  <w:r>
                    <w:rPr>
                      <w:color w:val="auto"/>
                    </w:rPr>
                    <w:drawing>
                      <wp:inline distT="0" distB="0" distL="114300" distR="114300">
                        <wp:extent cx="600075" cy="600075"/>
                        <wp:effectExtent l="0" t="0" r="9525" b="9525"/>
                        <wp:docPr id="76" name="图片 52" descr="未标题-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2" descr="未标题-5"/>
                                <pic:cNvPicPr>
                                  <a:picLocks noChangeAspect="1"/>
                                </pic:cNvPicPr>
                              </pic:nvPicPr>
                              <pic:blipFill>
                                <a:blip r:embed="rId38"/>
                                <a:stretch>
                                  <a:fillRect/>
                                </a:stretch>
                              </pic:blipFill>
                              <pic:spPr>
                                <a:xfrm>
                                  <a:off x="0" y="0"/>
                                  <a:ext cx="600075" cy="600075"/>
                                </a:xfrm>
                                <a:prstGeom prst="rect">
                                  <a:avLst/>
                                </a:prstGeom>
                                <a:noFill/>
                                <a:ln>
                                  <a:noFill/>
                                </a:ln>
                              </pic:spPr>
                            </pic:pic>
                          </a:graphicData>
                        </a:graphic>
                      </wp:inline>
                    </w:drawing>
                  </w:r>
                </w:p>
              </w:tc>
              <w:tc>
                <w:tcPr>
                  <w:tcW w:w="899" w:type="pct"/>
                  <w:vAlign w:val="center"/>
                </w:tcPr>
                <w:p w14:paraId="30E8AA0C">
                  <w:pPr>
                    <w:widowControl/>
                    <w:jc w:val="center"/>
                    <w:textAlignment w:val="center"/>
                    <w:rPr>
                      <w:color w:val="auto"/>
                      <w:sz w:val="24"/>
                    </w:rPr>
                  </w:pPr>
                  <w:r>
                    <w:rPr>
                      <w:color w:val="auto"/>
                    </w:rPr>
                    <w:drawing>
                      <wp:inline distT="0" distB="0" distL="114300" distR="114300">
                        <wp:extent cx="685800" cy="657225"/>
                        <wp:effectExtent l="0" t="0" r="0" b="9525"/>
                        <wp:docPr id="80" name="图片 53" descr="未标题-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53" descr="未标题-6"/>
                                <pic:cNvPicPr>
                                  <a:picLocks noChangeAspect="1"/>
                                </pic:cNvPicPr>
                              </pic:nvPicPr>
                              <pic:blipFill>
                                <a:blip r:embed="rId39"/>
                                <a:stretch>
                                  <a:fillRect/>
                                </a:stretch>
                              </pic:blipFill>
                              <pic:spPr>
                                <a:xfrm>
                                  <a:off x="0" y="0"/>
                                  <a:ext cx="685800" cy="657225"/>
                                </a:xfrm>
                                <a:prstGeom prst="rect">
                                  <a:avLst/>
                                </a:prstGeom>
                                <a:noFill/>
                                <a:ln>
                                  <a:noFill/>
                                </a:ln>
                              </pic:spPr>
                            </pic:pic>
                          </a:graphicData>
                        </a:graphic>
                      </wp:inline>
                    </w:drawing>
                  </w:r>
                </w:p>
              </w:tc>
              <w:tc>
                <w:tcPr>
                  <w:tcW w:w="896" w:type="pct"/>
                  <w:vAlign w:val="center"/>
                </w:tcPr>
                <w:p w14:paraId="79B6BD48">
                  <w:pPr>
                    <w:widowControl/>
                    <w:jc w:val="center"/>
                    <w:textAlignment w:val="center"/>
                    <w:rPr>
                      <w:color w:val="auto"/>
                      <w:sz w:val="24"/>
                    </w:rPr>
                  </w:pPr>
                  <w:r>
                    <w:rPr>
                      <w:color w:val="auto"/>
                    </w:rPr>
                    <w:t>一般固体废物</w:t>
                  </w:r>
                </w:p>
              </w:tc>
              <w:tc>
                <w:tcPr>
                  <w:tcW w:w="1916" w:type="pct"/>
                  <w:vAlign w:val="center"/>
                </w:tcPr>
                <w:p w14:paraId="06C9D60E">
                  <w:pPr>
                    <w:widowControl/>
                    <w:jc w:val="center"/>
                    <w:textAlignment w:val="center"/>
                    <w:rPr>
                      <w:color w:val="auto"/>
                      <w:sz w:val="24"/>
                    </w:rPr>
                  </w:pPr>
                  <w:r>
                    <w:rPr>
                      <w:color w:val="auto"/>
                    </w:rPr>
                    <w:t>表示一般固体废物贮存、处置场</w:t>
                  </w:r>
                </w:p>
              </w:tc>
            </w:tr>
            <w:tr w14:paraId="0D5B8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14:paraId="1C291745">
                  <w:pPr>
                    <w:widowControl/>
                    <w:jc w:val="center"/>
                    <w:textAlignment w:val="center"/>
                    <w:rPr>
                      <w:color w:val="auto"/>
                      <w:sz w:val="24"/>
                    </w:rPr>
                  </w:pPr>
                  <w:r>
                    <w:rPr>
                      <w:rFonts w:hint="eastAsia"/>
                      <w:color w:val="auto"/>
                      <w:kern w:val="0"/>
                      <w:szCs w:val="21"/>
                      <w:lang w:bidi="ar"/>
                    </w:rPr>
                    <w:t>4</w:t>
                  </w:r>
                </w:p>
              </w:tc>
              <w:tc>
                <w:tcPr>
                  <w:tcW w:w="899" w:type="pct"/>
                  <w:vAlign w:val="center"/>
                </w:tcPr>
                <w:p w14:paraId="6D5BEFF2">
                  <w:pPr>
                    <w:widowControl/>
                    <w:jc w:val="center"/>
                    <w:textAlignment w:val="center"/>
                    <w:rPr>
                      <w:color w:val="auto"/>
                      <w:sz w:val="24"/>
                    </w:rPr>
                  </w:pPr>
                  <w:r>
                    <w:rPr>
                      <w:color w:val="auto"/>
                    </w:rPr>
                    <w:drawing>
                      <wp:inline distT="0" distB="0" distL="114300" distR="114300">
                        <wp:extent cx="600075" cy="600075"/>
                        <wp:effectExtent l="0" t="0" r="9525" b="9525"/>
                        <wp:docPr id="77" name="图片 52" descr="未标题-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52" descr="未标题-5"/>
                                <pic:cNvPicPr>
                                  <a:picLocks noChangeAspect="1"/>
                                </pic:cNvPicPr>
                              </pic:nvPicPr>
                              <pic:blipFill>
                                <a:blip r:embed="rId38"/>
                                <a:stretch>
                                  <a:fillRect/>
                                </a:stretch>
                              </pic:blipFill>
                              <pic:spPr>
                                <a:xfrm>
                                  <a:off x="0" y="0"/>
                                  <a:ext cx="600075" cy="600075"/>
                                </a:xfrm>
                                <a:prstGeom prst="rect">
                                  <a:avLst/>
                                </a:prstGeom>
                                <a:noFill/>
                                <a:ln>
                                  <a:noFill/>
                                </a:ln>
                              </pic:spPr>
                            </pic:pic>
                          </a:graphicData>
                        </a:graphic>
                      </wp:inline>
                    </w:drawing>
                  </w:r>
                </w:p>
              </w:tc>
              <w:tc>
                <w:tcPr>
                  <w:tcW w:w="899" w:type="pct"/>
                  <w:vAlign w:val="center"/>
                </w:tcPr>
                <w:p w14:paraId="6FE82961">
                  <w:pPr>
                    <w:widowControl/>
                    <w:jc w:val="center"/>
                    <w:textAlignment w:val="center"/>
                    <w:rPr>
                      <w:color w:val="auto"/>
                      <w:sz w:val="24"/>
                    </w:rPr>
                  </w:pPr>
                  <w:r>
                    <w:rPr>
                      <w:color w:val="auto"/>
                    </w:rPr>
                    <w:drawing>
                      <wp:inline distT="0" distB="0" distL="114300" distR="114300">
                        <wp:extent cx="784860" cy="707390"/>
                        <wp:effectExtent l="0" t="0" r="15240" b="16510"/>
                        <wp:docPr id="8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4"/>
                                <pic:cNvPicPr>
                                  <a:picLocks noChangeAspect="1"/>
                                </pic:cNvPicPr>
                              </pic:nvPicPr>
                              <pic:blipFill>
                                <a:blip r:embed="rId40"/>
                                <a:stretch>
                                  <a:fillRect/>
                                </a:stretch>
                              </pic:blipFill>
                              <pic:spPr>
                                <a:xfrm>
                                  <a:off x="0" y="0"/>
                                  <a:ext cx="784860" cy="707390"/>
                                </a:xfrm>
                                <a:prstGeom prst="rect">
                                  <a:avLst/>
                                </a:prstGeom>
                                <a:noFill/>
                                <a:ln>
                                  <a:noFill/>
                                </a:ln>
                              </pic:spPr>
                            </pic:pic>
                          </a:graphicData>
                        </a:graphic>
                      </wp:inline>
                    </w:drawing>
                  </w:r>
                </w:p>
              </w:tc>
              <w:tc>
                <w:tcPr>
                  <w:tcW w:w="896" w:type="pct"/>
                  <w:vAlign w:val="center"/>
                </w:tcPr>
                <w:p w14:paraId="54F19F9C">
                  <w:pPr>
                    <w:widowControl/>
                    <w:jc w:val="center"/>
                    <w:textAlignment w:val="center"/>
                    <w:rPr>
                      <w:color w:val="auto"/>
                      <w:sz w:val="24"/>
                    </w:rPr>
                  </w:pPr>
                  <w:r>
                    <w:rPr>
                      <w:color w:val="auto"/>
                    </w:rPr>
                    <w:t>危险废物</w:t>
                  </w:r>
                </w:p>
              </w:tc>
              <w:tc>
                <w:tcPr>
                  <w:tcW w:w="1916" w:type="pct"/>
                  <w:vAlign w:val="center"/>
                </w:tcPr>
                <w:p w14:paraId="2BA7C711">
                  <w:pPr>
                    <w:widowControl/>
                    <w:jc w:val="center"/>
                    <w:textAlignment w:val="center"/>
                    <w:rPr>
                      <w:color w:val="auto"/>
                      <w:sz w:val="24"/>
                    </w:rPr>
                  </w:pPr>
                  <w:r>
                    <w:rPr>
                      <w:color w:val="auto"/>
                    </w:rPr>
                    <w:t>表示危险废物贮存、处置场</w:t>
                  </w:r>
                </w:p>
              </w:tc>
            </w:tr>
            <w:tr w14:paraId="46532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14:paraId="1F20CAFF">
                  <w:pPr>
                    <w:widowControl/>
                    <w:jc w:val="center"/>
                    <w:textAlignment w:val="center"/>
                    <w:rPr>
                      <w:color w:val="auto"/>
                      <w:sz w:val="24"/>
                    </w:rPr>
                  </w:pPr>
                  <w:r>
                    <w:rPr>
                      <w:rFonts w:hint="eastAsia"/>
                      <w:color w:val="auto"/>
                      <w:kern w:val="0"/>
                      <w:szCs w:val="21"/>
                      <w:lang w:bidi="ar"/>
                    </w:rPr>
                    <w:t>5</w:t>
                  </w:r>
                </w:p>
              </w:tc>
              <w:tc>
                <w:tcPr>
                  <w:tcW w:w="899" w:type="pct"/>
                  <w:vAlign w:val="center"/>
                </w:tcPr>
                <w:p w14:paraId="08FB3D07">
                  <w:pPr>
                    <w:widowControl/>
                    <w:jc w:val="center"/>
                    <w:textAlignment w:val="center"/>
                    <w:rPr>
                      <w:color w:val="auto"/>
                      <w:sz w:val="24"/>
                    </w:rPr>
                  </w:pPr>
                  <w:r>
                    <w:rPr>
                      <w:color w:val="auto"/>
                    </w:rPr>
                    <w:drawing>
                      <wp:inline distT="0" distB="0" distL="114300" distR="114300">
                        <wp:extent cx="600075" cy="638175"/>
                        <wp:effectExtent l="0" t="0" r="9525" b="9525"/>
                        <wp:docPr id="56" name="图片 54" descr="未标题-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4" descr="未标题-7"/>
                                <pic:cNvPicPr>
                                  <a:picLocks noChangeAspect="1"/>
                                </pic:cNvPicPr>
                              </pic:nvPicPr>
                              <pic:blipFill>
                                <a:blip r:embed="rId41"/>
                                <a:stretch>
                                  <a:fillRect/>
                                </a:stretch>
                              </pic:blipFill>
                              <pic:spPr>
                                <a:xfrm>
                                  <a:off x="0" y="0"/>
                                  <a:ext cx="600075" cy="638175"/>
                                </a:xfrm>
                                <a:prstGeom prst="rect">
                                  <a:avLst/>
                                </a:prstGeom>
                                <a:noFill/>
                                <a:ln>
                                  <a:noFill/>
                                </a:ln>
                              </pic:spPr>
                            </pic:pic>
                          </a:graphicData>
                        </a:graphic>
                      </wp:inline>
                    </w:drawing>
                  </w:r>
                </w:p>
              </w:tc>
              <w:tc>
                <w:tcPr>
                  <w:tcW w:w="899" w:type="pct"/>
                  <w:vAlign w:val="center"/>
                </w:tcPr>
                <w:p w14:paraId="0294503A">
                  <w:pPr>
                    <w:widowControl/>
                    <w:jc w:val="center"/>
                    <w:textAlignment w:val="center"/>
                    <w:rPr>
                      <w:color w:val="auto"/>
                      <w:sz w:val="24"/>
                    </w:rPr>
                  </w:pPr>
                  <w:r>
                    <w:rPr>
                      <w:color w:val="auto"/>
                    </w:rPr>
                    <w:drawing>
                      <wp:inline distT="0" distB="0" distL="114300" distR="114300">
                        <wp:extent cx="695325" cy="628650"/>
                        <wp:effectExtent l="0" t="0" r="9525" b="0"/>
                        <wp:docPr id="58" name="图片 55" descr="未标题-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5" descr="未标题-8"/>
                                <pic:cNvPicPr>
                                  <a:picLocks noChangeAspect="1"/>
                                </pic:cNvPicPr>
                              </pic:nvPicPr>
                              <pic:blipFill>
                                <a:blip r:embed="rId42"/>
                                <a:stretch>
                                  <a:fillRect/>
                                </a:stretch>
                              </pic:blipFill>
                              <pic:spPr>
                                <a:xfrm>
                                  <a:off x="0" y="0"/>
                                  <a:ext cx="695325" cy="628650"/>
                                </a:xfrm>
                                <a:prstGeom prst="rect">
                                  <a:avLst/>
                                </a:prstGeom>
                                <a:noFill/>
                                <a:ln>
                                  <a:noFill/>
                                </a:ln>
                              </pic:spPr>
                            </pic:pic>
                          </a:graphicData>
                        </a:graphic>
                      </wp:inline>
                    </w:drawing>
                  </w:r>
                </w:p>
              </w:tc>
              <w:tc>
                <w:tcPr>
                  <w:tcW w:w="896" w:type="pct"/>
                  <w:vAlign w:val="center"/>
                </w:tcPr>
                <w:p w14:paraId="5975233F">
                  <w:pPr>
                    <w:widowControl/>
                    <w:jc w:val="center"/>
                    <w:textAlignment w:val="center"/>
                    <w:rPr>
                      <w:color w:val="auto"/>
                      <w:sz w:val="24"/>
                    </w:rPr>
                  </w:pPr>
                  <w:r>
                    <w:rPr>
                      <w:color w:val="auto"/>
                    </w:rPr>
                    <w:t>噪声排放源</w:t>
                  </w:r>
                </w:p>
              </w:tc>
              <w:tc>
                <w:tcPr>
                  <w:tcW w:w="1916" w:type="pct"/>
                  <w:vAlign w:val="center"/>
                </w:tcPr>
                <w:p w14:paraId="620BBA72">
                  <w:pPr>
                    <w:widowControl/>
                    <w:jc w:val="center"/>
                    <w:textAlignment w:val="center"/>
                    <w:rPr>
                      <w:color w:val="auto"/>
                      <w:sz w:val="24"/>
                    </w:rPr>
                  </w:pPr>
                  <w:r>
                    <w:rPr>
                      <w:color w:val="auto"/>
                    </w:rPr>
                    <w:t>表示噪声向外环境排放</w:t>
                  </w:r>
                </w:p>
              </w:tc>
            </w:tr>
          </w:tbl>
          <w:p w14:paraId="30C5C006">
            <w:pPr>
              <w:pStyle w:val="90"/>
              <w:keepNext w:val="0"/>
              <w:keepLines w:val="0"/>
              <w:pageBreakBefore w:val="0"/>
              <w:widowControl/>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eastAsia="宋体" w:cs="Times New Roman"/>
                <w:b/>
                <w:bCs w:val="0"/>
                <w:color w:val="auto"/>
                <w:spacing w:val="0"/>
                <w:w w:val="100"/>
                <w:position w:val="0"/>
                <w:sz w:val="24"/>
                <w:szCs w:val="24"/>
                <w:highlight w:val="none"/>
                <w:lang w:eastAsia="zh-CN"/>
              </w:rPr>
            </w:pPr>
            <w:bookmarkStart w:id="14" w:name="_Ref515821956"/>
            <w:r>
              <w:rPr>
                <w:rFonts w:hint="default" w:ascii="Times New Roman" w:hAnsi="Times New Roman" w:eastAsia="宋体" w:cs="Times New Roman"/>
                <w:b/>
                <w:bCs w:val="0"/>
                <w:color w:val="auto"/>
                <w:spacing w:val="0"/>
                <w:w w:val="100"/>
                <w:position w:val="0"/>
                <w:sz w:val="24"/>
                <w:szCs w:val="24"/>
                <w:highlight w:val="none"/>
                <w:lang w:eastAsia="zh-CN"/>
              </w:rPr>
              <w:t>表</w:t>
            </w:r>
            <w:bookmarkEnd w:id="14"/>
            <w:r>
              <w:rPr>
                <w:rFonts w:hint="default" w:ascii="Times New Roman" w:hAnsi="Times New Roman" w:eastAsia="宋体" w:cs="Times New Roman"/>
                <w:b/>
                <w:bCs w:val="0"/>
                <w:color w:val="auto"/>
                <w:spacing w:val="0"/>
                <w:w w:val="100"/>
                <w:position w:val="0"/>
                <w:sz w:val="24"/>
                <w:szCs w:val="24"/>
                <w:highlight w:val="none"/>
                <w:lang w:eastAsia="zh-CN"/>
              </w:rPr>
              <w:t>4-</w:t>
            </w:r>
            <w:r>
              <w:rPr>
                <w:rFonts w:hint="eastAsia" w:ascii="Times New Roman" w:hAnsi="Times New Roman" w:eastAsia="宋体" w:cs="Times New Roman"/>
                <w:b/>
                <w:bCs w:val="0"/>
                <w:color w:val="auto"/>
                <w:spacing w:val="0"/>
                <w:w w:val="100"/>
                <w:position w:val="0"/>
                <w:sz w:val="24"/>
                <w:szCs w:val="24"/>
                <w:highlight w:val="none"/>
                <w:lang w:eastAsia="zh-CN"/>
              </w:rPr>
              <w:t>2</w:t>
            </w:r>
            <w:r>
              <w:rPr>
                <w:rFonts w:hint="eastAsia" w:cs="Times New Roman"/>
                <w:b/>
                <w:bCs w:val="0"/>
                <w:color w:val="auto"/>
                <w:spacing w:val="0"/>
                <w:w w:val="100"/>
                <w:position w:val="0"/>
                <w:sz w:val="24"/>
                <w:szCs w:val="24"/>
                <w:highlight w:val="none"/>
                <w:lang w:val="en-US" w:eastAsia="zh-CN"/>
              </w:rPr>
              <w:t>4</w:t>
            </w:r>
            <w:r>
              <w:rPr>
                <w:rFonts w:hint="default" w:ascii="Times New Roman" w:hAnsi="Times New Roman" w:eastAsia="宋体" w:cs="Times New Roman"/>
                <w:b/>
                <w:bCs w:val="0"/>
                <w:color w:val="auto"/>
                <w:spacing w:val="0"/>
                <w:w w:val="100"/>
                <w:position w:val="0"/>
                <w:sz w:val="24"/>
                <w:szCs w:val="24"/>
                <w:highlight w:val="none"/>
                <w:lang w:eastAsia="zh-CN"/>
              </w:rPr>
              <w:t xml:space="preserve"> </w:t>
            </w:r>
            <w:r>
              <w:rPr>
                <w:rFonts w:hint="eastAsia" w:ascii="Times New Roman" w:hAnsi="Times New Roman" w:eastAsia="宋体" w:cs="Times New Roman"/>
                <w:b/>
                <w:bCs w:val="0"/>
                <w:color w:val="auto"/>
                <w:spacing w:val="0"/>
                <w:w w:val="100"/>
                <w:position w:val="0"/>
                <w:sz w:val="24"/>
                <w:szCs w:val="24"/>
                <w:highlight w:val="none"/>
                <w:lang w:eastAsia="zh-CN"/>
              </w:rPr>
              <w:t xml:space="preserve"> </w:t>
            </w:r>
            <w:r>
              <w:rPr>
                <w:rFonts w:hint="default" w:ascii="Times New Roman" w:hAnsi="Times New Roman" w:eastAsia="宋体" w:cs="Times New Roman"/>
                <w:b/>
                <w:bCs w:val="0"/>
                <w:color w:val="auto"/>
                <w:spacing w:val="0"/>
                <w:w w:val="100"/>
                <w:position w:val="0"/>
                <w:sz w:val="24"/>
                <w:szCs w:val="24"/>
                <w:highlight w:val="none"/>
                <w:lang w:eastAsia="zh-CN"/>
              </w:rPr>
              <w:t>环境保护图形标志的形状及颜色表</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6"/>
              <w:gridCol w:w="2407"/>
              <w:gridCol w:w="2017"/>
              <w:gridCol w:w="2017"/>
            </w:tblGrid>
            <w:tr w14:paraId="0A7DE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2" w:type="pct"/>
                  <w:vAlign w:val="center"/>
                </w:tcPr>
                <w:p w14:paraId="335D493A">
                  <w:pPr>
                    <w:widowControl/>
                    <w:jc w:val="center"/>
                    <w:textAlignment w:val="center"/>
                    <w:rPr>
                      <w:color w:val="auto"/>
                      <w:sz w:val="24"/>
                    </w:rPr>
                  </w:pPr>
                  <w:r>
                    <w:rPr>
                      <w:b/>
                      <w:bCs/>
                      <w:color w:val="auto"/>
                    </w:rPr>
                    <w:t>标志名称</w:t>
                  </w:r>
                </w:p>
              </w:tc>
              <w:tc>
                <w:tcPr>
                  <w:tcW w:w="1423" w:type="pct"/>
                  <w:vAlign w:val="center"/>
                </w:tcPr>
                <w:p w14:paraId="09452586">
                  <w:pPr>
                    <w:widowControl/>
                    <w:jc w:val="center"/>
                    <w:textAlignment w:val="center"/>
                    <w:rPr>
                      <w:color w:val="auto"/>
                      <w:sz w:val="24"/>
                    </w:rPr>
                  </w:pPr>
                  <w:r>
                    <w:rPr>
                      <w:b/>
                      <w:bCs/>
                      <w:color w:val="auto"/>
                    </w:rPr>
                    <w:t>形状</w:t>
                  </w:r>
                </w:p>
              </w:tc>
              <w:tc>
                <w:tcPr>
                  <w:tcW w:w="1192" w:type="pct"/>
                  <w:vAlign w:val="center"/>
                </w:tcPr>
                <w:p w14:paraId="0366585B">
                  <w:pPr>
                    <w:widowControl/>
                    <w:jc w:val="center"/>
                    <w:textAlignment w:val="center"/>
                    <w:rPr>
                      <w:color w:val="auto"/>
                      <w:sz w:val="24"/>
                    </w:rPr>
                  </w:pPr>
                  <w:r>
                    <w:rPr>
                      <w:b/>
                      <w:bCs/>
                      <w:color w:val="auto"/>
                    </w:rPr>
                    <w:t>背景颜色</w:t>
                  </w:r>
                </w:p>
              </w:tc>
              <w:tc>
                <w:tcPr>
                  <w:tcW w:w="1192" w:type="pct"/>
                  <w:vAlign w:val="center"/>
                </w:tcPr>
                <w:p w14:paraId="297CC7E8">
                  <w:pPr>
                    <w:widowControl/>
                    <w:jc w:val="center"/>
                    <w:textAlignment w:val="center"/>
                    <w:rPr>
                      <w:color w:val="auto"/>
                      <w:sz w:val="24"/>
                    </w:rPr>
                  </w:pPr>
                  <w:r>
                    <w:rPr>
                      <w:b/>
                      <w:bCs/>
                      <w:color w:val="auto"/>
                    </w:rPr>
                    <w:t>图形颜色</w:t>
                  </w:r>
                </w:p>
              </w:tc>
            </w:tr>
            <w:tr w14:paraId="1C8BE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2" w:type="pct"/>
                  <w:vAlign w:val="center"/>
                </w:tcPr>
                <w:p w14:paraId="6E29C778">
                  <w:pPr>
                    <w:widowControl/>
                    <w:jc w:val="center"/>
                    <w:textAlignment w:val="center"/>
                    <w:rPr>
                      <w:color w:val="auto"/>
                      <w:sz w:val="24"/>
                    </w:rPr>
                  </w:pPr>
                  <w:r>
                    <w:rPr>
                      <w:color w:val="auto"/>
                    </w:rPr>
                    <w:t>警告标志</w:t>
                  </w:r>
                </w:p>
              </w:tc>
              <w:tc>
                <w:tcPr>
                  <w:tcW w:w="1423" w:type="pct"/>
                  <w:vAlign w:val="center"/>
                </w:tcPr>
                <w:p w14:paraId="10CFB587">
                  <w:pPr>
                    <w:widowControl/>
                    <w:jc w:val="center"/>
                    <w:textAlignment w:val="center"/>
                    <w:rPr>
                      <w:color w:val="auto"/>
                      <w:sz w:val="24"/>
                    </w:rPr>
                  </w:pPr>
                  <w:r>
                    <w:rPr>
                      <w:color w:val="auto"/>
                    </w:rPr>
                    <w:t>三角形边框</w:t>
                  </w:r>
                </w:p>
              </w:tc>
              <w:tc>
                <w:tcPr>
                  <w:tcW w:w="1192" w:type="pct"/>
                  <w:vAlign w:val="center"/>
                </w:tcPr>
                <w:p w14:paraId="0A082DD1">
                  <w:pPr>
                    <w:widowControl/>
                    <w:jc w:val="center"/>
                    <w:textAlignment w:val="center"/>
                    <w:rPr>
                      <w:color w:val="auto"/>
                      <w:sz w:val="24"/>
                    </w:rPr>
                  </w:pPr>
                  <w:r>
                    <w:rPr>
                      <w:color w:val="auto"/>
                    </w:rPr>
                    <w:t>黄色</w:t>
                  </w:r>
                </w:p>
              </w:tc>
              <w:tc>
                <w:tcPr>
                  <w:tcW w:w="1192" w:type="pct"/>
                  <w:vAlign w:val="center"/>
                </w:tcPr>
                <w:p w14:paraId="5542961A">
                  <w:pPr>
                    <w:widowControl/>
                    <w:jc w:val="center"/>
                    <w:textAlignment w:val="center"/>
                    <w:rPr>
                      <w:color w:val="auto"/>
                      <w:sz w:val="24"/>
                    </w:rPr>
                  </w:pPr>
                  <w:r>
                    <w:rPr>
                      <w:color w:val="auto"/>
                    </w:rPr>
                    <w:t>黑色</w:t>
                  </w:r>
                </w:p>
              </w:tc>
            </w:tr>
            <w:tr w14:paraId="50751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2" w:type="pct"/>
                  <w:vAlign w:val="center"/>
                </w:tcPr>
                <w:p w14:paraId="29ABB877">
                  <w:pPr>
                    <w:widowControl/>
                    <w:jc w:val="center"/>
                    <w:textAlignment w:val="center"/>
                    <w:rPr>
                      <w:color w:val="auto"/>
                      <w:sz w:val="24"/>
                    </w:rPr>
                  </w:pPr>
                  <w:r>
                    <w:rPr>
                      <w:color w:val="auto"/>
                    </w:rPr>
                    <w:t>提示标志</w:t>
                  </w:r>
                </w:p>
              </w:tc>
              <w:tc>
                <w:tcPr>
                  <w:tcW w:w="1423" w:type="pct"/>
                  <w:vAlign w:val="center"/>
                </w:tcPr>
                <w:p w14:paraId="4A8A5E4E">
                  <w:pPr>
                    <w:widowControl/>
                    <w:jc w:val="center"/>
                    <w:textAlignment w:val="center"/>
                    <w:rPr>
                      <w:color w:val="auto"/>
                      <w:sz w:val="24"/>
                    </w:rPr>
                  </w:pPr>
                  <w:r>
                    <w:rPr>
                      <w:color w:val="auto"/>
                    </w:rPr>
                    <w:t>正方形边框</w:t>
                  </w:r>
                </w:p>
              </w:tc>
              <w:tc>
                <w:tcPr>
                  <w:tcW w:w="1192" w:type="pct"/>
                  <w:vAlign w:val="center"/>
                </w:tcPr>
                <w:p w14:paraId="4A6C4DE3">
                  <w:pPr>
                    <w:widowControl/>
                    <w:jc w:val="center"/>
                    <w:textAlignment w:val="center"/>
                    <w:rPr>
                      <w:color w:val="auto"/>
                      <w:sz w:val="24"/>
                    </w:rPr>
                  </w:pPr>
                  <w:r>
                    <w:rPr>
                      <w:color w:val="auto"/>
                    </w:rPr>
                    <w:t>绿色</w:t>
                  </w:r>
                </w:p>
              </w:tc>
              <w:tc>
                <w:tcPr>
                  <w:tcW w:w="1192" w:type="pct"/>
                  <w:vAlign w:val="center"/>
                </w:tcPr>
                <w:p w14:paraId="028F0795">
                  <w:pPr>
                    <w:widowControl/>
                    <w:jc w:val="center"/>
                    <w:textAlignment w:val="center"/>
                    <w:rPr>
                      <w:color w:val="auto"/>
                      <w:sz w:val="24"/>
                    </w:rPr>
                  </w:pPr>
                  <w:r>
                    <w:rPr>
                      <w:color w:val="auto"/>
                    </w:rPr>
                    <w:t>白色</w:t>
                  </w:r>
                </w:p>
              </w:tc>
            </w:tr>
          </w:tbl>
          <w:p w14:paraId="7DACA5C9">
            <w:pPr>
              <w:spacing w:line="360" w:lineRule="auto"/>
              <w:ind w:firstLine="482"/>
              <w:rPr>
                <w:b/>
                <w:color w:val="auto"/>
                <w:sz w:val="24"/>
                <w:lang w:val="en-GB"/>
              </w:rPr>
            </w:pPr>
            <w:r>
              <w:rPr>
                <w:rFonts w:hint="eastAsia"/>
                <w:b/>
                <w:color w:val="auto"/>
                <w:sz w:val="24"/>
                <w:lang w:val="en-US" w:eastAsia="zh-CN"/>
              </w:rPr>
              <w:t>九</w:t>
            </w:r>
            <w:r>
              <w:rPr>
                <w:b/>
                <w:color w:val="auto"/>
                <w:sz w:val="24"/>
              </w:rPr>
              <w:t>、</w:t>
            </w:r>
            <w:r>
              <w:rPr>
                <w:b/>
                <w:color w:val="auto"/>
                <w:sz w:val="24"/>
                <w:lang w:val="en-GB"/>
              </w:rPr>
              <w:t>环保设备和投资估算</w:t>
            </w:r>
          </w:p>
          <w:p w14:paraId="79371682">
            <w:pPr>
              <w:pStyle w:val="93"/>
              <w:spacing w:line="360" w:lineRule="auto"/>
              <w:ind w:firstLine="480"/>
              <w:rPr>
                <w:color w:val="auto"/>
                <w:sz w:val="24"/>
                <w:lang w:val="en-GB"/>
              </w:rPr>
            </w:pPr>
            <w:r>
              <w:rPr>
                <w:rFonts w:hint="eastAsia"/>
                <w:color w:val="auto"/>
                <w:sz w:val="24"/>
                <w:lang w:val="en-US" w:eastAsia="zh-CN"/>
              </w:rPr>
              <w:t>本次</w:t>
            </w:r>
            <w:r>
              <w:rPr>
                <w:color w:val="auto"/>
                <w:sz w:val="24"/>
              </w:rPr>
              <w:t>项目环保投资主要用于废气、废水、固体废物及噪声治理。本项目总投资额</w:t>
            </w:r>
            <w:r>
              <w:rPr>
                <w:rFonts w:hint="eastAsia"/>
                <w:color w:val="auto"/>
                <w:sz w:val="24"/>
                <w:lang w:val="en-US" w:eastAsia="zh-CN"/>
              </w:rPr>
              <w:t>600</w:t>
            </w:r>
            <w:r>
              <w:rPr>
                <w:color w:val="auto"/>
                <w:sz w:val="24"/>
              </w:rPr>
              <w:t>万元，其中环保投资</w:t>
            </w:r>
            <w:r>
              <w:rPr>
                <w:rFonts w:hint="eastAsia"/>
                <w:color w:val="auto"/>
                <w:sz w:val="24"/>
                <w:lang w:val="en-US" w:eastAsia="zh-CN"/>
              </w:rPr>
              <w:t>20</w:t>
            </w:r>
            <w:r>
              <w:rPr>
                <w:color w:val="auto"/>
                <w:sz w:val="24"/>
              </w:rPr>
              <w:t>万元，环保投资率</w:t>
            </w:r>
            <w:r>
              <w:rPr>
                <w:rFonts w:hint="eastAsia"/>
                <w:color w:val="auto"/>
                <w:sz w:val="24"/>
                <w:lang w:val="en-US" w:eastAsia="zh-CN"/>
              </w:rPr>
              <w:t>3.3</w:t>
            </w:r>
            <w:r>
              <w:rPr>
                <w:color w:val="auto"/>
                <w:sz w:val="24"/>
              </w:rPr>
              <w:t>%，投资估算见表4-</w:t>
            </w:r>
            <w:r>
              <w:rPr>
                <w:rFonts w:hint="eastAsia"/>
                <w:color w:val="auto"/>
                <w:sz w:val="24"/>
              </w:rPr>
              <w:t>2</w:t>
            </w:r>
            <w:r>
              <w:rPr>
                <w:rFonts w:hint="eastAsia"/>
                <w:color w:val="auto"/>
                <w:sz w:val="24"/>
                <w:lang w:val="en-US" w:eastAsia="zh-CN"/>
              </w:rPr>
              <w:t>5</w:t>
            </w:r>
            <w:r>
              <w:rPr>
                <w:color w:val="auto"/>
                <w:sz w:val="24"/>
              </w:rPr>
              <w:t>。</w:t>
            </w:r>
          </w:p>
          <w:p w14:paraId="5769D25B">
            <w:pPr>
              <w:pStyle w:val="90"/>
              <w:keepNext w:val="0"/>
              <w:keepLines w:val="0"/>
              <w:pageBreakBefore w:val="0"/>
              <w:widowControl/>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eastAsia="宋体" w:cs="Times New Roman"/>
                <w:b/>
                <w:bCs w:val="0"/>
                <w:color w:val="auto"/>
                <w:spacing w:val="0"/>
                <w:w w:val="100"/>
                <w:position w:val="0"/>
                <w:sz w:val="24"/>
                <w:szCs w:val="24"/>
                <w:highlight w:val="none"/>
                <w:lang w:val="en-GB" w:eastAsia="zh-CN"/>
              </w:rPr>
            </w:pPr>
            <w:r>
              <w:rPr>
                <w:rFonts w:hint="default" w:ascii="Times New Roman" w:hAnsi="Times New Roman" w:eastAsia="宋体" w:cs="Times New Roman"/>
                <w:b/>
                <w:bCs w:val="0"/>
                <w:color w:val="auto"/>
                <w:spacing w:val="0"/>
                <w:w w:val="100"/>
                <w:position w:val="0"/>
                <w:sz w:val="24"/>
                <w:szCs w:val="24"/>
                <w:highlight w:val="none"/>
                <w:lang w:val="en-GB" w:eastAsia="zh-CN"/>
              </w:rPr>
              <w:t>表4-</w:t>
            </w:r>
            <w:r>
              <w:rPr>
                <w:rFonts w:hint="eastAsia" w:ascii="Times New Roman" w:hAnsi="Times New Roman" w:eastAsia="宋体" w:cs="Times New Roman"/>
                <w:b/>
                <w:bCs w:val="0"/>
                <w:color w:val="auto"/>
                <w:spacing w:val="0"/>
                <w:w w:val="100"/>
                <w:position w:val="0"/>
                <w:sz w:val="24"/>
                <w:szCs w:val="24"/>
                <w:highlight w:val="none"/>
                <w:lang w:eastAsia="zh-CN"/>
              </w:rPr>
              <w:t>2</w:t>
            </w:r>
            <w:r>
              <w:rPr>
                <w:rFonts w:hint="eastAsia" w:cs="Times New Roman"/>
                <w:b/>
                <w:bCs w:val="0"/>
                <w:color w:val="auto"/>
                <w:spacing w:val="0"/>
                <w:w w:val="100"/>
                <w:position w:val="0"/>
                <w:sz w:val="24"/>
                <w:szCs w:val="24"/>
                <w:highlight w:val="none"/>
                <w:lang w:val="en-US" w:eastAsia="zh-CN"/>
              </w:rPr>
              <w:t>5</w:t>
            </w:r>
            <w:r>
              <w:rPr>
                <w:rFonts w:hint="default" w:ascii="Times New Roman" w:hAnsi="Times New Roman" w:eastAsia="宋体" w:cs="Times New Roman"/>
                <w:b/>
                <w:bCs w:val="0"/>
                <w:color w:val="auto"/>
                <w:spacing w:val="0"/>
                <w:w w:val="100"/>
                <w:position w:val="0"/>
                <w:sz w:val="24"/>
                <w:szCs w:val="24"/>
                <w:highlight w:val="none"/>
                <w:lang w:eastAsia="zh-CN"/>
              </w:rPr>
              <w:t xml:space="preserve">  </w:t>
            </w:r>
            <w:r>
              <w:rPr>
                <w:rFonts w:hint="default" w:ascii="Times New Roman" w:hAnsi="Times New Roman" w:eastAsia="宋体" w:cs="Times New Roman"/>
                <w:b/>
                <w:bCs w:val="0"/>
                <w:color w:val="auto"/>
                <w:spacing w:val="0"/>
                <w:w w:val="100"/>
                <w:position w:val="0"/>
                <w:sz w:val="24"/>
                <w:szCs w:val="24"/>
                <w:highlight w:val="none"/>
                <w:lang w:val="en-GB" w:eastAsia="zh-CN"/>
              </w:rPr>
              <w:t>项目污染治理</w:t>
            </w:r>
            <w:r>
              <w:rPr>
                <w:rFonts w:hint="eastAsia" w:ascii="Times New Roman" w:hAnsi="Times New Roman" w:eastAsia="宋体" w:cs="Times New Roman"/>
                <w:b/>
                <w:bCs w:val="0"/>
                <w:color w:val="auto"/>
                <w:spacing w:val="0"/>
                <w:w w:val="100"/>
                <w:position w:val="0"/>
                <w:sz w:val="24"/>
                <w:szCs w:val="24"/>
                <w:highlight w:val="none"/>
                <w:lang w:eastAsia="zh-CN"/>
              </w:rPr>
              <w:t>合计</w:t>
            </w:r>
            <w:r>
              <w:rPr>
                <w:rFonts w:hint="default" w:ascii="Times New Roman" w:hAnsi="Times New Roman" w:eastAsia="宋体" w:cs="Times New Roman"/>
                <w:b/>
                <w:bCs w:val="0"/>
                <w:color w:val="auto"/>
                <w:spacing w:val="0"/>
                <w:w w:val="100"/>
                <w:position w:val="0"/>
                <w:sz w:val="24"/>
                <w:szCs w:val="24"/>
                <w:highlight w:val="none"/>
                <w:lang w:val="en-GB" w:eastAsia="zh-CN"/>
              </w:rPr>
              <w:t>投资估算表</w:t>
            </w:r>
          </w:p>
          <w:tbl>
            <w:tblPr>
              <w:tblStyle w:val="28"/>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928"/>
              <w:gridCol w:w="1117"/>
              <w:gridCol w:w="3982"/>
              <w:gridCol w:w="1314"/>
            </w:tblGrid>
            <w:tr w14:paraId="622EB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164" w:type="dxa"/>
                  <w:gridSpan w:val="3"/>
                  <w:noWrap w:val="0"/>
                  <w:vAlign w:val="center"/>
                </w:tcPr>
                <w:p w14:paraId="4658139E">
                  <w:pPr>
                    <w:pStyle w:val="114"/>
                    <w:rPr>
                      <w:rFonts w:hint="default" w:ascii="Times New Roman" w:hAnsi="Times New Roman" w:cs="Times New Roman"/>
                      <w:b/>
                      <w:color w:val="auto"/>
                      <w:lang w:val="en-GB"/>
                    </w:rPr>
                  </w:pPr>
                  <w:r>
                    <w:rPr>
                      <w:rFonts w:hint="default" w:ascii="Times New Roman" w:hAnsi="Times New Roman" w:cs="Times New Roman"/>
                      <w:b/>
                      <w:color w:val="auto"/>
                      <w:lang w:val="en-GB"/>
                    </w:rPr>
                    <w:t>项目</w:t>
                  </w:r>
                </w:p>
              </w:tc>
              <w:tc>
                <w:tcPr>
                  <w:tcW w:w="3982" w:type="dxa"/>
                  <w:tcBorders>
                    <w:top w:val="single" w:color="auto" w:sz="6" w:space="0"/>
                    <w:left w:val="single" w:color="auto" w:sz="6" w:space="0"/>
                    <w:bottom w:val="single" w:color="auto" w:sz="6" w:space="0"/>
                    <w:right w:val="single" w:color="auto" w:sz="6" w:space="0"/>
                  </w:tcBorders>
                  <w:noWrap w:val="0"/>
                  <w:vAlign w:val="center"/>
                </w:tcPr>
                <w:p w14:paraId="70E74250">
                  <w:pPr>
                    <w:pStyle w:val="114"/>
                    <w:rPr>
                      <w:rFonts w:hint="default" w:ascii="Times New Roman" w:hAnsi="Times New Roman" w:cs="Times New Roman"/>
                      <w:b/>
                      <w:color w:val="auto"/>
                      <w:lang w:val="en-GB"/>
                    </w:rPr>
                  </w:pPr>
                  <w:r>
                    <w:rPr>
                      <w:rFonts w:hint="default" w:ascii="Times New Roman" w:hAnsi="Times New Roman" w:cs="Times New Roman"/>
                      <w:b/>
                      <w:color w:val="auto"/>
                      <w:lang w:val="en-GB"/>
                    </w:rPr>
                    <w:t>环保措施</w:t>
                  </w:r>
                </w:p>
              </w:tc>
              <w:tc>
                <w:tcPr>
                  <w:tcW w:w="1314" w:type="dxa"/>
                  <w:tcBorders>
                    <w:top w:val="single" w:color="auto" w:sz="6" w:space="0"/>
                    <w:left w:val="single" w:color="auto" w:sz="6" w:space="0"/>
                    <w:bottom w:val="single" w:color="auto" w:sz="6" w:space="0"/>
                    <w:right w:val="single" w:color="auto" w:sz="6" w:space="0"/>
                  </w:tcBorders>
                  <w:noWrap w:val="0"/>
                  <w:vAlign w:val="center"/>
                </w:tcPr>
                <w:p w14:paraId="7C65E29D">
                  <w:pPr>
                    <w:pStyle w:val="114"/>
                    <w:rPr>
                      <w:rFonts w:hint="default" w:ascii="Times New Roman" w:hAnsi="Times New Roman" w:cs="Times New Roman"/>
                      <w:b/>
                      <w:color w:val="auto"/>
                    </w:rPr>
                  </w:pPr>
                  <w:r>
                    <w:rPr>
                      <w:rFonts w:hint="default" w:ascii="Times New Roman" w:hAnsi="Times New Roman" w:cs="Times New Roman"/>
                      <w:b/>
                      <w:color w:val="auto"/>
                    </w:rPr>
                    <w:t>环保投资</w:t>
                  </w:r>
                </w:p>
                <w:p w14:paraId="3BCCFFEB">
                  <w:pPr>
                    <w:pStyle w:val="114"/>
                    <w:rPr>
                      <w:rFonts w:hint="default" w:ascii="Times New Roman" w:hAnsi="Times New Roman" w:cs="Times New Roman"/>
                      <w:b/>
                      <w:color w:val="auto"/>
                      <w:lang w:val="en-GB"/>
                    </w:rPr>
                  </w:pPr>
                  <w:r>
                    <w:rPr>
                      <w:rFonts w:hint="default" w:ascii="Times New Roman" w:hAnsi="Times New Roman" w:cs="Times New Roman"/>
                      <w:b/>
                      <w:color w:val="auto"/>
                      <w:lang w:val="en-GB"/>
                    </w:rPr>
                    <w:t>（万元）</w:t>
                  </w:r>
                </w:p>
              </w:tc>
            </w:tr>
            <w:tr w14:paraId="44094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1119" w:type="dxa"/>
                  <w:tcBorders>
                    <w:top w:val="single" w:color="auto" w:sz="6" w:space="0"/>
                    <w:left w:val="single" w:color="auto" w:sz="4" w:space="0"/>
                    <w:right w:val="single" w:color="auto" w:sz="6" w:space="0"/>
                  </w:tcBorders>
                  <w:noWrap w:val="0"/>
                  <w:vAlign w:val="center"/>
                </w:tcPr>
                <w:p w14:paraId="7FE1F285">
                  <w:pPr>
                    <w:pStyle w:val="114"/>
                    <w:rPr>
                      <w:rFonts w:hint="default" w:ascii="Times New Roman" w:hAnsi="Times New Roman" w:cs="Times New Roman"/>
                      <w:color w:val="auto"/>
                      <w:lang w:val="en-GB"/>
                    </w:rPr>
                  </w:pPr>
                  <w:r>
                    <w:rPr>
                      <w:rFonts w:hint="default" w:ascii="Times New Roman" w:hAnsi="Times New Roman" w:cs="Times New Roman"/>
                      <w:color w:val="auto"/>
                      <w:lang w:val="en-GB"/>
                    </w:rPr>
                    <w:t>废水</w:t>
                  </w:r>
                </w:p>
              </w:tc>
              <w:tc>
                <w:tcPr>
                  <w:tcW w:w="2045" w:type="dxa"/>
                  <w:gridSpan w:val="2"/>
                  <w:tcBorders>
                    <w:top w:val="single" w:color="auto" w:sz="6" w:space="0"/>
                    <w:left w:val="single" w:color="auto" w:sz="6" w:space="0"/>
                    <w:bottom w:val="single" w:color="auto" w:sz="6" w:space="0"/>
                    <w:right w:val="single" w:color="auto" w:sz="6" w:space="0"/>
                  </w:tcBorders>
                  <w:noWrap w:val="0"/>
                  <w:vAlign w:val="center"/>
                </w:tcPr>
                <w:p w14:paraId="77DC9ED2">
                  <w:pPr>
                    <w:pStyle w:val="114"/>
                    <w:rPr>
                      <w:rFonts w:hint="default" w:ascii="Times New Roman" w:hAnsi="Times New Roman" w:cs="Times New Roman"/>
                      <w:color w:val="auto"/>
                      <w:lang w:val="en-GB"/>
                    </w:rPr>
                  </w:pPr>
                  <w:r>
                    <w:rPr>
                      <w:rFonts w:hint="default" w:ascii="Times New Roman" w:hAnsi="Times New Roman" w:cs="Times New Roman"/>
                      <w:color w:val="auto"/>
                      <w:lang w:val="en-GB"/>
                    </w:rPr>
                    <w:t>生活污水</w:t>
                  </w:r>
                </w:p>
              </w:tc>
              <w:tc>
                <w:tcPr>
                  <w:tcW w:w="3982" w:type="dxa"/>
                  <w:tcBorders>
                    <w:top w:val="single" w:color="auto" w:sz="6" w:space="0"/>
                    <w:left w:val="single" w:color="auto" w:sz="6" w:space="0"/>
                    <w:right w:val="single" w:color="auto" w:sz="6" w:space="0"/>
                  </w:tcBorders>
                  <w:noWrap w:val="0"/>
                  <w:vAlign w:val="center"/>
                </w:tcPr>
                <w:p w14:paraId="57DF52E9">
                  <w:pPr>
                    <w:pStyle w:val="114"/>
                    <w:rPr>
                      <w:rFonts w:hint="default" w:ascii="Times New Roman" w:hAnsi="Times New Roman" w:eastAsia="宋体" w:cs="Times New Roman"/>
                      <w:color w:val="auto"/>
                      <w:lang w:val="en-US" w:eastAsia="zh-CN"/>
                    </w:rPr>
                  </w:pPr>
                  <w:r>
                    <w:rPr>
                      <w:rFonts w:hint="eastAsia"/>
                      <w:color w:val="auto"/>
                      <w:sz w:val="21"/>
                      <w:szCs w:val="21"/>
                      <w:lang w:val="en-US" w:eastAsia="zh-CN" w:bidi="ar"/>
                    </w:rPr>
                    <w:t>一座</w:t>
                  </w:r>
                  <w:r>
                    <w:rPr>
                      <w:rFonts w:hint="eastAsia"/>
                      <w:color w:val="auto"/>
                      <w:sz w:val="21"/>
                      <w:szCs w:val="21"/>
                      <w:lang w:bidi="ar"/>
                    </w:rPr>
                    <w:t>化粪池</w:t>
                  </w:r>
                </w:p>
              </w:tc>
              <w:tc>
                <w:tcPr>
                  <w:tcW w:w="1314" w:type="dxa"/>
                  <w:tcBorders>
                    <w:top w:val="single" w:color="auto" w:sz="6" w:space="0"/>
                    <w:left w:val="single" w:color="auto" w:sz="6" w:space="0"/>
                    <w:right w:val="single" w:color="auto" w:sz="6" w:space="0"/>
                  </w:tcBorders>
                  <w:noWrap w:val="0"/>
                  <w:vAlign w:val="center"/>
                </w:tcPr>
                <w:p w14:paraId="574849C5">
                  <w:pPr>
                    <w:pStyle w:val="114"/>
                    <w:rPr>
                      <w:rFonts w:hint="default" w:cs="Times New Roman"/>
                      <w:color w:val="auto"/>
                      <w:lang w:val="en-US" w:eastAsia="zh-CN"/>
                    </w:rPr>
                  </w:pPr>
                  <w:r>
                    <w:rPr>
                      <w:rFonts w:hint="eastAsia" w:cs="Times New Roman"/>
                      <w:color w:val="auto"/>
                      <w:lang w:val="en-US" w:eastAsia="zh-CN"/>
                    </w:rPr>
                    <w:t>1</w:t>
                  </w:r>
                </w:p>
              </w:tc>
            </w:tr>
            <w:tr w14:paraId="4C62C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jc w:val="center"/>
              </w:trPr>
              <w:tc>
                <w:tcPr>
                  <w:tcW w:w="1119" w:type="dxa"/>
                  <w:vMerge w:val="restart"/>
                  <w:tcBorders>
                    <w:top w:val="single" w:color="auto" w:sz="6" w:space="0"/>
                    <w:left w:val="single" w:color="auto" w:sz="4" w:space="0"/>
                    <w:right w:val="single" w:color="auto" w:sz="6" w:space="0"/>
                  </w:tcBorders>
                  <w:noWrap w:val="0"/>
                  <w:vAlign w:val="center"/>
                </w:tcPr>
                <w:p w14:paraId="247E51BC">
                  <w:pPr>
                    <w:pStyle w:val="114"/>
                    <w:rPr>
                      <w:rFonts w:hint="default" w:ascii="Times New Roman" w:hAnsi="Times New Roman" w:cs="Times New Roman"/>
                      <w:color w:val="auto"/>
                      <w:lang w:val="en-GB"/>
                    </w:rPr>
                  </w:pPr>
                  <w:r>
                    <w:rPr>
                      <w:rFonts w:hint="default" w:ascii="Times New Roman" w:hAnsi="Times New Roman" w:cs="Times New Roman"/>
                      <w:color w:val="auto"/>
                      <w:lang w:val="en-GB"/>
                    </w:rPr>
                    <w:t>废气</w:t>
                  </w:r>
                </w:p>
              </w:tc>
              <w:tc>
                <w:tcPr>
                  <w:tcW w:w="928" w:type="dxa"/>
                  <w:vMerge w:val="restart"/>
                  <w:tcBorders>
                    <w:top w:val="single" w:color="auto" w:sz="6" w:space="0"/>
                    <w:left w:val="single" w:color="auto" w:sz="4" w:space="0"/>
                    <w:right w:val="single" w:color="auto" w:sz="6" w:space="0"/>
                  </w:tcBorders>
                  <w:noWrap w:val="0"/>
                  <w:vAlign w:val="center"/>
                </w:tcPr>
                <w:p w14:paraId="621B0C4D">
                  <w:pPr>
                    <w:pStyle w:val="114"/>
                    <w:rPr>
                      <w:rFonts w:hint="default" w:ascii="Times New Roman" w:hAnsi="Times New Roman" w:cs="Times New Roman"/>
                      <w:color w:val="auto"/>
                      <w:lang w:val="en-US"/>
                    </w:rPr>
                  </w:pPr>
                  <w:r>
                    <w:rPr>
                      <w:rFonts w:hint="eastAsia" w:ascii="Times New Roman" w:hAnsi="Times New Roman" w:cs="Times New Roman"/>
                      <w:color w:val="auto"/>
                      <w:lang w:val="en-US" w:eastAsia="zh-CN"/>
                    </w:rPr>
                    <w:t>有组织废气</w:t>
                  </w:r>
                </w:p>
              </w:tc>
              <w:tc>
                <w:tcPr>
                  <w:tcW w:w="1117" w:type="dxa"/>
                  <w:tcBorders>
                    <w:top w:val="single" w:color="auto" w:sz="6" w:space="0"/>
                    <w:left w:val="single" w:color="auto" w:sz="4" w:space="0"/>
                    <w:bottom w:val="single" w:color="auto" w:sz="4" w:space="0"/>
                    <w:right w:val="single" w:color="auto" w:sz="6" w:space="0"/>
                  </w:tcBorders>
                  <w:noWrap w:val="0"/>
                  <w:vAlign w:val="center"/>
                </w:tcPr>
                <w:p w14:paraId="2D4695F5">
                  <w:pPr>
                    <w:adjustRightInd w:val="0"/>
                    <w:snapToGrid w:val="0"/>
                    <w:jc w:val="center"/>
                    <w:rPr>
                      <w:rFonts w:hint="default" w:ascii="Times New Roman" w:hAnsi="Times New Roman" w:cs="Times New Roman"/>
                      <w:color w:val="auto"/>
                      <w:lang w:val="en-US" w:eastAsia="zh-CN"/>
                    </w:rPr>
                  </w:pPr>
                  <w:r>
                    <w:rPr>
                      <w:rFonts w:hint="eastAsia"/>
                      <w:color w:val="auto"/>
                      <w:sz w:val="21"/>
                      <w:szCs w:val="21"/>
                      <w:lang w:val="en-US" w:eastAsia="zh-CN"/>
                    </w:rPr>
                    <w:t>调墨废气</w:t>
                  </w:r>
                </w:p>
              </w:tc>
              <w:tc>
                <w:tcPr>
                  <w:tcW w:w="3982" w:type="dxa"/>
                  <w:vMerge w:val="restart"/>
                  <w:tcBorders>
                    <w:top w:val="single" w:color="auto" w:sz="6" w:space="0"/>
                    <w:left w:val="single" w:color="auto" w:sz="6" w:space="0"/>
                    <w:right w:val="single" w:color="auto" w:sz="6" w:space="0"/>
                  </w:tcBorders>
                  <w:noWrap w:val="0"/>
                  <w:vAlign w:val="center"/>
                </w:tcPr>
                <w:p w14:paraId="1D842B29">
                  <w:pPr>
                    <w:pStyle w:val="114"/>
                    <w:jc w:val="both"/>
                    <w:rPr>
                      <w:rFonts w:hint="default" w:ascii="Times New Roman" w:hAnsi="Times New Roman" w:eastAsia="宋体" w:cs="Times New Roman"/>
                      <w:color w:val="auto"/>
                      <w:lang w:val="en-US" w:eastAsia="zh-CN"/>
                    </w:rPr>
                  </w:pPr>
                  <w:r>
                    <w:rPr>
                      <w:rFonts w:hint="eastAsia" w:cs="Times New Roman"/>
                      <w:color w:val="auto"/>
                      <w:lang w:val="en-US" w:eastAsia="zh-CN"/>
                    </w:rPr>
                    <w:t>一套负压集气装置、一套二级活性炭吸附装置、一根15m高排气筒DA001。</w:t>
                  </w:r>
                </w:p>
              </w:tc>
              <w:tc>
                <w:tcPr>
                  <w:tcW w:w="1314" w:type="dxa"/>
                  <w:vMerge w:val="restart"/>
                  <w:tcBorders>
                    <w:top w:val="single" w:color="auto" w:sz="6" w:space="0"/>
                    <w:left w:val="single" w:color="auto" w:sz="6" w:space="0"/>
                    <w:right w:val="single" w:color="auto" w:sz="6" w:space="0"/>
                  </w:tcBorders>
                  <w:noWrap w:val="0"/>
                  <w:vAlign w:val="center"/>
                </w:tcPr>
                <w:p w14:paraId="0394238D">
                  <w:pPr>
                    <w:pStyle w:val="114"/>
                    <w:rPr>
                      <w:rFonts w:hint="default" w:ascii="Times New Roman" w:hAnsi="Times New Roman" w:eastAsia="宋体" w:cs="Times New Roman"/>
                      <w:bCs/>
                      <w:color w:val="auto"/>
                      <w:lang w:val="en-US" w:eastAsia="zh-CN"/>
                    </w:rPr>
                  </w:pPr>
                  <w:r>
                    <w:rPr>
                      <w:rFonts w:hint="eastAsia" w:cs="Times New Roman"/>
                      <w:bCs/>
                      <w:color w:val="auto"/>
                      <w:lang w:val="en-US" w:eastAsia="zh-CN"/>
                    </w:rPr>
                    <w:t>10</w:t>
                  </w:r>
                </w:p>
              </w:tc>
            </w:tr>
            <w:tr w14:paraId="21026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 w:hRule="atLeast"/>
                <w:jc w:val="center"/>
              </w:trPr>
              <w:tc>
                <w:tcPr>
                  <w:tcW w:w="1119" w:type="dxa"/>
                  <w:vMerge w:val="continue"/>
                  <w:tcBorders>
                    <w:left w:val="single" w:color="auto" w:sz="4" w:space="0"/>
                    <w:right w:val="single" w:color="auto" w:sz="6" w:space="0"/>
                  </w:tcBorders>
                  <w:noWrap w:val="0"/>
                  <w:vAlign w:val="center"/>
                </w:tcPr>
                <w:p w14:paraId="0A46CD9A">
                  <w:pPr>
                    <w:pStyle w:val="114"/>
                    <w:rPr>
                      <w:color w:val="auto"/>
                    </w:rPr>
                  </w:pPr>
                </w:p>
              </w:tc>
              <w:tc>
                <w:tcPr>
                  <w:tcW w:w="928" w:type="dxa"/>
                  <w:vMerge w:val="continue"/>
                  <w:tcBorders>
                    <w:left w:val="single" w:color="auto" w:sz="4" w:space="0"/>
                    <w:right w:val="single" w:color="auto" w:sz="6" w:space="0"/>
                  </w:tcBorders>
                  <w:noWrap w:val="0"/>
                  <w:vAlign w:val="center"/>
                </w:tcPr>
                <w:p w14:paraId="7C09C58D">
                  <w:pPr>
                    <w:pStyle w:val="114"/>
                    <w:rPr>
                      <w:color w:val="auto"/>
                    </w:rPr>
                  </w:pPr>
                </w:p>
              </w:tc>
              <w:tc>
                <w:tcPr>
                  <w:tcW w:w="1117" w:type="dxa"/>
                  <w:tcBorders>
                    <w:top w:val="single" w:color="auto" w:sz="6" w:space="0"/>
                    <w:left w:val="single" w:color="auto" w:sz="4" w:space="0"/>
                    <w:bottom w:val="single" w:color="auto" w:sz="4" w:space="0"/>
                    <w:right w:val="single" w:color="auto" w:sz="6" w:space="0"/>
                  </w:tcBorders>
                  <w:noWrap w:val="0"/>
                  <w:vAlign w:val="center"/>
                </w:tcPr>
                <w:p w14:paraId="2CD1D3D2">
                  <w:pPr>
                    <w:adjustRightInd w:val="0"/>
                    <w:snapToGrid w:val="0"/>
                    <w:jc w:val="center"/>
                    <w:rPr>
                      <w:rFonts w:hint="default" w:ascii="Times New Roman" w:hAnsi="Times New Roman" w:cs="Times New Roman"/>
                      <w:color w:val="auto"/>
                      <w:lang w:val="en-US" w:eastAsia="zh-CN"/>
                    </w:rPr>
                  </w:pPr>
                  <w:r>
                    <w:rPr>
                      <w:rFonts w:hint="eastAsia"/>
                      <w:color w:val="auto"/>
                      <w:lang w:val="en-US" w:eastAsia="zh-CN"/>
                    </w:rPr>
                    <w:t>印刷废气</w:t>
                  </w:r>
                </w:p>
              </w:tc>
              <w:tc>
                <w:tcPr>
                  <w:tcW w:w="3982" w:type="dxa"/>
                  <w:vMerge w:val="continue"/>
                  <w:tcBorders>
                    <w:left w:val="single" w:color="auto" w:sz="6" w:space="0"/>
                    <w:right w:val="single" w:color="auto" w:sz="6" w:space="0"/>
                  </w:tcBorders>
                  <w:noWrap w:val="0"/>
                  <w:vAlign w:val="center"/>
                </w:tcPr>
                <w:p w14:paraId="42F800CE">
                  <w:pPr>
                    <w:pStyle w:val="114"/>
                    <w:rPr>
                      <w:rFonts w:hint="eastAsia" w:ascii="Times New Roman" w:hAnsi="Times New Roman" w:cs="Times New Roman"/>
                      <w:color w:val="auto"/>
                      <w:lang w:val="en-US" w:eastAsia="zh-CN"/>
                    </w:rPr>
                  </w:pPr>
                </w:p>
              </w:tc>
              <w:tc>
                <w:tcPr>
                  <w:tcW w:w="1314" w:type="dxa"/>
                  <w:vMerge w:val="continue"/>
                  <w:tcBorders>
                    <w:left w:val="single" w:color="auto" w:sz="6" w:space="0"/>
                    <w:right w:val="single" w:color="auto" w:sz="6" w:space="0"/>
                  </w:tcBorders>
                  <w:noWrap w:val="0"/>
                  <w:vAlign w:val="center"/>
                </w:tcPr>
                <w:p w14:paraId="17FF1C27">
                  <w:pPr>
                    <w:pStyle w:val="114"/>
                    <w:rPr>
                      <w:rFonts w:hint="eastAsia" w:ascii="Times New Roman" w:hAnsi="Times New Roman" w:cs="Times New Roman"/>
                      <w:color w:val="auto"/>
                      <w:lang w:val="en-US" w:eastAsia="zh-CN"/>
                    </w:rPr>
                  </w:pPr>
                </w:p>
              </w:tc>
            </w:tr>
            <w:tr w14:paraId="63475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 w:hRule="atLeast"/>
                <w:jc w:val="center"/>
              </w:trPr>
              <w:tc>
                <w:tcPr>
                  <w:tcW w:w="1119" w:type="dxa"/>
                  <w:vMerge w:val="continue"/>
                  <w:tcBorders>
                    <w:left w:val="single" w:color="auto" w:sz="4" w:space="0"/>
                    <w:right w:val="single" w:color="auto" w:sz="6" w:space="0"/>
                  </w:tcBorders>
                  <w:noWrap w:val="0"/>
                  <w:vAlign w:val="center"/>
                </w:tcPr>
                <w:p w14:paraId="6D2AF254">
                  <w:pPr>
                    <w:pStyle w:val="114"/>
                    <w:rPr>
                      <w:rFonts w:hint="default" w:ascii="Times New Roman" w:hAnsi="Times New Roman" w:cs="Times New Roman"/>
                      <w:color w:val="auto"/>
                      <w:lang w:val="en-GB"/>
                    </w:rPr>
                  </w:pPr>
                </w:p>
              </w:tc>
              <w:tc>
                <w:tcPr>
                  <w:tcW w:w="2045" w:type="dxa"/>
                  <w:gridSpan w:val="2"/>
                  <w:tcBorders>
                    <w:top w:val="single" w:color="auto" w:sz="4" w:space="0"/>
                    <w:left w:val="single" w:color="auto" w:sz="4" w:space="0"/>
                    <w:bottom w:val="single" w:color="auto" w:sz="4" w:space="0"/>
                    <w:right w:val="single" w:color="auto" w:sz="6" w:space="0"/>
                  </w:tcBorders>
                  <w:noWrap w:val="0"/>
                  <w:vAlign w:val="center"/>
                </w:tcPr>
                <w:p w14:paraId="05C8F889">
                  <w:pPr>
                    <w:pStyle w:val="114"/>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无组织废气</w:t>
                  </w:r>
                </w:p>
              </w:tc>
              <w:tc>
                <w:tcPr>
                  <w:tcW w:w="3982" w:type="dxa"/>
                  <w:tcBorders>
                    <w:left w:val="single" w:color="auto" w:sz="6" w:space="0"/>
                    <w:right w:val="single" w:color="auto" w:sz="6" w:space="0"/>
                  </w:tcBorders>
                  <w:noWrap w:val="0"/>
                  <w:vAlign w:val="center"/>
                </w:tcPr>
                <w:p w14:paraId="292547F7">
                  <w:pPr>
                    <w:pStyle w:val="114"/>
                    <w:rPr>
                      <w:rFonts w:hint="default" w:ascii="Times New Roman" w:hAnsi="Times New Roman" w:eastAsia="宋体" w:cs="Times New Roman"/>
                      <w:color w:val="auto"/>
                      <w:lang w:val="en-US" w:eastAsia="zh-CN"/>
                    </w:rPr>
                  </w:pPr>
                  <w:r>
                    <w:rPr>
                      <w:bCs/>
                      <w:color w:val="auto"/>
                      <w:szCs w:val="21"/>
                    </w:rPr>
                    <w:t>加强车间密闭、通风</w:t>
                  </w:r>
                </w:p>
              </w:tc>
              <w:tc>
                <w:tcPr>
                  <w:tcW w:w="1314" w:type="dxa"/>
                  <w:tcBorders>
                    <w:left w:val="single" w:color="auto" w:sz="6" w:space="0"/>
                    <w:right w:val="single" w:color="auto" w:sz="6" w:space="0"/>
                  </w:tcBorders>
                  <w:noWrap w:val="0"/>
                  <w:vAlign w:val="center"/>
                </w:tcPr>
                <w:p w14:paraId="0E96C768">
                  <w:pPr>
                    <w:pStyle w:val="114"/>
                    <w:rPr>
                      <w:rFonts w:hint="default" w:ascii="Times New Roman" w:hAnsi="Times New Roman" w:eastAsia="宋体" w:cs="Times New Roman"/>
                      <w:bCs/>
                      <w:color w:val="auto"/>
                      <w:lang w:val="en-US" w:eastAsia="zh-CN"/>
                    </w:rPr>
                  </w:pPr>
                  <w:r>
                    <w:rPr>
                      <w:rFonts w:hint="eastAsia" w:cs="Times New Roman"/>
                      <w:bCs/>
                      <w:color w:val="auto"/>
                      <w:lang w:val="en-US" w:eastAsia="zh-CN"/>
                    </w:rPr>
                    <w:t>1</w:t>
                  </w:r>
                </w:p>
              </w:tc>
            </w:tr>
            <w:tr w14:paraId="36071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164" w:type="dxa"/>
                  <w:gridSpan w:val="3"/>
                  <w:tcBorders>
                    <w:top w:val="single" w:color="auto" w:sz="6" w:space="0"/>
                    <w:left w:val="single" w:color="auto" w:sz="4" w:space="0"/>
                    <w:bottom w:val="single" w:color="auto" w:sz="6" w:space="0"/>
                    <w:right w:val="single" w:color="auto" w:sz="6" w:space="0"/>
                  </w:tcBorders>
                  <w:noWrap w:val="0"/>
                  <w:vAlign w:val="center"/>
                </w:tcPr>
                <w:p w14:paraId="02C07E27">
                  <w:pPr>
                    <w:pStyle w:val="114"/>
                    <w:jc w:val="center"/>
                    <w:rPr>
                      <w:rFonts w:hint="default" w:ascii="Times New Roman" w:hAnsi="Times New Roman" w:cs="Times New Roman"/>
                      <w:color w:val="auto"/>
                      <w:lang w:val="en-GB"/>
                    </w:rPr>
                  </w:pPr>
                  <w:r>
                    <w:rPr>
                      <w:rFonts w:hint="default" w:ascii="Times New Roman" w:hAnsi="Times New Roman" w:cs="Times New Roman"/>
                      <w:color w:val="auto"/>
                      <w:lang w:val="en-GB"/>
                    </w:rPr>
                    <w:t>噪声</w:t>
                  </w:r>
                </w:p>
              </w:tc>
              <w:tc>
                <w:tcPr>
                  <w:tcW w:w="3982" w:type="dxa"/>
                  <w:tcBorders>
                    <w:top w:val="single" w:color="auto" w:sz="6" w:space="0"/>
                    <w:left w:val="single" w:color="auto" w:sz="6" w:space="0"/>
                    <w:bottom w:val="single" w:color="auto" w:sz="6" w:space="0"/>
                    <w:right w:val="single" w:color="auto" w:sz="6" w:space="0"/>
                  </w:tcBorders>
                  <w:noWrap w:val="0"/>
                  <w:vAlign w:val="center"/>
                </w:tcPr>
                <w:p w14:paraId="3D5387EE">
                  <w:pPr>
                    <w:pStyle w:val="114"/>
                    <w:rPr>
                      <w:rFonts w:hint="default" w:ascii="Times New Roman" w:hAnsi="Times New Roman" w:cs="Times New Roman"/>
                      <w:color w:val="auto"/>
                      <w:lang w:val="en-GB"/>
                    </w:rPr>
                  </w:pPr>
                  <w:r>
                    <w:rPr>
                      <w:color w:val="auto"/>
                    </w:rPr>
                    <w:t>减振垫、隔音材料等</w:t>
                  </w:r>
                </w:p>
              </w:tc>
              <w:tc>
                <w:tcPr>
                  <w:tcW w:w="1314" w:type="dxa"/>
                  <w:tcBorders>
                    <w:top w:val="single" w:color="auto" w:sz="6" w:space="0"/>
                    <w:left w:val="single" w:color="auto" w:sz="6" w:space="0"/>
                    <w:bottom w:val="single" w:color="auto" w:sz="6" w:space="0"/>
                    <w:right w:val="single" w:color="auto" w:sz="6" w:space="0"/>
                  </w:tcBorders>
                  <w:noWrap w:val="0"/>
                  <w:vAlign w:val="center"/>
                </w:tcPr>
                <w:p w14:paraId="7D0FE1AD">
                  <w:pPr>
                    <w:pStyle w:val="114"/>
                    <w:rPr>
                      <w:rFonts w:hint="default" w:ascii="Times New Roman" w:hAnsi="Times New Roman" w:eastAsia="宋体" w:cs="Times New Roman"/>
                      <w:bCs/>
                      <w:color w:val="auto"/>
                      <w:lang w:val="en-US" w:eastAsia="zh-CN"/>
                    </w:rPr>
                  </w:pPr>
                  <w:r>
                    <w:rPr>
                      <w:rFonts w:hint="eastAsia" w:cs="Times New Roman"/>
                      <w:bCs/>
                      <w:color w:val="auto"/>
                      <w:lang w:val="en-US" w:eastAsia="zh-CN"/>
                    </w:rPr>
                    <w:t>1</w:t>
                  </w:r>
                </w:p>
              </w:tc>
            </w:tr>
            <w:tr w14:paraId="74BEB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119" w:type="dxa"/>
                  <w:vMerge w:val="restart"/>
                  <w:tcBorders>
                    <w:top w:val="single" w:color="auto" w:sz="6" w:space="0"/>
                    <w:left w:val="single" w:color="auto" w:sz="4" w:space="0"/>
                    <w:right w:val="single" w:color="auto" w:sz="6" w:space="0"/>
                  </w:tcBorders>
                  <w:noWrap w:val="0"/>
                  <w:vAlign w:val="center"/>
                </w:tcPr>
                <w:p w14:paraId="70DEC95D">
                  <w:pPr>
                    <w:pStyle w:val="114"/>
                    <w:rPr>
                      <w:rFonts w:hint="default" w:ascii="Times New Roman" w:hAnsi="Times New Roman" w:cs="Times New Roman"/>
                      <w:color w:val="auto"/>
                      <w:lang w:val="en-GB"/>
                    </w:rPr>
                  </w:pPr>
                  <w:r>
                    <w:rPr>
                      <w:rFonts w:hint="default" w:ascii="Times New Roman" w:hAnsi="Times New Roman" w:cs="Times New Roman"/>
                      <w:color w:val="auto"/>
                      <w:lang w:val="en-GB"/>
                    </w:rPr>
                    <w:t>固体废物</w:t>
                  </w:r>
                </w:p>
              </w:tc>
              <w:tc>
                <w:tcPr>
                  <w:tcW w:w="2045" w:type="dxa"/>
                  <w:gridSpan w:val="2"/>
                  <w:tcBorders>
                    <w:top w:val="single" w:color="auto" w:sz="6" w:space="0"/>
                    <w:left w:val="single" w:color="auto" w:sz="4" w:space="0"/>
                    <w:right w:val="single" w:color="auto" w:sz="6" w:space="0"/>
                  </w:tcBorders>
                  <w:noWrap w:val="0"/>
                  <w:vAlign w:val="center"/>
                </w:tcPr>
                <w:p w14:paraId="260D0EA6">
                  <w:pPr>
                    <w:pStyle w:val="7"/>
                    <w:spacing w:line="240" w:lineRule="auto"/>
                    <w:ind w:left="0" w:leftChars="0" w:firstLine="0" w:firstLineChars="0"/>
                    <w:jc w:val="center"/>
                    <w:rPr>
                      <w:rFonts w:hint="eastAsia" w:ascii="Times New Roman" w:hAnsi="Times New Roman" w:eastAsia="宋体" w:cs="Times New Roman"/>
                      <w:color w:val="auto"/>
                      <w:lang w:val="en-US" w:eastAsia="zh-CN"/>
                    </w:rPr>
                  </w:pPr>
                  <w:r>
                    <w:rPr>
                      <w:color w:val="auto"/>
                      <w:sz w:val="21"/>
                      <w:szCs w:val="21"/>
                    </w:rPr>
                    <w:t>一般</w:t>
                  </w:r>
                  <w:r>
                    <w:rPr>
                      <w:rFonts w:hint="eastAsia"/>
                      <w:color w:val="auto"/>
                      <w:sz w:val="21"/>
                      <w:szCs w:val="21"/>
                      <w:lang w:val="en-US" w:eastAsia="zh-CN"/>
                    </w:rPr>
                    <w:t>固体废物</w:t>
                  </w:r>
                </w:p>
              </w:tc>
              <w:tc>
                <w:tcPr>
                  <w:tcW w:w="3982" w:type="dxa"/>
                  <w:tcBorders>
                    <w:top w:val="single" w:color="auto" w:sz="6" w:space="0"/>
                    <w:left w:val="single" w:color="auto" w:sz="6" w:space="0"/>
                    <w:bottom w:val="single" w:color="auto" w:sz="6" w:space="0"/>
                    <w:right w:val="single" w:color="auto" w:sz="6" w:space="0"/>
                  </w:tcBorders>
                  <w:noWrap w:val="0"/>
                  <w:vAlign w:val="center"/>
                </w:tcPr>
                <w:p w14:paraId="241AA738">
                  <w:pPr>
                    <w:pStyle w:val="114"/>
                    <w:jc w:val="center"/>
                    <w:rPr>
                      <w:rFonts w:hint="default" w:ascii="Times New Roman" w:hAnsi="Times New Roman" w:cs="Times New Roman"/>
                      <w:color w:val="auto"/>
                      <w:lang w:val="en-GB"/>
                    </w:rPr>
                  </w:pPr>
                  <w:r>
                    <w:rPr>
                      <w:rFonts w:hint="eastAsia"/>
                      <w:color w:val="auto"/>
                      <w:sz w:val="21"/>
                      <w:szCs w:val="21"/>
                      <w:lang w:val="en-US" w:eastAsia="zh-CN" w:bidi="ar"/>
                    </w:rPr>
                    <w:t>一间面积为20m</w:t>
                  </w:r>
                  <w:r>
                    <w:rPr>
                      <w:rFonts w:hint="eastAsia"/>
                      <w:color w:val="auto"/>
                      <w:sz w:val="21"/>
                      <w:szCs w:val="21"/>
                      <w:vertAlign w:val="superscript"/>
                      <w:lang w:val="en-US" w:eastAsia="zh-CN" w:bidi="ar"/>
                    </w:rPr>
                    <w:t>2</w:t>
                  </w:r>
                  <w:r>
                    <w:rPr>
                      <w:rFonts w:hint="eastAsia"/>
                      <w:color w:val="auto"/>
                      <w:sz w:val="21"/>
                      <w:szCs w:val="21"/>
                      <w:vertAlign w:val="baseline"/>
                      <w:lang w:val="en-US" w:eastAsia="zh-CN" w:bidi="ar"/>
                    </w:rPr>
                    <w:t>一般固废暂存间</w:t>
                  </w:r>
                </w:p>
              </w:tc>
              <w:tc>
                <w:tcPr>
                  <w:tcW w:w="1314" w:type="dxa"/>
                  <w:tcBorders>
                    <w:top w:val="single" w:color="auto" w:sz="6" w:space="0"/>
                    <w:left w:val="single" w:color="auto" w:sz="6" w:space="0"/>
                    <w:bottom w:val="single" w:color="auto" w:sz="6" w:space="0"/>
                    <w:right w:val="single" w:color="auto" w:sz="6" w:space="0"/>
                  </w:tcBorders>
                  <w:noWrap w:val="0"/>
                  <w:vAlign w:val="center"/>
                </w:tcPr>
                <w:p w14:paraId="0F86E6A9">
                  <w:pPr>
                    <w:pStyle w:val="114"/>
                    <w:rPr>
                      <w:rFonts w:hint="default" w:ascii="Times New Roman" w:hAnsi="Times New Roman" w:eastAsia="宋体" w:cs="Times New Roman"/>
                      <w:bCs/>
                      <w:color w:val="auto"/>
                      <w:lang w:val="en-US" w:eastAsia="zh-CN"/>
                    </w:rPr>
                  </w:pPr>
                  <w:r>
                    <w:rPr>
                      <w:rFonts w:hint="eastAsia" w:cs="Times New Roman"/>
                      <w:bCs/>
                      <w:color w:val="auto"/>
                      <w:lang w:val="en-US" w:eastAsia="zh-CN"/>
                    </w:rPr>
                    <w:t>1</w:t>
                  </w:r>
                </w:p>
              </w:tc>
            </w:tr>
            <w:tr w14:paraId="2C733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119" w:type="dxa"/>
                  <w:vMerge w:val="continue"/>
                  <w:tcBorders>
                    <w:left w:val="single" w:color="auto" w:sz="4" w:space="0"/>
                    <w:right w:val="single" w:color="auto" w:sz="6" w:space="0"/>
                  </w:tcBorders>
                  <w:noWrap w:val="0"/>
                  <w:vAlign w:val="center"/>
                </w:tcPr>
                <w:p w14:paraId="4AD6DC58">
                  <w:pPr>
                    <w:pStyle w:val="114"/>
                    <w:rPr>
                      <w:rFonts w:hint="default" w:ascii="Times New Roman" w:hAnsi="Times New Roman" w:cs="Times New Roman"/>
                      <w:color w:val="auto"/>
                      <w:lang w:val="en-GB"/>
                    </w:rPr>
                  </w:pPr>
                </w:p>
              </w:tc>
              <w:tc>
                <w:tcPr>
                  <w:tcW w:w="2045" w:type="dxa"/>
                  <w:gridSpan w:val="2"/>
                  <w:tcBorders>
                    <w:left w:val="single" w:color="auto" w:sz="4" w:space="0"/>
                    <w:right w:val="single" w:color="auto" w:sz="6" w:space="0"/>
                  </w:tcBorders>
                  <w:noWrap w:val="0"/>
                  <w:vAlign w:val="center"/>
                </w:tcPr>
                <w:p w14:paraId="4AAAE464">
                  <w:pPr>
                    <w:pStyle w:val="7"/>
                    <w:spacing w:line="240" w:lineRule="auto"/>
                    <w:ind w:left="0" w:leftChars="0" w:firstLine="0" w:firstLineChars="0"/>
                    <w:jc w:val="center"/>
                    <w:rPr>
                      <w:rFonts w:hint="default" w:ascii="Times New Roman" w:hAnsi="Times New Roman" w:cs="Times New Roman"/>
                      <w:color w:val="auto"/>
                      <w:lang w:val="en-GB"/>
                    </w:rPr>
                  </w:pPr>
                  <w:r>
                    <w:rPr>
                      <w:color w:val="auto"/>
                      <w:sz w:val="21"/>
                      <w:szCs w:val="21"/>
                    </w:rPr>
                    <w:t>危险废物</w:t>
                  </w:r>
                </w:p>
              </w:tc>
              <w:tc>
                <w:tcPr>
                  <w:tcW w:w="3982" w:type="dxa"/>
                  <w:tcBorders>
                    <w:top w:val="single" w:color="auto" w:sz="6" w:space="0"/>
                    <w:left w:val="single" w:color="auto" w:sz="6" w:space="0"/>
                    <w:bottom w:val="single" w:color="auto" w:sz="6" w:space="0"/>
                    <w:right w:val="single" w:color="auto" w:sz="6" w:space="0"/>
                  </w:tcBorders>
                  <w:noWrap w:val="0"/>
                  <w:vAlign w:val="center"/>
                </w:tcPr>
                <w:p w14:paraId="0E132968">
                  <w:pPr>
                    <w:pStyle w:val="114"/>
                    <w:jc w:val="center"/>
                    <w:rPr>
                      <w:rFonts w:hint="default" w:ascii="Times New Roman" w:hAnsi="Times New Roman" w:cs="Times New Roman"/>
                      <w:color w:val="auto"/>
                    </w:rPr>
                  </w:pPr>
                  <w:r>
                    <w:rPr>
                      <w:rFonts w:hint="eastAsia"/>
                      <w:color w:val="auto"/>
                      <w:sz w:val="21"/>
                      <w:szCs w:val="21"/>
                      <w:lang w:val="en-US" w:eastAsia="zh-CN" w:bidi="ar"/>
                    </w:rPr>
                    <w:t>一间面积为15m</w:t>
                  </w:r>
                  <w:r>
                    <w:rPr>
                      <w:rFonts w:hint="eastAsia"/>
                      <w:color w:val="auto"/>
                      <w:sz w:val="21"/>
                      <w:szCs w:val="21"/>
                      <w:vertAlign w:val="superscript"/>
                      <w:lang w:val="en-US" w:eastAsia="zh-CN" w:bidi="ar"/>
                    </w:rPr>
                    <w:t>2</w:t>
                  </w:r>
                  <w:r>
                    <w:rPr>
                      <w:rFonts w:hint="eastAsia"/>
                      <w:color w:val="auto"/>
                      <w:sz w:val="21"/>
                      <w:szCs w:val="21"/>
                      <w:vertAlign w:val="baseline"/>
                      <w:lang w:val="en-US" w:eastAsia="zh-CN" w:bidi="ar"/>
                    </w:rPr>
                    <w:t>危废暂存间</w:t>
                  </w:r>
                </w:p>
              </w:tc>
              <w:tc>
                <w:tcPr>
                  <w:tcW w:w="1314" w:type="dxa"/>
                  <w:tcBorders>
                    <w:top w:val="single" w:color="auto" w:sz="6" w:space="0"/>
                    <w:left w:val="single" w:color="auto" w:sz="6" w:space="0"/>
                    <w:bottom w:val="single" w:color="auto" w:sz="6" w:space="0"/>
                    <w:right w:val="single" w:color="auto" w:sz="6" w:space="0"/>
                  </w:tcBorders>
                  <w:noWrap w:val="0"/>
                  <w:vAlign w:val="center"/>
                </w:tcPr>
                <w:p w14:paraId="0511CBB7">
                  <w:pPr>
                    <w:pStyle w:val="114"/>
                    <w:rPr>
                      <w:rFonts w:hint="default" w:ascii="Times New Roman" w:hAnsi="Times New Roman" w:eastAsia="宋体" w:cs="Times New Roman"/>
                      <w:color w:val="auto"/>
                      <w:lang w:val="en-US" w:eastAsia="zh-CN"/>
                    </w:rPr>
                  </w:pPr>
                  <w:r>
                    <w:rPr>
                      <w:rFonts w:hint="eastAsia" w:cs="Times New Roman"/>
                      <w:color w:val="auto"/>
                      <w:lang w:val="en-US" w:eastAsia="zh-CN"/>
                    </w:rPr>
                    <w:t>1</w:t>
                  </w:r>
                </w:p>
              </w:tc>
            </w:tr>
            <w:tr w14:paraId="3B0C0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119" w:type="dxa"/>
                  <w:vMerge w:val="continue"/>
                  <w:tcBorders>
                    <w:left w:val="single" w:color="auto" w:sz="4" w:space="0"/>
                    <w:bottom w:val="single" w:color="auto" w:sz="6" w:space="0"/>
                    <w:right w:val="single" w:color="auto" w:sz="6" w:space="0"/>
                  </w:tcBorders>
                  <w:noWrap w:val="0"/>
                  <w:vAlign w:val="center"/>
                </w:tcPr>
                <w:p w14:paraId="01803FB5">
                  <w:pPr>
                    <w:pStyle w:val="114"/>
                    <w:rPr>
                      <w:rFonts w:hint="default" w:ascii="Times New Roman" w:hAnsi="Times New Roman" w:cs="Times New Roman"/>
                      <w:color w:val="auto"/>
                      <w:lang w:val="en-GB"/>
                    </w:rPr>
                  </w:pPr>
                </w:p>
              </w:tc>
              <w:tc>
                <w:tcPr>
                  <w:tcW w:w="2045" w:type="dxa"/>
                  <w:gridSpan w:val="2"/>
                  <w:tcBorders>
                    <w:left w:val="single" w:color="auto" w:sz="4" w:space="0"/>
                    <w:bottom w:val="single" w:color="auto" w:sz="6" w:space="0"/>
                    <w:right w:val="single" w:color="auto" w:sz="6" w:space="0"/>
                  </w:tcBorders>
                  <w:noWrap w:val="0"/>
                  <w:vAlign w:val="center"/>
                </w:tcPr>
                <w:p w14:paraId="1CD040FB">
                  <w:pPr>
                    <w:pStyle w:val="7"/>
                    <w:spacing w:line="240" w:lineRule="auto"/>
                    <w:ind w:left="0" w:leftChars="0" w:firstLine="0" w:firstLineChars="0"/>
                    <w:jc w:val="center"/>
                    <w:rPr>
                      <w:rFonts w:hint="default" w:ascii="Times New Roman" w:hAnsi="Times New Roman" w:cs="Times New Roman"/>
                      <w:color w:val="auto"/>
                      <w:lang w:val="en-GB"/>
                    </w:rPr>
                  </w:pPr>
                  <w:r>
                    <w:rPr>
                      <w:color w:val="auto"/>
                      <w:sz w:val="21"/>
                      <w:szCs w:val="21"/>
                    </w:rPr>
                    <w:t>生活垃圾</w:t>
                  </w:r>
                </w:p>
              </w:tc>
              <w:tc>
                <w:tcPr>
                  <w:tcW w:w="3982" w:type="dxa"/>
                  <w:tcBorders>
                    <w:top w:val="single" w:color="auto" w:sz="6" w:space="0"/>
                    <w:left w:val="single" w:color="auto" w:sz="6" w:space="0"/>
                    <w:bottom w:val="single" w:color="auto" w:sz="6" w:space="0"/>
                    <w:right w:val="single" w:color="auto" w:sz="6" w:space="0"/>
                  </w:tcBorders>
                  <w:noWrap w:val="0"/>
                  <w:vAlign w:val="center"/>
                </w:tcPr>
                <w:p w14:paraId="38853E68">
                  <w:pPr>
                    <w:pStyle w:val="114"/>
                    <w:rPr>
                      <w:rFonts w:hint="eastAsia"/>
                      <w:color w:val="auto"/>
                      <w:sz w:val="21"/>
                      <w:szCs w:val="21"/>
                      <w:lang w:val="en-US" w:eastAsia="zh-CN"/>
                    </w:rPr>
                  </w:pPr>
                  <w:r>
                    <w:rPr>
                      <w:color w:val="auto"/>
                      <w:sz w:val="21"/>
                      <w:szCs w:val="21"/>
                    </w:rPr>
                    <w:t>垃圾桶</w:t>
                  </w:r>
                </w:p>
              </w:tc>
              <w:tc>
                <w:tcPr>
                  <w:tcW w:w="1314" w:type="dxa"/>
                  <w:tcBorders>
                    <w:top w:val="single" w:color="auto" w:sz="6" w:space="0"/>
                    <w:left w:val="single" w:color="auto" w:sz="6" w:space="0"/>
                    <w:bottom w:val="single" w:color="auto" w:sz="6" w:space="0"/>
                    <w:right w:val="single" w:color="auto" w:sz="6" w:space="0"/>
                  </w:tcBorders>
                  <w:noWrap w:val="0"/>
                  <w:vAlign w:val="center"/>
                </w:tcPr>
                <w:p w14:paraId="0EFC807B">
                  <w:pPr>
                    <w:pStyle w:val="114"/>
                    <w:rPr>
                      <w:rFonts w:hint="default" w:ascii="Times New Roman" w:hAnsi="Times New Roman" w:eastAsia="宋体" w:cs="Times New Roman"/>
                      <w:color w:val="auto"/>
                      <w:lang w:val="en-US" w:eastAsia="zh-CN"/>
                    </w:rPr>
                  </w:pPr>
                  <w:r>
                    <w:rPr>
                      <w:rFonts w:hint="eastAsia" w:cs="Times New Roman"/>
                      <w:color w:val="auto"/>
                      <w:lang w:val="en-US" w:eastAsia="zh-CN"/>
                    </w:rPr>
                    <w:t>0.5</w:t>
                  </w:r>
                </w:p>
              </w:tc>
            </w:tr>
            <w:tr w14:paraId="2A6AF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164" w:type="dxa"/>
                  <w:gridSpan w:val="3"/>
                  <w:tcBorders>
                    <w:left w:val="single" w:color="auto" w:sz="4" w:space="0"/>
                    <w:bottom w:val="single" w:color="auto" w:sz="6" w:space="0"/>
                    <w:right w:val="single" w:color="auto" w:sz="6" w:space="0"/>
                  </w:tcBorders>
                  <w:noWrap w:val="0"/>
                  <w:vAlign w:val="center"/>
                </w:tcPr>
                <w:p w14:paraId="4A178CAF">
                  <w:pPr>
                    <w:pStyle w:val="114"/>
                    <w:rPr>
                      <w:rFonts w:hint="default" w:ascii="Times New Roman" w:hAnsi="Times New Roman" w:cs="Times New Roman"/>
                      <w:color w:val="auto"/>
                      <w:lang w:val="en-GB"/>
                    </w:rPr>
                  </w:pPr>
                  <w:r>
                    <w:rPr>
                      <w:color w:val="auto"/>
                    </w:rPr>
                    <w:t>地下水、</w:t>
                  </w:r>
                  <w:r>
                    <w:rPr>
                      <w:rFonts w:hint="eastAsia"/>
                      <w:color w:val="auto"/>
                      <w:lang w:val="en-US" w:eastAsia="zh-CN"/>
                    </w:rPr>
                    <w:t>地表水、</w:t>
                  </w:r>
                  <w:r>
                    <w:rPr>
                      <w:color w:val="auto"/>
                    </w:rPr>
                    <w:t>土壤</w:t>
                  </w:r>
                </w:p>
              </w:tc>
              <w:tc>
                <w:tcPr>
                  <w:tcW w:w="3982" w:type="dxa"/>
                  <w:tcBorders>
                    <w:top w:val="single" w:color="auto" w:sz="6" w:space="0"/>
                    <w:left w:val="single" w:color="auto" w:sz="6" w:space="0"/>
                    <w:bottom w:val="single" w:color="auto" w:sz="6" w:space="0"/>
                    <w:right w:val="single" w:color="auto" w:sz="6" w:space="0"/>
                  </w:tcBorders>
                  <w:noWrap w:val="0"/>
                  <w:vAlign w:val="center"/>
                </w:tcPr>
                <w:p w14:paraId="615D22F2">
                  <w:pPr>
                    <w:pStyle w:val="114"/>
                    <w:rPr>
                      <w:rFonts w:hint="eastAsia"/>
                      <w:color w:val="auto"/>
                      <w:sz w:val="21"/>
                      <w:szCs w:val="21"/>
                      <w:lang w:val="en-US" w:eastAsia="zh-CN"/>
                    </w:rPr>
                  </w:pPr>
                  <w:r>
                    <w:rPr>
                      <w:color w:val="auto"/>
                    </w:rPr>
                    <w:t>分区防渗措施</w:t>
                  </w:r>
                </w:p>
              </w:tc>
              <w:tc>
                <w:tcPr>
                  <w:tcW w:w="1314" w:type="dxa"/>
                  <w:tcBorders>
                    <w:top w:val="single" w:color="auto" w:sz="6" w:space="0"/>
                    <w:left w:val="single" w:color="auto" w:sz="6" w:space="0"/>
                    <w:bottom w:val="single" w:color="auto" w:sz="6" w:space="0"/>
                    <w:right w:val="single" w:color="auto" w:sz="6" w:space="0"/>
                  </w:tcBorders>
                  <w:noWrap w:val="0"/>
                  <w:vAlign w:val="center"/>
                </w:tcPr>
                <w:p w14:paraId="563EA281">
                  <w:pPr>
                    <w:pStyle w:val="114"/>
                    <w:rPr>
                      <w:rFonts w:hint="default" w:ascii="Times New Roman" w:hAnsi="Times New Roman" w:eastAsia="宋体" w:cs="Times New Roman"/>
                      <w:color w:val="auto"/>
                      <w:lang w:val="en-US" w:eastAsia="zh-CN"/>
                    </w:rPr>
                  </w:pPr>
                  <w:r>
                    <w:rPr>
                      <w:rFonts w:hint="eastAsia" w:cs="Times New Roman"/>
                      <w:color w:val="auto"/>
                      <w:lang w:val="en-US" w:eastAsia="zh-CN"/>
                    </w:rPr>
                    <w:t>4.5</w:t>
                  </w:r>
                </w:p>
              </w:tc>
            </w:tr>
            <w:tr w14:paraId="111DB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146" w:type="dxa"/>
                  <w:gridSpan w:val="4"/>
                  <w:tcBorders>
                    <w:top w:val="single" w:color="auto" w:sz="6" w:space="0"/>
                    <w:left w:val="single" w:color="auto" w:sz="4" w:space="0"/>
                    <w:bottom w:val="single" w:color="auto" w:sz="6" w:space="0"/>
                    <w:right w:val="single" w:color="auto" w:sz="6" w:space="0"/>
                  </w:tcBorders>
                  <w:noWrap w:val="0"/>
                  <w:vAlign w:val="center"/>
                </w:tcPr>
                <w:p w14:paraId="1390A20C">
                  <w:pPr>
                    <w:pStyle w:val="114"/>
                    <w:rPr>
                      <w:rFonts w:hint="default" w:ascii="Times New Roman" w:hAnsi="Times New Roman" w:cs="Times New Roman"/>
                      <w:color w:val="auto"/>
                      <w:lang w:val="en-GB"/>
                    </w:rPr>
                  </w:pPr>
                  <w:r>
                    <w:rPr>
                      <w:rFonts w:hint="default" w:ascii="Times New Roman" w:hAnsi="Times New Roman" w:cs="Times New Roman"/>
                      <w:color w:val="auto"/>
                      <w:lang w:val="en-GB"/>
                    </w:rPr>
                    <w:t>合计</w:t>
                  </w:r>
                </w:p>
              </w:tc>
              <w:tc>
                <w:tcPr>
                  <w:tcW w:w="1314" w:type="dxa"/>
                  <w:tcBorders>
                    <w:top w:val="single" w:color="auto" w:sz="6" w:space="0"/>
                    <w:left w:val="single" w:color="auto" w:sz="6" w:space="0"/>
                    <w:bottom w:val="single" w:color="auto" w:sz="6" w:space="0"/>
                    <w:right w:val="single" w:color="auto" w:sz="6" w:space="0"/>
                  </w:tcBorders>
                  <w:noWrap w:val="0"/>
                  <w:vAlign w:val="center"/>
                </w:tcPr>
                <w:p w14:paraId="384E6AC7">
                  <w:pPr>
                    <w:pStyle w:val="114"/>
                    <w:rPr>
                      <w:rFonts w:hint="default" w:ascii="Times New Roman" w:hAnsi="Times New Roman" w:eastAsia="宋体" w:cs="Times New Roman"/>
                      <w:color w:val="auto"/>
                      <w:lang w:val="en-US" w:eastAsia="zh-CN"/>
                    </w:rPr>
                  </w:pPr>
                  <w:r>
                    <w:rPr>
                      <w:rFonts w:hint="eastAsia" w:cs="Times New Roman"/>
                      <w:color w:val="auto"/>
                      <w:lang w:val="en-US" w:eastAsia="zh-CN"/>
                    </w:rPr>
                    <w:t>20</w:t>
                  </w:r>
                </w:p>
              </w:tc>
            </w:tr>
          </w:tbl>
          <w:p w14:paraId="7B52DE3C">
            <w:pPr>
              <w:pStyle w:val="59"/>
              <w:adjustRightInd w:val="0"/>
              <w:snapToGrid w:val="0"/>
              <w:ind w:firstLine="0" w:firstLineChars="0"/>
              <w:rPr>
                <w:color w:val="auto"/>
              </w:rPr>
            </w:pPr>
          </w:p>
        </w:tc>
      </w:tr>
    </w:tbl>
    <w:p w14:paraId="1471FF9E">
      <w:pPr>
        <w:pStyle w:val="4"/>
        <w:rPr>
          <w:color w:val="auto"/>
        </w:rPr>
        <w:sectPr>
          <w:pgSz w:w="11907" w:h="16840"/>
          <w:pgMar w:top="1701" w:right="1531" w:bottom="2127" w:left="1531" w:header="851" w:footer="851" w:gutter="0"/>
          <w:pgNumType w:fmt="decimal"/>
          <w:cols w:space="720" w:num="1"/>
          <w:docGrid w:linePitch="312" w:charSpace="0"/>
        </w:sectPr>
      </w:pPr>
    </w:p>
    <w:p w14:paraId="43272ACF">
      <w:pPr>
        <w:pStyle w:val="24"/>
        <w:spacing w:before="0" w:beforeAutospacing="0" w:after="0" w:afterAutospacing="0"/>
        <w:jc w:val="center"/>
        <w:outlineLvl w:val="0"/>
        <w:rPr>
          <w:rFonts w:ascii="Times New Roman" w:hAnsi="Times New Roman"/>
          <w:snapToGrid w:val="0"/>
          <w:color w:val="auto"/>
          <w:sz w:val="30"/>
          <w:szCs w:val="30"/>
        </w:rPr>
      </w:pPr>
      <w:r>
        <w:rPr>
          <w:rFonts w:ascii="Times New Roman" w:hAnsi="Times New Roman"/>
          <w:snapToGrid w:val="0"/>
          <w:color w:val="auto"/>
          <w:sz w:val="30"/>
          <w:szCs w:val="30"/>
        </w:rPr>
        <w:t>五、环境保护措施监督检查清单</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53"/>
        <w:gridCol w:w="1402"/>
        <w:gridCol w:w="1180"/>
        <w:gridCol w:w="947"/>
        <w:gridCol w:w="2003"/>
        <w:gridCol w:w="2476"/>
      </w:tblGrid>
      <w:tr w14:paraId="04132C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53" w:type="dxa"/>
            <w:tcBorders>
              <w:tl2br w:val="single" w:color="auto" w:sz="4" w:space="0"/>
            </w:tcBorders>
            <w:vAlign w:val="center"/>
          </w:tcPr>
          <w:p w14:paraId="7DA305CF">
            <w:pPr>
              <w:pStyle w:val="24"/>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内容</w:t>
            </w:r>
          </w:p>
          <w:p w14:paraId="0CE07E0D">
            <w:pPr>
              <w:pStyle w:val="24"/>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要素</w:t>
            </w:r>
          </w:p>
        </w:tc>
        <w:tc>
          <w:tcPr>
            <w:tcW w:w="1402" w:type="dxa"/>
            <w:vAlign w:val="center"/>
          </w:tcPr>
          <w:p w14:paraId="71C5585D">
            <w:pPr>
              <w:pStyle w:val="24"/>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排放口（编号、名称）/污染源</w:t>
            </w:r>
          </w:p>
        </w:tc>
        <w:tc>
          <w:tcPr>
            <w:tcW w:w="2127" w:type="dxa"/>
            <w:gridSpan w:val="2"/>
            <w:vAlign w:val="center"/>
          </w:tcPr>
          <w:p w14:paraId="5D480385">
            <w:pPr>
              <w:pStyle w:val="24"/>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污染物项目</w:t>
            </w:r>
          </w:p>
        </w:tc>
        <w:tc>
          <w:tcPr>
            <w:tcW w:w="2003" w:type="dxa"/>
            <w:vAlign w:val="center"/>
          </w:tcPr>
          <w:p w14:paraId="6AA8E9D5">
            <w:pPr>
              <w:pStyle w:val="24"/>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环境保护措施</w:t>
            </w:r>
          </w:p>
        </w:tc>
        <w:tc>
          <w:tcPr>
            <w:tcW w:w="2476" w:type="dxa"/>
            <w:vAlign w:val="center"/>
          </w:tcPr>
          <w:p w14:paraId="32E8522B">
            <w:pPr>
              <w:pStyle w:val="24"/>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执行标准</w:t>
            </w:r>
          </w:p>
        </w:tc>
      </w:tr>
      <w:tr w14:paraId="51DC8F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053" w:type="dxa"/>
            <w:vMerge w:val="restart"/>
            <w:vAlign w:val="center"/>
          </w:tcPr>
          <w:p w14:paraId="13778870">
            <w:pPr>
              <w:pStyle w:val="43"/>
              <w:spacing w:before="0" w:beforeLines="0" w:beforeAutospacing="0" w:afterLines="0" w:line="240" w:lineRule="auto"/>
              <w:rPr>
                <w:rFonts w:hint="default" w:eastAsia="宋体"/>
                <w:color w:val="auto"/>
                <w:sz w:val="21"/>
                <w:szCs w:val="21"/>
                <w:lang w:val="en-US" w:eastAsia="zh-CN"/>
              </w:rPr>
            </w:pPr>
            <w:r>
              <w:rPr>
                <w:rFonts w:hint="eastAsia"/>
                <w:color w:val="auto"/>
                <w:sz w:val="21"/>
                <w:szCs w:val="21"/>
                <w:lang w:val="en-US" w:eastAsia="zh-CN"/>
              </w:rPr>
              <w:t>大气环境</w:t>
            </w:r>
          </w:p>
        </w:tc>
        <w:tc>
          <w:tcPr>
            <w:tcW w:w="1402" w:type="dxa"/>
            <w:vAlign w:val="center"/>
          </w:tcPr>
          <w:p w14:paraId="49ADA970">
            <w:pPr>
              <w:pStyle w:val="43"/>
              <w:spacing w:before="0" w:beforeLines="0" w:beforeAutospacing="0" w:afterLines="0" w:line="240" w:lineRule="auto"/>
              <w:rPr>
                <w:rFonts w:hint="eastAsia" w:eastAsia="宋体"/>
                <w:color w:val="auto"/>
                <w:sz w:val="21"/>
                <w:szCs w:val="21"/>
                <w:lang w:val="en-US" w:eastAsia="zh-CN"/>
              </w:rPr>
            </w:pPr>
            <w:r>
              <w:rPr>
                <w:rFonts w:hint="eastAsia"/>
                <w:color w:val="auto"/>
                <w:sz w:val="21"/>
                <w:szCs w:val="21"/>
                <w:lang w:val="en-US" w:eastAsia="zh-CN"/>
              </w:rPr>
              <w:t>有组织</w:t>
            </w:r>
          </w:p>
        </w:tc>
        <w:tc>
          <w:tcPr>
            <w:tcW w:w="1180" w:type="dxa"/>
            <w:vAlign w:val="center"/>
          </w:tcPr>
          <w:p w14:paraId="28D3C555">
            <w:pPr>
              <w:pStyle w:val="3"/>
              <w:pageBreakBefore w:val="0"/>
              <w:kinsoku/>
              <w:wordWrap/>
              <w:overflowPunct/>
              <w:topLinePunct w:val="0"/>
              <w:autoSpaceDE/>
              <w:autoSpaceDN/>
              <w:bidi w:val="0"/>
              <w:spacing w:before="0" w:after="0" w:line="240" w:lineRule="auto"/>
              <w:ind w:left="0" w:leftChars="0" w:right="0" w:rightChars="0"/>
              <w:jc w:val="center"/>
              <w:rPr>
                <w:rFonts w:hint="default"/>
                <w:color w:val="auto"/>
                <w:sz w:val="21"/>
                <w:szCs w:val="21"/>
                <w:lang w:val="en-US" w:eastAsia="zh-CN"/>
              </w:rPr>
            </w:pPr>
            <w:r>
              <w:rPr>
                <w:rFonts w:hint="eastAsia"/>
                <w:b w:val="0"/>
                <w:bCs w:val="0"/>
                <w:color w:val="auto"/>
                <w:sz w:val="21"/>
                <w:szCs w:val="21"/>
                <w:lang w:val="en-US" w:eastAsia="zh-CN"/>
              </w:rPr>
              <w:t>调墨、印刷废气</w:t>
            </w:r>
          </w:p>
        </w:tc>
        <w:tc>
          <w:tcPr>
            <w:tcW w:w="947" w:type="dxa"/>
            <w:shd w:val="clear" w:color="auto" w:fill="auto"/>
            <w:vAlign w:val="center"/>
          </w:tcPr>
          <w:p w14:paraId="5A14F6EC">
            <w:pPr>
              <w:pStyle w:val="55"/>
              <w:pageBreakBefore w:val="0"/>
              <w:widowControl w:val="0"/>
              <w:kinsoku/>
              <w:wordWrap/>
              <w:overflowPunct/>
              <w:topLinePunct w:val="0"/>
              <w:autoSpaceDE/>
              <w:autoSpaceDN/>
              <w:bidi w:val="0"/>
              <w:adjustRightInd/>
              <w:snapToGrid/>
              <w:spacing w:before="0" w:beforeLines="0" w:after="0" w:afterLines="0" w:line="240" w:lineRule="auto"/>
              <w:rPr>
                <w:rFonts w:hint="default" w:ascii="Times New Roman" w:hAnsi="Times New Roman" w:eastAsia="宋体" w:cs="Times New Roman"/>
                <w:b w:val="0"/>
                <w:color w:val="auto"/>
                <w:spacing w:val="2"/>
                <w:kern w:val="0"/>
                <w:sz w:val="21"/>
                <w:szCs w:val="21"/>
                <w:vertAlign w:val="baseline"/>
                <w:lang w:val="en-US" w:eastAsia="zh-CN" w:bidi="ar-SA"/>
              </w:rPr>
            </w:pPr>
            <w:r>
              <w:rPr>
                <w:rFonts w:hint="default" w:ascii="Times New Roman" w:hAnsi="Times New Roman" w:cs="Times New Roman"/>
                <w:bCs/>
                <w:color w:val="auto"/>
                <w:sz w:val="21"/>
                <w:szCs w:val="21"/>
                <w:vertAlign w:val="baseline"/>
                <w:lang w:val="en-US" w:eastAsia="zh-CN"/>
              </w:rPr>
              <w:t>NMHC</w:t>
            </w:r>
          </w:p>
        </w:tc>
        <w:tc>
          <w:tcPr>
            <w:tcW w:w="2003" w:type="dxa"/>
            <w:vAlign w:val="center"/>
          </w:tcPr>
          <w:p w14:paraId="23A7F5E3">
            <w:pPr>
              <w:pStyle w:val="43"/>
              <w:spacing w:before="0" w:beforeLines="0" w:beforeAutospacing="0" w:afterLines="0" w:line="240" w:lineRule="auto"/>
              <w:jc w:val="both"/>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密闭负压</w:t>
            </w:r>
            <w:r>
              <w:rPr>
                <w:rFonts w:hint="default" w:ascii="Times New Roman" w:hAnsi="Times New Roman" w:eastAsia="宋体" w:cs="Times New Roman"/>
                <w:b w:val="0"/>
                <w:bCs/>
                <w:color w:val="auto"/>
                <w:sz w:val="21"/>
                <w:szCs w:val="21"/>
                <w:lang w:val="en-US" w:eastAsia="zh-CN"/>
              </w:rPr>
              <w:t>收集后经一套</w:t>
            </w:r>
            <w:r>
              <w:rPr>
                <w:rFonts w:hint="eastAsia" w:cs="Times New Roman"/>
                <w:b w:val="0"/>
                <w:bCs/>
                <w:color w:val="auto"/>
                <w:sz w:val="21"/>
                <w:szCs w:val="21"/>
                <w:lang w:val="en-US" w:eastAsia="zh-CN"/>
              </w:rPr>
              <w:t>“二级活性炭吸附”</w:t>
            </w:r>
            <w:r>
              <w:rPr>
                <w:rFonts w:hint="default" w:ascii="Times New Roman" w:hAnsi="Times New Roman" w:eastAsia="宋体" w:cs="Times New Roman"/>
                <w:b w:val="0"/>
                <w:bCs/>
                <w:color w:val="auto"/>
                <w:sz w:val="21"/>
                <w:szCs w:val="21"/>
                <w:lang w:val="en-US" w:eastAsia="zh-CN"/>
              </w:rPr>
              <w:t>装置处理达标后通过一</w:t>
            </w:r>
            <w:r>
              <w:rPr>
                <w:rFonts w:hint="default" w:ascii="Times New Roman" w:hAnsi="Times New Roman" w:eastAsia="宋体" w:cs="Times New Roman"/>
                <w:b w:val="0"/>
                <w:bCs/>
                <w:color w:val="auto"/>
                <w:sz w:val="21"/>
                <w:szCs w:val="21"/>
              </w:rPr>
              <w:t>根15m 高排气筒（DA00</w:t>
            </w:r>
            <w:r>
              <w:rPr>
                <w:rFonts w:hint="default" w:ascii="Times New Roman" w:hAnsi="Times New Roman" w:eastAsia="宋体" w:cs="Times New Roman"/>
                <w:b w:val="0"/>
                <w:bCs/>
                <w:color w:val="auto"/>
                <w:sz w:val="21"/>
                <w:szCs w:val="21"/>
                <w:lang w:val="en-US" w:eastAsia="zh-CN"/>
              </w:rPr>
              <w:t>1</w:t>
            </w:r>
            <w:r>
              <w:rPr>
                <w:rFonts w:hint="default" w:ascii="Times New Roman" w:hAnsi="Times New Roman" w:eastAsia="宋体" w:cs="Times New Roman"/>
                <w:b w:val="0"/>
                <w:bCs/>
                <w:color w:val="auto"/>
                <w:sz w:val="21"/>
                <w:szCs w:val="21"/>
              </w:rPr>
              <w:t>）排放</w:t>
            </w:r>
          </w:p>
        </w:tc>
        <w:tc>
          <w:tcPr>
            <w:tcW w:w="2476" w:type="dxa"/>
            <w:vAlign w:val="center"/>
          </w:tcPr>
          <w:p w14:paraId="3ACD4D29">
            <w:pPr>
              <w:jc w:val="both"/>
              <w:rPr>
                <w:rFonts w:hint="default" w:ascii="Times New Roman" w:hAnsi="Times New Roman" w:eastAsia="宋体" w:cs="Times New Roman"/>
                <w:b/>
                <w:bCs/>
                <w:color w:val="auto"/>
                <w:sz w:val="21"/>
                <w:szCs w:val="21"/>
              </w:rPr>
            </w:pPr>
            <w:r>
              <w:rPr>
                <w:rFonts w:hint="default" w:ascii="Times New Roman" w:hAnsi="Times New Roman" w:cs="Times New Roman"/>
                <w:color w:val="auto"/>
                <w:kern w:val="0"/>
                <w:sz w:val="21"/>
                <w:szCs w:val="21"/>
                <w:lang w:bidi="ar"/>
              </w:rPr>
              <w:t>《印刷工业大气污染物排放标准》（GB41616-2022）表1</w:t>
            </w:r>
            <w:r>
              <w:rPr>
                <w:rFonts w:hint="default" w:ascii="Times New Roman" w:hAnsi="Times New Roman" w:cs="Times New Roman"/>
                <w:color w:val="auto"/>
                <w:kern w:val="0"/>
                <w:sz w:val="21"/>
                <w:szCs w:val="21"/>
                <w:lang w:val="en-US" w:eastAsia="zh-CN" w:bidi="ar"/>
              </w:rPr>
              <w:t>中</w:t>
            </w:r>
            <w:r>
              <w:rPr>
                <w:rFonts w:hint="default" w:ascii="Times New Roman" w:hAnsi="Times New Roman" w:cs="Times New Roman"/>
                <w:color w:val="auto"/>
                <w:sz w:val="21"/>
                <w:szCs w:val="21"/>
              </w:rPr>
              <w:t>相</w:t>
            </w:r>
            <w:r>
              <w:rPr>
                <w:rFonts w:hint="default" w:ascii="Times New Roman" w:hAnsi="Times New Roman" w:cs="Times New Roman"/>
                <w:bCs/>
                <w:color w:val="auto"/>
                <w:sz w:val="21"/>
                <w:szCs w:val="21"/>
              </w:rPr>
              <w:t>关限值</w:t>
            </w:r>
          </w:p>
        </w:tc>
      </w:tr>
      <w:tr w14:paraId="7811EE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053" w:type="dxa"/>
            <w:vMerge w:val="continue"/>
            <w:vAlign w:val="center"/>
          </w:tcPr>
          <w:p w14:paraId="418927E0">
            <w:pPr>
              <w:pStyle w:val="43"/>
              <w:spacing w:before="0" w:beforeLines="0" w:beforeAutospacing="0" w:afterLines="0" w:line="240" w:lineRule="auto"/>
              <w:rPr>
                <w:color w:val="auto"/>
                <w:sz w:val="21"/>
                <w:szCs w:val="21"/>
              </w:rPr>
            </w:pPr>
          </w:p>
        </w:tc>
        <w:tc>
          <w:tcPr>
            <w:tcW w:w="1402" w:type="dxa"/>
            <w:vAlign w:val="center"/>
          </w:tcPr>
          <w:p w14:paraId="2B94DD9F">
            <w:pPr>
              <w:pStyle w:val="43"/>
              <w:spacing w:before="0" w:beforeLines="0" w:beforeAutospacing="0" w:afterLines="0" w:line="240" w:lineRule="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厂界</w:t>
            </w:r>
            <w:r>
              <w:rPr>
                <w:rFonts w:hint="eastAsia" w:cs="Times New Roman"/>
                <w:b w:val="0"/>
                <w:bCs/>
                <w:color w:val="auto"/>
                <w:sz w:val="21"/>
                <w:szCs w:val="21"/>
                <w:lang w:val="en-US" w:eastAsia="zh-CN"/>
              </w:rPr>
              <w:t>无组织</w:t>
            </w:r>
          </w:p>
        </w:tc>
        <w:tc>
          <w:tcPr>
            <w:tcW w:w="1180" w:type="dxa"/>
            <w:shd w:val="clear" w:color="auto" w:fill="auto"/>
            <w:vAlign w:val="center"/>
          </w:tcPr>
          <w:p w14:paraId="17CC83A0">
            <w:pPr>
              <w:pStyle w:val="3"/>
              <w:pageBreakBefore w:val="0"/>
              <w:kinsoku/>
              <w:wordWrap/>
              <w:overflowPunct/>
              <w:topLinePunct w:val="0"/>
              <w:autoSpaceDE/>
              <w:autoSpaceDN/>
              <w:bidi w:val="0"/>
              <w:spacing w:before="0" w:after="0" w:line="240" w:lineRule="auto"/>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b w:val="0"/>
                <w:bCs w:val="0"/>
                <w:color w:val="auto"/>
                <w:sz w:val="21"/>
                <w:szCs w:val="21"/>
                <w:lang w:val="en-US" w:eastAsia="zh-CN"/>
              </w:rPr>
              <w:t>调墨、印刷废气</w:t>
            </w:r>
          </w:p>
        </w:tc>
        <w:tc>
          <w:tcPr>
            <w:tcW w:w="947" w:type="dxa"/>
            <w:shd w:val="clear" w:color="auto" w:fill="auto"/>
            <w:vAlign w:val="center"/>
          </w:tcPr>
          <w:p w14:paraId="7498A1CB">
            <w:pPr>
              <w:pStyle w:val="55"/>
              <w:pageBreakBefore w:val="0"/>
              <w:widowControl w:val="0"/>
              <w:kinsoku/>
              <w:wordWrap/>
              <w:overflowPunct/>
              <w:topLinePunct w:val="0"/>
              <w:autoSpaceDE/>
              <w:autoSpaceDN/>
              <w:bidi w:val="0"/>
              <w:adjustRightInd/>
              <w:snapToGrid/>
              <w:spacing w:before="0" w:beforeLines="0" w:after="0" w:afterLines="0" w:line="240" w:lineRule="auto"/>
              <w:rPr>
                <w:rFonts w:hint="eastAsia" w:ascii="Times New Roman" w:hAnsi="Times New Roman" w:eastAsia="宋体" w:cs="Times New Roman"/>
                <w:b w:val="0"/>
                <w:color w:val="auto"/>
                <w:kern w:val="2"/>
                <w:sz w:val="21"/>
                <w:szCs w:val="21"/>
                <w:lang w:val="en-US" w:eastAsia="zh-CN" w:bidi="ar-SA"/>
              </w:rPr>
            </w:pPr>
            <w:r>
              <w:rPr>
                <w:rFonts w:hint="default" w:ascii="Times New Roman" w:hAnsi="Times New Roman" w:cs="Times New Roman"/>
                <w:bCs/>
                <w:color w:val="auto"/>
                <w:sz w:val="21"/>
                <w:szCs w:val="21"/>
                <w:vertAlign w:val="baseline"/>
                <w:lang w:val="en-US" w:eastAsia="zh-CN"/>
              </w:rPr>
              <w:t>NMHC</w:t>
            </w:r>
          </w:p>
        </w:tc>
        <w:tc>
          <w:tcPr>
            <w:tcW w:w="2003" w:type="dxa"/>
            <w:vAlign w:val="center"/>
          </w:tcPr>
          <w:p w14:paraId="54BF0654">
            <w:pPr>
              <w:pStyle w:val="43"/>
              <w:spacing w:before="0" w:beforeLines="0" w:beforeAutospacing="0" w:afterLines="0" w:line="240" w:lineRule="auto"/>
              <w:jc w:val="both"/>
              <w:rPr>
                <w:rFonts w:ascii="Times New Roman" w:hAnsi="Times New Roman" w:eastAsia="宋体"/>
                <w:b w:val="0"/>
                <w:color w:val="auto"/>
                <w:sz w:val="21"/>
                <w:szCs w:val="21"/>
              </w:rPr>
            </w:pPr>
            <w:r>
              <w:rPr>
                <w:rFonts w:ascii="Times New Roman" w:hAnsi="Times New Roman" w:eastAsia="宋体"/>
                <w:b w:val="0"/>
                <w:color w:val="auto"/>
                <w:sz w:val="21"/>
                <w:szCs w:val="21"/>
              </w:rPr>
              <w:t>加强车间密闭、通风</w:t>
            </w:r>
          </w:p>
        </w:tc>
        <w:tc>
          <w:tcPr>
            <w:tcW w:w="2476" w:type="dxa"/>
            <w:shd w:val="clear" w:color="auto" w:fill="auto"/>
            <w:vAlign w:val="center"/>
          </w:tcPr>
          <w:p w14:paraId="1F2DAE4B">
            <w:pPr>
              <w:jc w:val="both"/>
              <w:rPr>
                <w:rFonts w:hint="default" w:ascii="Times New Roman" w:hAnsi="Times New Roman" w:eastAsia="宋体" w:cs="Times New Roman"/>
                <w:color w:val="auto"/>
                <w:kern w:val="0"/>
                <w:sz w:val="21"/>
                <w:szCs w:val="21"/>
                <w:lang w:val="en-US" w:eastAsia="zh-CN" w:bidi="ar"/>
              </w:rPr>
            </w:pPr>
            <w:r>
              <w:rPr>
                <w:rFonts w:hint="eastAsia" w:cs="Times New Roman"/>
                <w:bCs/>
                <w:color w:val="auto"/>
                <w:sz w:val="21"/>
                <w:szCs w:val="21"/>
                <w:lang w:val="en-US" w:eastAsia="zh-CN"/>
              </w:rPr>
              <w:t>江西省地方标准《挥发性有机物综合排放控制标准（试行）》</w:t>
            </w:r>
            <w:r>
              <w:rPr>
                <w:rFonts w:hint="default" w:ascii="Times New Roman" w:hAnsi="Times New Roman" w:cs="Times New Roman"/>
                <w:color w:val="auto"/>
                <w:kern w:val="0"/>
                <w:sz w:val="21"/>
                <w:szCs w:val="21"/>
                <w:lang w:bidi="ar"/>
              </w:rPr>
              <w:t>（DB36/2186-2025）</w:t>
            </w:r>
            <w:r>
              <w:rPr>
                <w:rFonts w:hint="default" w:ascii="Times New Roman" w:hAnsi="Times New Roman" w:cs="Times New Roman"/>
                <w:color w:val="auto"/>
                <w:kern w:val="0"/>
                <w:sz w:val="21"/>
                <w:szCs w:val="21"/>
                <w:lang w:val="en-US" w:eastAsia="zh-CN" w:bidi="ar"/>
              </w:rPr>
              <w:t>表</w:t>
            </w:r>
            <w:r>
              <w:rPr>
                <w:rFonts w:hint="eastAsia" w:cs="Times New Roman"/>
                <w:color w:val="auto"/>
                <w:kern w:val="0"/>
                <w:sz w:val="21"/>
                <w:szCs w:val="21"/>
                <w:lang w:val="en-US" w:eastAsia="zh-CN" w:bidi="ar"/>
              </w:rPr>
              <w:t>3</w:t>
            </w:r>
            <w:r>
              <w:rPr>
                <w:rFonts w:hint="default" w:ascii="Times New Roman" w:hAnsi="Times New Roman" w:cs="Times New Roman"/>
                <w:color w:val="auto"/>
                <w:kern w:val="0"/>
                <w:sz w:val="21"/>
                <w:szCs w:val="21"/>
                <w:lang w:val="en-US" w:eastAsia="zh-CN" w:bidi="ar"/>
              </w:rPr>
              <w:t>中</w:t>
            </w:r>
            <w:r>
              <w:rPr>
                <w:rFonts w:hint="default" w:ascii="Times New Roman" w:hAnsi="Times New Roman" w:cs="Times New Roman"/>
                <w:color w:val="auto"/>
                <w:sz w:val="21"/>
                <w:szCs w:val="21"/>
              </w:rPr>
              <w:t>相</w:t>
            </w:r>
            <w:r>
              <w:rPr>
                <w:rFonts w:hint="default" w:ascii="Times New Roman" w:hAnsi="Times New Roman" w:cs="Times New Roman"/>
                <w:bCs/>
                <w:color w:val="auto"/>
                <w:sz w:val="21"/>
                <w:szCs w:val="21"/>
              </w:rPr>
              <w:t>关限值</w:t>
            </w:r>
          </w:p>
        </w:tc>
      </w:tr>
      <w:tr w14:paraId="3B3B40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053" w:type="dxa"/>
            <w:vMerge w:val="continue"/>
            <w:vAlign w:val="center"/>
          </w:tcPr>
          <w:p w14:paraId="0842AE71">
            <w:pPr>
              <w:pStyle w:val="43"/>
              <w:spacing w:before="0" w:beforeLines="0" w:beforeAutospacing="0" w:afterLines="0" w:line="240" w:lineRule="auto"/>
              <w:rPr>
                <w:color w:val="auto"/>
                <w:sz w:val="21"/>
                <w:szCs w:val="21"/>
              </w:rPr>
            </w:pPr>
          </w:p>
        </w:tc>
        <w:tc>
          <w:tcPr>
            <w:tcW w:w="1402" w:type="dxa"/>
            <w:vAlign w:val="center"/>
          </w:tcPr>
          <w:p w14:paraId="523C0D35">
            <w:pPr>
              <w:pStyle w:val="43"/>
              <w:spacing w:before="0" w:beforeLines="0" w:beforeAutospacing="0" w:afterLines="0" w:line="240" w:lineRule="auto"/>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厂区内无组织</w:t>
            </w:r>
          </w:p>
        </w:tc>
        <w:tc>
          <w:tcPr>
            <w:tcW w:w="1180" w:type="dxa"/>
            <w:shd w:val="clear" w:color="auto" w:fill="auto"/>
            <w:vAlign w:val="center"/>
          </w:tcPr>
          <w:p w14:paraId="78624E43">
            <w:pPr>
              <w:pStyle w:val="3"/>
              <w:pageBreakBefore w:val="0"/>
              <w:kinsoku/>
              <w:wordWrap/>
              <w:overflowPunct/>
              <w:topLinePunct w:val="0"/>
              <w:autoSpaceDE/>
              <w:autoSpaceDN/>
              <w:bidi w:val="0"/>
              <w:spacing w:before="0" w:after="0" w:line="240" w:lineRule="auto"/>
              <w:ind w:left="0" w:leftChars="0" w:right="0" w:rightChars="0"/>
              <w:jc w:val="center"/>
              <w:rPr>
                <w:rFonts w:hint="eastAsia" w:ascii="Times New Roman" w:hAnsi="Times New Roman" w:eastAsia="宋体" w:cs="Times New Roman"/>
                <w:b/>
                <w:bCs/>
                <w:color w:val="auto"/>
                <w:kern w:val="2"/>
                <w:sz w:val="21"/>
                <w:szCs w:val="21"/>
                <w:lang w:val="en-US" w:eastAsia="zh-CN" w:bidi="ar-SA"/>
              </w:rPr>
            </w:pPr>
            <w:r>
              <w:rPr>
                <w:rFonts w:hint="eastAsia"/>
                <w:b w:val="0"/>
                <w:bCs w:val="0"/>
                <w:color w:val="auto"/>
                <w:sz w:val="21"/>
                <w:szCs w:val="21"/>
                <w:lang w:val="en-US" w:eastAsia="zh-CN"/>
              </w:rPr>
              <w:t>调墨、印刷废气</w:t>
            </w:r>
          </w:p>
        </w:tc>
        <w:tc>
          <w:tcPr>
            <w:tcW w:w="947" w:type="dxa"/>
            <w:shd w:val="clear" w:color="auto" w:fill="auto"/>
            <w:vAlign w:val="center"/>
          </w:tcPr>
          <w:p w14:paraId="79DF59D1">
            <w:pPr>
              <w:pStyle w:val="55"/>
              <w:pageBreakBefore w:val="0"/>
              <w:widowControl w:val="0"/>
              <w:kinsoku/>
              <w:wordWrap/>
              <w:overflowPunct/>
              <w:topLinePunct w:val="0"/>
              <w:autoSpaceDE/>
              <w:autoSpaceDN/>
              <w:bidi w:val="0"/>
              <w:adjustRightInd/>
              <w:snapToGrid/>
              <w:spacing w:before="0" w:beforeLines="0" w:after="0" w:afterLines="0" w:line="240" w:lineRule="auto"/>
              <w:rPr>
                <w:rFonts w:hint="default" w:ascii="Times New Roman" w:hAnsi="Times New Roman" w:cs="Times New Roman"/>
                <w:bCs/>
                <w:color w:val="auto"/>
                <w:sz w:val="21"/>
                <w:szCs w:val="21"/>
                <w:vertAlign w:val="baseline"/>
                <w:lang w:val="en-US" w:eastAsia="zh-CN"/>
              </w:rPr>
            </w:pPr>
            <w:r>
              <w:rPr>
                <w:rFonts w:hint="default" w:ascii="Times New Roman" w:hAnsi="Times New Roman" w:cs="Times New Roman"/>
                <w:bCs/>
                <w:color w:val="auto"/>
                <w:sz w:val="21"/>
                <w:szCs w:val="21"/>
                <w:vertAlign w:val="baseline"/>
                <w:lang w:val="en-US" w:eastAsia="zh-CN"/>
              </w:rPr>
              <w:t>NMHC</w:t>
            </w:r>
          </w:p>
        </w:tc>
        <w:tc>
          <w:tcPr>
            <w:tcW w:w="2003" w:type="dxa"/>
            <w:vAlign w:val="center"/>
          </w:tcPr>
          <w:p w14:paraId="7FE9697E">
            <w:pPr>
              <w:pStyle w:val="43"/>
              <w:spacing w:before="0" w:beforeLines="0" w:beforeAutospacing="0" w:afterLines="0" w:line="240" w:lineRule="auto"/>
              <w:jc w:val="center"/>
              <w:rPr>
                <w:rFonts w:hint="eastAsia" w:ascii="Times New Roman" w:hAnsi="Times New Roman" w:eastAsia="宋体"/>
                <w:b w:val="0"/>
                <w:color w:val="auto"/>
                <w:sz w:val="21"/>
                <w:szCs w:val="21"/>
                <w:lang w:val="en-US" w:eastAsia="zh-CN"/>
              </w:rPr>
            </w:pPr>
            <w:r>
              <w:rPr>
                <w:rFonts w:hint="eastAsia"/>
                <w:b w:val="0"/>
                <w:color w:val="auto"/>
                <w:sz w:val="21"/>
                <w:szCs w:val="21"/>
                <w:lang w:val="en-US" w:eastAsia="zh-CN"/>
              </w:rPr>
              <w:t>/</w:t>
            </w:r>
          </w:p>
        </w:tc>
        <w:tc>
          <w:tcPr>
            <w:tcW w:w="2476" w:type="dxa"/>
            <w:shd w:val="clear" w:color="auto" w:fill="auto"/>
            <w:vAlign w:val="center"/>
          </w:tcPr>
          <w:p w14:paraId="1A9CF57D">
            <w:pPr>
              <w:jc w:val="both"/>
              <w:rPr>
                <w:rFonts w:hint="eastAsia" w:cs="Times New Roman"/>
                <w:bCs/>
                <w:color w:val="auto"/>
                <w:sz w:val="21"/>
                <w:szCs w:val="21"/>
                <w:lang w:val="en-US" w:eastAsia="zh-CN"/>
              </w:rPr>
            </w:pPr>
            <w:r>
              <w:rPr>
                <w:rFonts w:hint="default" w:ascii="Times New Roman" w:hAnsi="Times New Roman" w:cs="Times New Roman"/>
                <w:bCs/>
                <w:color w:val="auto"/>
                <w:sz w:val="21"/>
                <w:szCs w:val="21"/>
                <w:lang w:val="en-US" w:eastAsia="zh-CN"/>
              </w:rPr>
              <w:t>江西省地方标准《挥发性有机物综合排放控制标准（试行）》</w:t>
            </w:r>
            <w:r>
              <w:rPr>
                <w:rFonts w:hint="default" w:ascii="Times New Roman" w:hAnsi="Times New Roman" w:cs="Times New Roman"/>
                <w:color w:val="auto"/>
                <w:kern w:val="0"/>
                <w:sz w:val="21"/>
                <w:szCs w:val="21"/>
                <w:lang w:bidi="ar"/>
              </w:rPr>
              <w:t>（DB36/2186-2025）</w:t>
            </w:r>
            <w:r>
              <w:rPr>
                <w:rFonts w:hint="default" w:ascii="Times New Roman" w:hAnsi="Times New Roman" w:cs="Times New Roman"/>
                <w:color w:val="auto"/>
                <w:kern w:val="0"/>
                <w:sz w:val="21"/>
                <w:szCs w:val="21"/>
                <w:lang w:val="en-US" w:eastAsia="zh-CN" w:bidi="ar"/>
              </w:rPr>
              <w:t>表2中</w:t>
            </w:r>
            <w:r>
              <w:rPr>
                <w:rFonts w:hint="default" w:ascii="Times New Roman" w:hAnsi="Times New Roman" w:cs="Times New Roman"/>
                <w:color w:val="auto"/>
                <w:sz w:val="21"/>
                <w:szCs w:val="21"/>
              </w:rPr>
              <w:t>相</w:t>
            </w:r>
            <w:r>
              <w:rPr>
                <w:rFonts w:hint="default" w:ascii="Times New Roman" w:hAnsi="Times New Roman" w:cs="Times New Roman"/>
                <w:bCs/>
                <w:color w:val="auto"/>
                <w:sz w:val="21"/>
                <w:szCs w:val="21"/>
              </w:rPr>
              <w:t>关限值</w:t>
            </w:r>
          </w:p>
        </w:tc>
      </w:tr>
      <w:tr w14:paraId="4A5E9C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1053" w:type="dxa"/>
            <w:vAlign w:val="center"/>
          </w:tcPr>
          <w:p w14:paraId="3DA2A9DA">
            <w:pPr>
              <w:pStyle w:val="24"/>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地表水环境</w:t>
            </w:r>
          </w:p>
        </w:tc>
        <w:tc>
          <w:tcPr>
            <w:tcW w:w="1402" w:type="dxa"/>
            <w:vAlign w:val="center"/>
          </w:tcPr>
          <w:p w14:paraId="44582256">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生活污水</w:t>
            </w:r>
          </w:p>
        </w:tc>
        <w:tc>
          <w:tcPr>
            <w:tcW w:w="2127" w:type="dxa"/>
            <w:gridSpan w:val="2"/>
            <w:vAlign w:val="center"/>
          </w:tcPr>
          <w:p w14:paraId="0854BC81">
            <w:pPr>
              <w:adjustRightInd w:val="0"/>
              <w:snapToGrid w:val="0"/>
              <w:jc w:val="both"/>
              <w:rPr>
                <w:rFonts w:hint="default" w:eastAsia="宋体"/>
                <w:color w:val="auto"/>
                <w:sz w:val="21"/>
                <w:szCs w:val="21"/>
                <w:lang w:val="en-US" w:eastAsia="zh-CN"/>
              </w:rPr>
            </w:pPr>
            <w:r>
              <w:rPr>
                <w:color w:val="auto"/>
                <w:sz w:val="21"/>
                <w:szCs w:val="21"/>
              </w:rPr>
              <w:t>pH、COD</w:t>
            </w:r>
            <w:r>
              <w:rPr>
                <w:color w:val="auto"/>
                <w:sz w:val="21"/>
                <w:szCs w:val="21"/>
                <w:vertAlign w:val="subscript"/>
              </w:rPr>
              <w:t>Cr</w:t>
            </w:r>
            <w:r>
              <w:rPr>
                <w:color w:val="auto"/>
                <w:sz w:val="21"/>
                <w:szCs w:val="21"/>
              </w:rPr>
              <w:t>、BOD</w:t>
            </w:r>
            <w:r>
              <w:rPr>
                <w:color w:val="auto"/>
                <w:sz w:val="21"/>
                <w:szCs w:val="21"/>
                <w:vertAlign w:val="subscript"/>
              </w:rPr>
              <w:t>5</w:t>
            </w:r>
            <w:r>
              <w:rPr>
                <w:color w:val="auto"/>
                <w:sz w:val="21"/>
                <w:szCs w:val="21"/>
              </w:rPr>
              <w:t>、SS、NH</w:t>
            </w:r>
            <w:r>
              <w:rPr>
                <w:color w:val="auto"/>
                <w:sz w:val="21"/>
                <w:szCs w:val="21"/>
                <w:vertAlign w:val="subscript"/>
              </w:rPr>
              <w:t>3</w:t>
            </w:r>
            <w:r>
              <w:rPr>
                <w:color w:val="auto"/>
                <w:sz w:val="21"/>
                <w:szCs w:val="21"/>
              </w:rPr>
              <w:t>-N</w:t>
            </w:r>
            <w:r>
              <w:rPr>
                <w:rFonts w:hint="eastAsia"/>
                <w:color w:val="auto"/>
                <w:sz w:val="21"/>
                <w:szCs w:val="21"/>
                <w:lang w:eastAsia="zh-CN"/>
              </w:rPr>
              <w:t>、</w:t>
            </w:r>
            <w:r>
              <w:rPr>
                <w:rFonts w:hint="eastAsia"/>
                <w:color w:val="auto"/>
                <w:sz w:val="21"/>
                <w:szCs w:val="21"/>
                <w:lang w:val="en-US" w:eastAsia="zh-CN"/>
              </w:rPr>
              <w:t>TP、动植物油</w:t>
            </w:r>
          </w:p>
        </w:tc>
        <w:tc>
          <w:tcPr>
            <w:tcW w:w="2003" w:type="dxa"/>
            <w:vAlign w:val="center"/>
          </w:tcPr>
          <w:p w14:paraId="35B1819B">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bidi="ar"/>
              </w:rPr>
              <w:t>一座10m</w:t>
            </w:r>
            <w:r>
              <w:rPr>
                <w:rFonts w:hint="eastAsia"/>
                <w:color w:val="auto"/>
                <w:sz w:val="21"/>
                <w:szCs w:val="21"/>
                <w:vertAlign w:val="superscript"/>
                <w:lang w:val="en-US" w:eastAsia="zh-CN" w:bidi="ar"/>
              </w:rPr>
              <w:t>2</w:t>
            </w:r>
            <w:r>
              <w:rPr>
                <w:rFonts w:hint="eastAsia"/>
                <w:color w:val="auto"/>
                <w:sz w:val="21"/>
                <w:szCs w:val="21"/>
                <w:lang w:bidi="ar"/>
              </w:rPr>
              <w:t>化粪池</w:t>
            </w:r>
          </w:p>
        </w:tc>
        <w:tc>
          <w:tcPr>
            <w:tcW w:w="2476" w:type="dxa"/>
            <w:vAlign w:val="center"/>
          </w:tcPr>
          <w:p w14:paraId="310A1DEC">
            <w:pPr>
              <w:pStyle w:val="5"/>
              <w:spacing w:line="240" w:lineRule="auto"/>
              <w:ind w:firstLine="0" w:firstLineChars="0"/>
              <w:jc w:val="both"/>
              <w:rPr>
                <w:rFonts w:hint="default"/>
                <w:color w:val="auto"/>
                <w:sz w:val="21"/>
                <w:szCs w:val="21"/>
                <w:lang w:val="en-US" w:eastAsia="zh-CN"/>
              </w:rPr>
            </w:pPr>
            <w:r>
              <w:rPr>
                <w:rFonts w:hint="eastAsia"/>
                <w:color w:val="auto"/>
                <w:sz w:val="21"/>
                <w:szCs w:val="21"/>
                <w:lang w:val="en-US" w:eastAsia="zh-CN"/>
              </w:rPr>
              <w:t>用于周边林地施肥，不外排。</w:t>
            </w:r>
          </w:p>
        </w:tc>
      </w:tr>
      <w:tr w14:paraId="35B1CB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053" w:type="dxa"/>
            <w:vAlign w:val="center"/>
          </w:tcPr>
          <w:p w14:paraId="3C323FE1">
            <w:pPr>
              <w:pStyle w:val="24"/>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声环境</w:t>
            </w:r>
          </w:p>
        </w:tc>
        <w:tc>
          <w:tcPr>
            <w:tcW w:w="1402" w:type="dxa"/>
            <w:vAlign w:val="center"/>
          </w:tcPr>
          <w:p w14:paraId="71F9981E">
            <w:pPr>
              <w:pStyle w:val="5"/>
              <w:spacing w:line="240" w:lineRule="auto"/>
              <w:ind w:firstLine="0" w:firstLineChars="0"/>
              <w:jc w:val="center"/>
              <w:rPr>
                <w:color w:val="auto"/>
                <w:sz w:val="21"/>
                <w:szCs w:val="21"/>
              </w:rPr>
            </w:pPr>
            <w:r>
              <w:rPr>
                <w:color w:val="auto"/>
                <w:sz w:val="21"/>
                <w:szCs w:val="21"/>
              </w:rPr>
              <w:t>生产噪声</w:t>
            </w:r>
          </w:p>
        </w:tc>
        <w:tc>
          <w:tcPr>
            <w:tcW w:w="2127" w:type="dxa"/>
            <w:gridSpan w:val="2"/>
            <w:vAlign w:val="center"/>
          </w:tcPr>
          <w:p w14:paraId="29BC9774">
            <w:pPr>
              <w:pStyle w:val="5"/>
              <w:spacing w:line="240" w:lineRule="auto"/>
              <w:ind w:firstLine="0" w:firstLineChars="0"/>
              <w:jc w:val="center"/>
              <w:rPr>
                <w:color w:val="auto"/>
                <w:sz w:val="21"/>
                <w:szCs w:val="21"/>
              </w:rPr>
            </w:pPr>
            <w:r>
              <w:rPr>
                <w:color w:val="auto"/>
                <w:sz w:val="21"/>
                <w:szCs w:val="21"/>
              </w:rPr>
              <w:t>噪声</w:t>
            </w:r>
          </w:p>
        </w:tc>
        <w:tc>
          <w:tcPr>
            <w:tcW w:w="2003" w:type="dxa"/>
            <w:vAlign w:val="center"/>
          </w:tcPr>
          <w:p w14:paraId="5D5DF5F1">
            <w:pPr>
              <w:pStyle w:val="5"/>
              <w:spacing w:line="240" w:lineRule="auto"/>
              <w:ind w:firstLine="0" w:firstLineChars="0"/>
              <w:jc w:val="both"/>
              <w:rPr>
                <w:color w:val="auto"/>
                <w:sz w:val="21"/>
                <w:szCs w:val="21"/>
              </w:rPr>
            </w:pPr>
            <w:r>
              <w:rPr>
                <w:color w:val="auto"/>
                <w:sz w:val="21"/>
                <w:szCs w:val="21"/>
              </w:rPr>
              <w:t>减振、隔声、距离衰减</w:t>
            </w:r>
          </w:p>
        </w:tc>
        <w:tc>
          <w:tcPr>
            <w:tcW w:w="2476" w:type="dxa"/>
            <w:vAlign w:val="center"/>
          </w:tcPr>
          <w:p w14:paraId="6DAC657E">
            <w:pPr>
              <w:pStyle w:val="5"/>
              <w:spacing w:line="240" w:lineRule="auto"/>
              <w:ind w:firstLine="0" w:firstLineChars="0"/>
              <w:jc w:val="both"/>
              <w:rPr>
                <w:color w:val="auto"/>
                <w:sz w:val="21"/>
                <w:szCs w:val="21"/>
              </w:rPr>
            </w:pPr>
            <w:r>
              <w:rPr>
                <w:color w:val="auto"/>
                <w:sz w:val="21"/>
                <w:szCs w:val="21"/>
              </w:rPr>
              <w:t>《工业企业厂界环境噪声排放标准》（GB12348-2008）</w:t>
            </w:r>
            <w:r>
              <w:rPr>
                <w:rFonts w:hint="eastAsia"/>
                <w:color w:val="auto"/>
                <w:sz w:val="21"/>
                <w:szCs w:val="21"/>
                <w:lang w:val="en-US" w:eastAsia="zh-CN"/>
              </w:rPr>
              <w:t>2</w:t>
            </w:r>
            <w:r>
              <w:rPr>
                <w:color w:val="auto"/>
                <w:sz w:val="21"/>
                <w:szCs w:val="21"/>
              </w:rPr>
              <w:t>类标准</w:t>
            </w:r>
          </w:p>
        </w:tc>
      </w:tr>
      <w:tr w14:paraId="4687B0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053" w:type="dxa"/>
            <w:vAlign w:val="center"/>
          </w:tcPr>
          <w:p w14:paraId="51B718BE">
            <w:pPr>
              <w:pStyle w:val="24"/>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电磁辐射</w:t>
            </w:r>
          </w:p>
        </w:tc>
        <w:tc>
          <w:tcPr>
            <w:tcW w:w="8008" w:type="dxa"/>
            <w:gridSpan w:val="5"/>
            <w:vAlign w:val="center"/>
          </w:tcPr>
          <w:p w14:paraId="25BDE2E9">
            <w:pPr>
              <w:pStyle w:val="43"/>
              <w:spacing w:before="0" w:beforeLines="0" w:beforeAutospacing="0" w:afterLines="0" w:line="240" w:lineRule="auto"/>
              <w:rPr>
                <w:rFonts w:ascii="Times New Roman" w:hAnsi="Times New Roman" w:eastAsia="宋体"/>
                <w:b w:val="0"/>
                <w:color w:val="auto"/>
                <w:sz w:val="21"/>
                <w:szCs w:val="21"/>
              </w:rPr>
            </w:pPr>
            <w:r>
              <w:rPr>
                <w:rFonts w:ascii="Times New Roman" w:hAnsi="Times New Roman" w:eastAsia="宋体"/>
                <w:b w:val="0"/>
                <w:color w:val="auto"/>
                <w:sz w:val="21"/>
                <w:szCs w:val="21"/>
              </w:rPr>
              <w:t>/</w:t>
            </w:r>
          </w:p>
        </w:tc>
      </w:tr>
      <w:tr w14:paraId="3500B1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053" w:type="dxa"/>
            <w:vMerge w:val="restart"/>
            <w:vAlign w:val="center"/>
          </w:tcPr>
          <w:p w14:paraId="52B400E0">
            <w:pPr>
              <w:pStyle w:val="24"/>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固体废物</w:t>
            </w:r>
          </w:p>
        </w:tc>
        <w:tc>
          <w:tcPr>
            <w:tcW w:w="1402" w:type="dxa"/>
            <w:vMerge w:val="restart"/>
            <w:vAlign w:val="center"/>
          </w:tcPr>
          <w:p w14:paraId="44F13ADC">
            <w:pPr>
              <w:pStyle w:val="5"/>
              <w:spacing w:line="240" w:lineRule="auto"/>
              <w:ind w:firstLine="0" w:firstLineChars="0"/>
              <w:jc w:val="center"/>
              <w:rPr>
                <w:color w:val="auto"/>
                <w:sz w:val="21"/>
                <w:szCs w:val="21"/>
              </w:rPr>
            </w:pPr>
            <w:r>
              <w:rPr>
                <w:color w:val="auto"/>
                <w:sz w:val="21"/>
                <w:szCs w:val="21"/>
              </w:rPr>
              <w:t>一般固体废物</w:t>
            </w:r>
          </w:p>
        </w:tc>
        <w:tc>
          <w:tcPr>
            <w:tcW w:w="2127" w:type="dxa"/>
            <w:gridSpan w:val="2"/>
            <w:vAlign w:val="center"/>
          </w:tcPr>
          <w:p w14:paraId="0F2D589A">
            <w:pPr>
              <w:widowControl/>
              <w:jc w:val="center"/>
              <w:textAlignment w:val="center"/>
              <w:rPr>
                <w:color w:val="auto"/>
                <w:sz w:val="21"/>
                <w:szCs w:val="21"/>
              </w:rPr>
            </w:pPr>
            <w:r>
              <w:rPr>
                <w:rFonts w:hint="eastAsia"/>
                <w:color w:val="auto"/>
                <w:sz w:val="21"/>
                <w:szCs w:val="21"/>
                <w:lang w:val="en-US" w:eastAsia="zh-CN"/>
              </w:rPr>
              <w:t>废包装材料</w:t>
            </w:r>
          </w:p>
        </w:tc>
        <w:tc>
          <w:tcPr>
            <w:tcW w:w="2003" w:type="dxa"/>
            <w:vMerge w:val="restart"/>
            <w:vAlign w:val="center"/>
          </w:tcPr>
          <w:p w14:paraId="10D34C00">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ascii="Times New Roman" w:hAnsi="Times New Roman" w:eastAsia="宋体"/>
                <w:b w:val="0"/>
                <w:color w:val="auto"/>
                <w:sz w:val="21"/>
                <w:szCs w:val="21"/>
                <w:vertAlign w:val="baseline"/>
                <w:lang w:val="en-US" w:eastAsia="zh-CN"/>
              </w:rPr>
            </w:pPr>
            <w:r>
              <w:rPr>
                <w:rFonts w:hint="eastAsia"/>
                <w:color w:val="auto"/>
                <w:sz w:val="21"/>
                <w:szCs w:val="21"/>
                <w:lang w:val="en-US" w:eastAsia="zh-CN" w:bidi="ar"/>
              </w:rPr>
              <w:t>一间面积为20m</w:t>
            </w:r>
            <w:r>
              <w:rPr>
                <w:rFonts w:hint="eastAsia"/>
                <w:color w:val="auto"/>
                <w:sz w:val="21"/>
                <w:szCs w:val="21"/>
                <w:vertAlign w:val="superscript"/>
                <w:lang w:val="en-US" w:eastAsia="zh-CN" w:bidi="ar"/>
              </w:rPr>
              <w:t>2</w:t>
            </w:r>
            <w:r>
              <w:rPr>
                <w:rFonts w:hint="eastAsia"/>
                <w:color w:val="auto"/>
                <w:sz w:val="21"/>
                <w:szCs w:val="21"/>
                <w:vertAlign w:val="baseline"/>
                <w:lang w:val="en-US" w:eastAsia="zh-CN" w:bidi="ar"/>
              </w:rPr>
              <w:t>一般固废暂存间</w:t>
            </w:r>
          </w:p>
        </w:tc>
        <w:tc>
          <w:tcPr>
            <w:tcW w:w="2476" w:type="dxa"/>
            <w:vMerge w:val="restart"/>
            <w:vAlign w:val="center"/>
          </w:tcPr>
          <w:p w14:paraId="21BB0E7B">
            <w:pPr>
              <w:pStyle w:val="5"/>
              <w:spacing w:line="240" w:lineRule="auto"/>
              <w:ind w:firstLine="0" w:firstLineChars="0"/>
              <w:jc w:val="center"/>
              <w:rPr>
                <w:color w:val="auto"/>
                <w:sz w:val="21"/>
                <w:szCs w:val="21"/>
              </w:rPr>
            </w:pPr>
            <w:r>
              <w:rPr>
                <w:color w:val="auto"/>
                <w:sz w:val="21"/>
                <w:szCs w:val="21"/>
              </w:rPr>
              <w:t>防渗漏、防雨淋、防扬尘</w:t>
            </w:r>
          </w:p>
        </w:tc>
      </w:tr>
      <w:tr w14:paraId="07ADDA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3" w:type="dxa"/>
            <w:vMerge w:val="continue"/>
            <w:vAlign w:val="center"/>
          </w:tcPr>
          <w:p w14:paraId="29CC683C">
            <w:pPr>
              <w:pStyle w:val="24"/>
              <w:spacing w:before="0" w:beforeAutospacing="0" w:after="0" w:afterAutospacing="0"/>
              <w:jc w:val="center"/>
              <w:rPr>
                <w:rFonts w:ascii="Times New Roman" w:hAnsi="Times New Roman"/>
                <w:color w:val="auto"/>
                <w:sz w:val="21"/>
                <w:szCs w:val="21"/>
              </w:rPr>
            </w:pPr>
          </w:p>
        </w:tc>
        <w:tc>
          <w:tcPr>
            <w:tcW w:w="1402" w:type="dxa"/>
            <w:vMerge w:val="continue"/>
            <w:vAlign w:val="center"/>
          </w:tcPr>
          <w:p w14:paraId="5CA3CCB1">
            <w:pPr>
              <w:pStyle w:val="5"/>
              <w:spacing w:line="240" w:lineRule="auto"/>
              <w:ind w:firstLine="0" w:firstLineChars="0"/>
              <w:jc w:val="center"/>
              <w:rPr>
                <w:color w:val="auto"/>
                <w:sz w:val="21"/>
                <w:szCs w:val="21"/>
              </w:rPr>
            </w:pPr>
          </w:p>
        </w:tc>
        <w:tc>
          <w:tcPr>
            <w:tcW w:w="2127" w:type="dxa"/>
            <w:gridSpan w:val="2"/>
            <w:vAlign w:val="center"/>
          </w:tcPr>
          <w:p w14:paraId="261CC50D">
            <w:pPr>
              <w:widowControl/>
              <w:jc w:val="center"/>
              <w:textAlignment w:val="center"/>
              <w:rPr>
                <w:rFonts w:hint="default" w:eastAsia="宋体"/>
                <w:color w:val="auto"/>
                <w:sz w:val="21"/>
                <w:szCs w:val="21"/>
                <w:lang w:val="en-US" w:eastAsia="zh-CN"/>
              </w:rPr>
            </w:pPr>
            <w:r>
              <w:rPr>
                <w:rFonts w:hint="eastAsia" w:cs="Times New Roman"/>
                <w:color w:val="auto"/>
                <w:sz w:val="21"/>
                <w:szCs w:val="21"/>
                <w:highlight w:val="none"/>
                <w:shd w:val="clear" w:color="auto" w:fill="auto"/>
                <w:lang w:val="en-US" w:eastAsia="zh-CN"/>
              </w:rPr>
              <w:t>废边角料</w:t>
            </w:r>
          </w:p>
        </w:tc>
        <w:tc>
          <w:tcPr>
            <w:tcW w:w="2003" w:type="dxa"/>
            <w:vMerge w:val="continue"/>
            <w:vAlign w:val="center"/>
          </w:tcPr>
          <w:p w14:paraId="41505482">
            <w:pPr>
              <w:pStyle w:val="43"/>
              <w:tabs>
                <w:tab w:val="right" w:pos="0"/>
              </w:tabs>
              <w:adjustRightInd/>
              <w:spacing w:before="0" w:beforeLines="0" w:beforeAutospacing="0" w:afterLines="0" w:line="240" w:lineRule="auto"/>
              <w:rPr>
                <w:rFonts w:hint="default" w:ascii="Times New Roman" w:hAnsi="Times New Roman" w:eastAsia="宋体"/>
                <w:b w:val="0"/>
                <w:color w:val="auto"/>
                <w:sz w:val="21"/>
                <w:szCs w:val="21"/>
                <w:vertAlign w:val="baseline"/>
                <w:lang w:val="en-US" w:eastAsia="zh-CN"/>
              </w:rPr>
            </w:pPr>
          </w:p>
        </w:tc>
        <w:tc>
          <w:tcPr>
            <w:tcW w:w="2476" w:type="dxa"/>
            <w:vMerge w:val="continue"/>
            <w:vAlign w:val="center"/>
          </w:tcPr>
          <w:p w14:paraId="1E0D0BDC">
            <w:pPr>
              <w:widowControl/>
              <w:jc w:val="center"/>
              <w:rPr>
                <w:color w:val="auto"/>
                <w:sz w:val="21"/>
                <w:szCs w:val="21"/>
              </w:rPr>
            </w:pPr>
          </w:p>
        </w:tc>
      </w:tr>
      <w:tr w14:paraId="406C95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3" w:type="dxa"/>
            <w:vMerge w:val="continue"/>
            <w:vAlign w:val="center"/>
          </w:tcPr>
          <w:p w14:paraId="59CF60CC">
            <w:pPr>
              <w:pStyle w:val="24"/>
              <w:spacing w:before="0" w:beforeAutospacing="0" w:after="0" w:afterAutospacing="0"/>
              <w:jc w:val="center"/>
              <w:rPr>
                <w:rFonts w:ascii="Times New Roman" w:hAnsi="Times New Roman"/>
                <w:color w:val="auto"/>
                <w:sz w:val="21"/>
                <w:szCs w:val="21"/>
              </w:rPr>
            </w:pPr>
          </w:p>
        </w:tc>
        <w:tc>
          <w:tcPr>
            <w:tcW w:w="1402" w:type="dxa"/>
            <w:vMerge w:val="restart"/>
            <w:vAlign w:val="center"/>
          </w:tcPr>
          <w:p w14:paraId="2DAEE0A9">
            <w:pPr>
              <w:pStyle w:val="5"/>
              <w:spacing w:line="240" w:lineRule="auto"/>
              <w:ind w:firstLine="0" w:firstLineChars="0"/>
              <w:jc w:val="center"/>
              <w:rPr>
                <w:color w:val="auto"/>
                <w:sz w:val="21"/>
                <w:szCs w:val="21"/>
              </w:rPr>
            </w:pPr>
            <w:r>
              <w:rPr>
                <w:color w:val="auto"/>
                <w:sz w:val="21"/>
                <w:szCs w:val="21"/>
              </w:rPr>
              <w:t>危险废物</w:t>
            </w:r>
          </w:p>
        </w:tc>
        <w:tc>
          <w:tcPr>
            <w:tcW w:w="2127" w:type="dxa"/>
            <w:gridSpan w:val="2"/>
            <w:vAlign w:val="center"/>
          </w:tcPr>
          <w:p w14:paraId="58944AA4">
            <w:pPr>
              <w:widowControl/>
              <w:jc w:val="center"/>
              <w:textAlignment w:val="center"/>
              <w:rPr>
                <w:rFonts w:hint="eastAsia"/>
                <w:color w:val="auto"/>
                <w:szCs w:val="21"/>
                <w:lang w:val="en-US" w:eastAsia="zh-CN"/>
              </w:rPr>
            </w:pPr>
            <w:r>
              <w:rPr>
                <w:rFonts w:hint="eastAsia"/>
                <w:color w:val="auto"/>
                <w:szCs w:val="21"/>
                <w:lang w:val="en-US" w:eastAsia="zh-CN"/>
              </w:rPr>
              <w:t>废劳保用品</w:t>
            </w:r>
          </w:p>
        </w:tc>
        <w:tc>
          <w:tcPr>
            <w:tcW w:w="2003" w:type="dxa"/>
            <w:vMerge w:val="continue"/>
            <w:vAlign w:val="center"/>
          </w:tcPr>
          <w:p w14:paraId="104B5506">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eastAsia"/>
                <w:color w:val="auto"/>
                <w:sz w:val="21"/>
                <w:szCs w:val="21"/>
                <w:lang w:val="en-US" w:eastAsia="zh-CN" w:bidi="ar"/>
              </w:rPr>
            </w:pPr>
          </w:p>
        </w:tc>
        <w:tc>
          <w:tcPr>
            <w:tcW w:w="2476" w:type="dxa"/>
            <w:vMerge w:val="continue"/>
            <w:shd w:val="clear" w:color="auto" w:fill="auto"/>
            <w:vAlign w:val="center"/>
          </w:tcPr>
          <w:p w14:paraId="697C6582">
            <w:pPr>
              <w:widowControl/>
              <w:jc w:val="center"/>
              <w:rPr>
                <w:color w:val="auto"/>
                <w:sz w:val="21"/>
                <w:szCs w:val="21"/>
              </w:rPr>
            </w:pPr>
          </w:p>
        </w:tc>
      </w:tr>
      <w:tr w14:paraId="1DC947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3" w:type="dxa"/>
            <w:vMerge w:val="continue"/>
            <w:vAlign w:val="center"/>
          </w:tcPr>
          <w:p w14:paraId="1A9BDED2">
            <w:pPr>
              <w:pStyle w:val="24"/>
              <w:spacing w:before="0" w:beforeAutospacing="0" w:after="0" w:afterAutospacing="0"/>
              <w:jc w:val="center"/>
              <w:rPr>
                <w:rFonts w:ascii="Times New Roman" w:hAnsi="Times New Roman"/>
                <w:color w:val="auto"/>
                <w:sz w:val="21"/>
                <w:szCs w:val="21"/>
              </w:rPr>
            </w:pPr>
          </w:p>
        </w:tc>
        <w:tc>
          <w:tcPr>
            <w:tcW w:w="1402" w:type="dxa"/>
            <w:vMerge w:val="continue"/>
            <w:vAlign w:val="center"/>
          </w:tcPr>
          <w:p w14:paraId="7A72356F">
            <w:pPr>
              <w:pStyle w:val="5"/>
              <w:spacing w:line="240" w:lineRule="auto"/>
              <w:ind w:firstLine="0" w:firstLineChars="0"/>
              <w:jc w:val="center"/>
              <w:rPr>
                <w:color w:val="auto"/>
                <w:sz w:val="21"/>
                <w:szCs w:val="21"/>
              </w:rPr>
            </w:pPr>
          </w:p>
        </w:tc>
        <w:tc>
          <w:tcPr>
            <w:tcW w:w="2127" w:type="dxa"/>
            <w:gridSpan w:val="2"/>
            <w:vAlign w:val="center"/>
          </w:tcPr>
          <w:p w14:paraId="073F9DE6">
            <w:pPr>
              <w:widowControl/>
              <w:jc w:val="center"/>
              <w:textAlignment w:val="center"/>
              <w:rPr>
                <w:color w:val="auto"/>
                <w:sz w:val="21"/>
                <w:szCs w:val="21"/>
              </w:rPr>
            </w:pPr>
            <w:r>
              <w:rPr>
                <w:rFonts w:hint="eastAsia"/>
                <w:color w:val="auto"/>
                <w:szCs w:val="21"/>
                <w:lang w:val="en-US" w:eastAsia="zh-CN"/>
              </w:rPr>
              <w:t>废活性炭</w:t>
            </w:r>
          </w:p>
        </w:tc>
        <w:tc>
          <w:tcPr>
            <w:tcW w:w="2003" w:type="dxa"/>
            <w:vMerge w:val="restart"/>
            <w:vAlign w:val="center"/>
          </w:tcPr>
          <w:p w14:paraId="55F2A7D3">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eastAsia="宋体"/>
                <w:color w:val="auto"/>
                <w:sz w:val="21"/>
                <w:szCs w:val="21"/>
                <w:lang w:val="en-US" w:eastAsia="zh-CN"/>
              </w:rPr>
            </w:pPr>
            <w:r>
              <w:rPr>
                <w:rFonts w:hint="eastAsia"/>
                <w:color w:val="auto"/>
                <w:sz w:val="21"/>
                <w:szCs w:val="21"/>
                <w:lang w:val="en-US" w:eastAsia="zh-CN" w:bidi="ar"/>
              </w:rPr>
              <w:t>一间面积为15m</w:t>
            </w:r>
            <w:r>
              <w:rPr>
                <w:rFonts w:hint="eastAsia"/>
                <w:color w:val="auto"/>
                <w:sz w:val="21"/>
                <w:szCs w:val="21"/>
                <w:vertAlign w:val="superscript"/>
                <w:lang w:val="en-US" w:eastAsia="zh-CN" w:bidi="ar"/>
              </w:rPr>
              <w:t>2</w:t>
            </w:r>
            <w:r>
              <w:rPr>
                <w:rFonts w:hint="eastAsia"/>
                <w:color w:val="auto"/>
                <w:sz w:val="21"/>
                <w:szCs w:val="21"/>
                <w:vertAlign w:val="baseline"/>
                <w:lang w:val="en-US" w:eastAsia="zh-CN" w:bidi="ar"/>
              </w:rPr>
              <w:t>危废暂存间</w:t>
            </w:r>
          </w:p>
        </w:tc>
        <w:tc>
          <w:tcPr>
            <w:tcW w:w="2476" w:type="dxa"/>
            <w:vMerge w:val="restart"/>
            <w:shd w:val="clear" w:color="auto" w:fill="auto"/>
            <w:vAlign w:val="center"/>
          </w:tcPr>
          <w:p w14:paraId="5A62E8D1">
            <w:pPr>
              <w:widowControl/>
              <w:jc w:val="center"/>
              <w:rPr>
                <w:rFonts w:ascii="Times New Roman" w:hAnsi="Times New Roman" w:eastAsia="宋体" w:cs="Times New Roman"/>
                <w:color w:val="auto"/>
                <w:kern w:val="2"/>
                <w:sz w:val="21"/>
                <w:szCs w:val="21"/>
                <w:lang w:val="en-US" w:eastAsia="zh-CN" w:bidi="ar-SA"/>
              </w:rPr>
            </w:pPr>
            <w:r>
              <w:rPr>
                <w:color w:val="auto"/>
                <w:sz w:val="21"/>
                <w:szCs w:val="21"/>
              </w:rPr>
              <w:t>《危险废物贮存污染控制标准》（GB18597-2023）</w:t>
            </w:r>
          </w:p>
        </w:tc>
      </w:tr>
      <w:tr w14:paraId="6FC968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3" w:type="dxa"/>
            <w:vMerge w:val="continue"/>
            <w:vAlign w:val="center"/>
          </w:tcPr>
          <w:p w14:paraId="523FB590">
            <w:pPr>
              <w:pStyle w:val="24"/>
              <w:spacing w:before="0" w:beforeAutospacing="0" w:after="0" w:afterAutospacing="0"/>
              <w:jc w:val="center"/>
              <w:rPr>
                <w:rFonts w:ascii="Times New Roman" w:hAnsi="Times New Roman"/>
                <w:color w:val="auto"/>
                <w:sz w:val="21"/>
                <w:szCs w:val="21"/>
              </w:rPr>
            </w:pPr>
          </w:p>
        </w:tc>
        <w:tc>
          <w:tcPr>
            <w:tcW w:w="1402" w:type="dxa"/>
            <w:vMerge w:val="continue"/>
            <w:vAlign w:val="center"/>
          </w:tcPr>
          <w:p w14:paraId="1F18E3CB">
            <w:pPr>
              <w:pStyle w:val="5"/>
              <w:spacing w:line="240" w:lineRule="auto"/>
              <w:ind w:firstLine="0" w:firstLineChars="0"/>
              <w:jc w:val="center"/>
              <w:rPr>
                <w:color w:val="auto"/>
                <w:sz w:val="21"/>
                <w:szCs w:val="21"/>
              </w:rPr>
            </w:pPr>
          </w:p>
        </w:tc>
        <w:tc>
          <w:tcPr>
            <w:tcW w:w="2127" w:type="dxa"/>
            <w:gridSpan w:val="2"/>
            <w:vAlign w:val="center"/>
          </w:tcPr>
          <w:p w14:paraId="3EF33BAC">
            <w:pPr>
              <w:widowControl/>
              <w:jc w:val="center"/>
              <w:textAlignment w:val="center"/>
              <w:rPr>
                <w:rFonts w:hint="default"/>
                <w:color w:val="auto"/>
                <w:szCs w:val="21"/>
                <w:lang w:val="en-US" w:eastAsia="zh-CN"/>
              </w:rPr>
            </w:pPr>
            <w:r>
              <w:rPr>
                <w:rFonts w:hint="eastAsia"/>
                <w:color w:val="auto"/>
                <w:szCs w:val="21"/>
                <w:lang w:val="en-US" w:eastAsia="zh-CN"/>
              </w:rPr>
              <w:t>废包装桶</w:t>
            </w:r>
          </w:p>
        </w:tc>
        <w:tc>
          <w:tcPr>
            <w:tcW w:w="2003" w:type="dxa"/>
            <w:vMerge w:val="continue"/>
            <w:vAlign w:val="center"/>
          </w:tcPr>
          <w:p w14:paraId="2F1EF9D0">
            <w:pPr>
              <w:pStyle w:val="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eastAsia"/>
                <w:color w:val="auto"/>
                <w:sz w:val="21"/>
                <w:szCs w:val="21"/>
                <w:lang w:val="en-US" w:eastAsia="zh-CN" w:bidi="ar"/>
              </w:rPr>
            </w:pPr>
          </w:p>
        </w:tc>
        <w:tc>
          <w:tcPr>
            <w:tcW w:w="2476" w:type="dxa"/>
            <w:vMerge w:val="continue"/>
            <w:shd w:val="clear" w:color="auto" w:fill="auto"/>
            <w:vAlign w:val="center"/>
          </w:tcPr>
          <w:p w14:paraId="5897135A">
            <w:pPr>
              <w:widowControl/>
              <w:jc w:val="center"/>
              <w:rPr>
                <w:color w:val="auto"/>
                <w:sz w:val="21"/>
                <w:szCs w:val="21"/>
              </w:rPr>
            </w:pPr>
          </w:p>
        </w:tc>
      </w:tr>
      <w:tr w14:paraId="6B6D6B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3" w:type="dxa"/>
            <w:vMerge w:val="continue"/>
            <w:vAlign w:val="center"/>
          </w:tcPr>
          <w:p w14:paraId="5D9B9CB6">
            <w:pPr>
              <w:pStyle w:val="24"/>
              <w:spacing w:before="0" w:beforeAutospacing="0" w:after="0" w:afterAutospacing="0"/>
              <w:jc w:val="center"/>
              <w:rPr>
                <w:rFonts w:ascii="Times New Roman" w:hAnsi="Times New Roman"/>
                <w:color w:val="auto"/>
                <w:sz w:val="21"/>
                <w:szCs w:val="21"/>
              </w:rPr>
            </w:pPr>
          </w:p>
        </w:tc>
        <w:tc>
          <w:tcPr>
            <w:tcW w:w="1402" w:type="dxa"/>
            <w:vMerge w:val="continue"/>
            <w:vAlign w:val="center"/>
          </w:tcPr>
          <w:p w14:paraId="42FC0A39">
            <w:pPr>
              <w:pStyle w:val="5"/>
              <w:spacing w:line="240" w:lineRule="auto"/>
              <w:ind w:firstLine="0" w:firstLineChars="0"/>
              <w:jc w:val="center"/>
              <w:rPr>
                <w:color w:val="auto"/>
                <w:sz w:val="21"/>
                <w:szCs w:val="21"/>
              </w:rPr>
            </w:pPr>
          </w:p>
        </w:tc>
        <w:tc>
          <w:tcPr>
            <w:tcW w:w="2127" w:type="dxa"/>
            <w:gridSpan w:val="2"/>
            <w:vAlign w:val="center"/>
          </w:tcPr>
          <w:p w14:paraId="08576796">
            <w:pPr>
              <w:widowControl/>
              <w:jc w:val="center"/>
              <w:textAlignment w:val="center"/>
              <w:rPr>
                <w:rFonts w:hint="eastAsia" w:ascii="Times New Roman" w:hAnsi="Times New Roman" w:cs="Times New Roman"/>
                <w:bCs/>
                <w:color w:val="auto"/>
                <w:sz w:val="21"/>
                <w:szCs w:val="21"/>
                <w:lang w:val="en-US" w:eastAsia="zh-CN"/>
              </w:rPr>
            </w:pPr>
            <w:r>
              <w:rPr>
                <w:rFonts w:hint="eastAsia"/>
                <w:color w:val="auto"/>
                <w:szCs w:val="21"/>
                <w:lang w:val="en-US" w:eastAsia="zh-CN"/>
              </w:rPr>
              <w:t>废润滑油</w:t>
            </w:r>
          </w:p>
        </w:tc>
        <w:tc>
          <w:tcPr>
            <w:tcW w:w="2003" w:type="dxa"/>
            <w:vMerge w:val="continue"/>
            <w:vAlign w:val="center"/>
          </w:tcPr>
          <w:p w14:paraId="4B7AC81A">
            <w:pPr>
              <w:pStyle w:val="5"/>
              <w:spacing w:line="240" w:lineRule="auto"/>
              <w:ind w:firstLine="0" w:firstLineChars="0"/>
              <w:jc w:val="center"/>
              <w:rPr>
                <w:rFonts w:ascii="Times New Roman" w:hAnsi="Times New Roman" w:eastAsia="宋体"/>
                <w:b w:val="0"/>
                <w:color w:val="auto"/>
                <w:sz w:val="21"/>
                <w:szCs w:val="21"/>
              </w:rPr>
            </w:pPr>
          </w:p>
        </w:tc>
        <w:tc>
          <w:tcPr>
            <w:tcW w:w="2476" w:type="dxa"/>
            <w:vMerge w:val="continue"/>
            <w:shd w:val="clear" w:color="auto" w:fill="auto"/>
            <w:vAlign w:val="center"/>
          </w:tcPr>
          <w:p w14:paraId="5CFEE0B2">
            <w:pPr>
              <w:widowControl/>
              <w:jc w:val="center"/>
              <w:rPr>
                <w:color w:val="auto"/>
                <w:sz w:val="21"/>
                <w:szCs w:val="21"/>
              </w:rPr>
            </w:pPr>
          </w:p>
        </w:tc>
      </w:tr>
      <w:tr w14:paraId="67C0C8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3" w:type="dxa"/>
            <w:vMerge w:val="continue"/>
            <w:vAlign w:val="center"/>
          </w:tcPr>
          <w:p w14:paraId="5098AA31">
            <w:pPr>
              <w:pStyle w:val="24"/>
              <w:spacing w:before="0" w:beforeAutospacing="0" w:after="0" w:afterAutospacing="0"/>
              <w:jc w:val="center"/>
              <w:rPr>
                <w:rFonts w:ascii="Times New Roman" w:hAnsi="Times New Roman"/>
                <w:color w:val="auto"/>
                <w:sz w:val="21"/>
                <w:szCs w:val="21"/>
              </w:rPr>
            </w:pPr>
          </w:p>
        </w:tc>
        <w:tc>
          <w:tcPr>
            <w:tcW w:w="1402" w:type="dxa"/>
            <w:vMerge w:val="continue"/>
            <w:vAlign w:val="center"/>
          </w:tcPr>
          <w:p w14:paraId="6BEB2356">
            <w:pPr>
              <w:pStyle w:val="5"/>
              <w:spacing w:line="240" w:lineRule="auto"/>
              <w:ind w:firstLine="0" w:firstLineChars="0"/>
              <w:jc w:val="center"/>
              <w:rPr>
                <w:color w:val="auto"/>
                <w:sz w:val="21"/>
                <w:szCs w:val="21"/>
              </w:rPr>
            </w:pPr>
          </w:p>
        </w:tc>
        <w:tc>
          <w:tcPr>
            <w:tcW w:w="2127" w:type="dxa"/>
            <w:gridSpan w:val="2"/>
            <w:vAlign w:val="center"/>
          </w:tcPr>
          <w:p w14:paraId="7F227710">
            <w:pPr>
              <w:widowControl/>
              <w:jc w:val="center"/>
              <w:textAlignment w:val="center"/>
              <w:rPr>
                <w:rFonts w:hint="default"/>
                <w:color w:val="auto"/>
                <w:szCs w:val="21"/>
                <w:lang w:val="en-US" w:eastAsia="zh-CN"/>
              </w:rPr>
            </w:pPr>
            <w:r>
              <w:rPr>
                <w:rFonts w:hint="eastAsia"/>
                <w:color w:val="auto"/>
                <w:szCs w:val="21"/>
                <w:lang w:val="en-US" w:eastAsia="zh-CN"/>
              </w:rPr>
              <w:t>废印刷机凹版</w:t>
            </w:r>
          </w:p>
        </w:tc>
        <w:tc>
          <w:tcPr>
            <w:tcW w:w="2003" w:type="dxa"/>
            <w:vMerge w:val="continue"/>
            <w:vAlign w:val="center"/>
          </w:tcPr>
          <w:p w14:paraId="6EE331E4">
            <w:pPr>
              <w:pStyle w:val="5"/>
              <w:spacing w:line="240" w:lineRule="auto"/>
              <w:ind w:firstLine="0" w:firstLineChars="0"/>
              <w:jc w:val="center"/>
              <w:rPr>
                <w:rFonts w:ascii="Times New Roman" w:hAnsi="Times New Roman" w:eastAsia="宋体"/>
                <w:b w:val="0"/>
                <w:color w:val="auto"/>
                <w:sz w:val="21"/>
                <w:szCs w:val="21"/>
              </w:rPr>
            </w:pPr>
          </w:p>
        </w:tc>
        <w:tc>
          <w:tcPr>
            <w:tcW w:w="2476" w:type="dxa"/>
            <w:vMerge w:val="continue"/>
            <w:shd w:val="clear" w:color="auto" w:fill="auto"/>
            <w:vAlign w:val="center"/>
          </w:tcPr>
          <w:p w14:paraId="3606AF6A">
            <w:pPr>
              <w:widowControl/>
              <w:jc w:val="center"/>
              <w:rPr>
                <w:color w:val="auto"/>
                <w:sz w:val="21"/>
                <w:szCs w:val="21"/>
              </w:rPr>
            </w:pPr>
          </w:p>
        </w:tc>
      </w:tr>
      <w:tr w14:paraId="1CB982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3" w:type="dxa"/>
            <w:vMerge w:val="continue"/>
            <w:vAlign w:val="center"/>
          </w:tcPr>
          <w:p w14:paraId="14922014">
            <w:pPr>
              <w:pStyle w:val="24"/>
              <w:spacing w:before="0" w:beforeAutospacing="0" w:after="0" w:afterAutospacing="0"/>
              <w:jc w:val="center"/>
              <w:rPr>
                <w:rFonts w:ascii="Times New Roman" w:hAnsi="Times New Roman"/>
                <w:color w:val="auto"/>
                <w:sz w:val="21"/>
                <w:szCs w:val="21"/>
              </w:rPr>
            </w:pPr>
          </w:p>
        </w:tc>
        <w:tc>
          <w:tcPr>
            <w:tcW w:w="1402" w:type="dxa"/>
            <w:vMerge w:val="continue"/>
            <w:vAlign w:val="center"/>
          </w:tcPr>
          <w:p w14:paraId="35423570">
            <w:pPr>
              <w:pStyle w:val="5"/>
              <w:spacing w:line="240" w:lineRule="auto"/>
              <w:ind w:firstLine="0" w:firstLineChars="0"/>
              <w:jc w:val="center"/>
              <w:rPr>
                <w:color w:val="auto"/>
                <w:sz w:val="21"/>
                <w:szCs w:val="21"/>
              </w:rPr>
            </w:pPr>
          </w:p>
        </w:tc>
        <w:tc>
          <w:tcPr>
            <w:tcW w:w="2127" w:type="dxa"/>
            <w:gridSpan w:val="2"/>
            <w:vAlign w:val="center"/>
          </w:tcPr>
          <w:p w14:paraId="1BF024E1">
            <w:pPr>
              <w:widowControl/>
              <w:jc w:val="center"/>
              <w:textAlignment w:val="center"/>
              <w:rPr>
                <w:rFonts w:hint="eastAsia"/>
                <w:color w:val="auto"/>
                <w:szCs w:val="21"/>
                <w:lang w:val="en-US" w:eastAsia="zh-CN"/>
              </w:rPr>
            </w:pPr>
            <w:r>
              <w:rPr>
                <w:rFonts w:hint="eastAsia"/>
                <w:color w:val="auto"/>
                <w:szCs w:val="21"/>
                <w:lang w:val="en-US" w:eastAsia="zh-CN"/>
              </w:rPr>
              <w:t>废润滑油桶</w:t>
            </w:r>
          </w:p>
        </w:tc>
        <w:tc>
          <w:tcPr>
            <w:tcW w:w="2003" w:type="dxa"/>
            <w:vMerge w:val="continue"/>
            <w:vAlign w:val="center"/>
          </w:tcPr>
          <w:p w14:paraId="6836AC47">
            <w:pPr>
              <w:pStyle w:val="5"/>
              <w:spacing w:line="240" w:lineRule="auto"/>
              <w:ind w:firstLine="0" w:firstLineChars="0"/>
              <w:jc w:val="center"/>
              <w:rPr>
                <w:rFonts w:ascii="Times New Roman" w:hAnsi="Times New Roman" w:eastAsia="宋体"/>
                <w:b w:val="0"/>
                <w:color w:val="auto"/>
                <w:sz w:val="21"/>
                <w:szCs w:val="21"/>
              </w:rPr>
            </w:pPr>
          </w:p>
        </w:tc>
        <w:tc>
          <w:tcPr>
            <w:tcW w:w="2476" w:type="dxa"/>
            <w:vMerge w:val="continue"/>
            <w:shd w:val="clear" w:color="auto" w:fill="auto"/>
            <w:vAlign w:val="center"/>
          </w:tcPr>
          <w:p w14:paraId="2EACE003">
            <w:pPr>
              <w:widowControl/>
              <w:jc w:val="center"/>
              <w:rPr>
                <w:color w:val="auto"/>
                <w:sz w:val="21"/>
                <w:szCs w:val="21"/>
              </w:rPr>
            </w:pPr>
          </w:p>
        </w:tc>
      </w:tr>
      <w:tr w14:paraId="4586E0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3" w:type="dxa"/>
            <w:vMerge w:val="continue"/>
            <w:vAlign w:val="center"/>
          </w:tcPr>
          <w:p w14:paraId="15621A88">
            <w:pPr>
              <w:adjustRightInd w:val="0"/>
              <w:snapToGrid w:val="0"/>
              <w:jc w:val="center"/>
              <w:rPr>
                <w:color w:val="auto"/>
                <w:sz w:val="21"/>
                <w:szCs w:val="21"/>
              </w:rPr>
            </w:pPr>
          </w:p>
        </w:tc>
        <w:tc>
          <w:tcPr>
            <w:tcW w:w="1402" w:type="dxa"/>
            <w:vAlign w:val="center"/>
          </w:tcPr>
          <w:p w14:paraId="04C371AF">
            <w:pPr>
              <w:pStyle w:val="5"/>
              <w:spacing w:line="240" w:lineRule="auto"/>
              <w:ind w:firstLine="0" w:firstLineChars="0"/>
              <w:jc w:val="center"/>
              <w:rPr>
                <w:color w:val="auto"/>
                <w:sz w:val="21"/>
                <w:szCs w:val="21"/>
              </w:rPr>
            </w:pPr>
            <w:r>
              <w:rPr>
                <w:color w:val="auto"/>
                <w:sz w:val="21"/>
                <w:szCs w:val="21"/>
              </w:rPr>
              <w:t>员工生活</w:t>
            </w:r>
          </w:p>
        </w:tc>
        <w:tc>
          <w:tcPr>
            <w:tcW w:w="2127" w:type="dxa"/>
            <w:gridSpan w:val="2"/>
            <w:vAlign w:val="center"/>
          </w:tcPr>
          <w:p w14:paraId="5BEF6004">
            <w:pPr>
              <w:pStyle w:val="5"/>
              <w:spacing w:line="240" w:lineRule="auto"/>
              <w:ind w:firstLine="0" w:firstLineChars="0"/>
              <w:jc w:val="center"/>
              <w:rPr>
                <w:color w:val="auto"/>
                <w:sz w:val="21"/>
                <w:szCs w:val="21"/>
              </w:rPr>
            </w:pPr>
            <w:r>
              <w:rPr>
                <w:color w:val="auto"/>
                <w:sz w:val="21"/>
                <w:szCs w:val="21"/>
              </w:rPr>
              <w:t>生活垃圾</w:t>
            </w:r>
          </w:p>
        </w:tc>
        <w:tc>
          <w:tcPr>
            <w:tcW w:w="2003" w:type="dxa"/>
            <w:vAlign w:val="center"/>
          </w:tcPr>
          <w:p w14:paraId="367D6B2C">
            <w:pPr>
              <w:pStyle w:val="5"/>
              <w:spacing w:line="240" w:lineRule="auto"/>
              <w:ind w:firstLine="0" w:firstLineChars="0"/>
              <w:jc w:val="center"/>
              <w:rPr>
                <w:color w:val="auto"/>
                <w:sz w:val="21"/>
                <w:szCs w:val="21"/>
              </w:rPr>
            </w:pPr>
            <w:r>
              <w:rPr>
                <w:color w:val="auto"/>
                <w:sz w:val="21"/>
                <w:szCs w:val="21"/>
              </w:rPr>
              <w:t>环卫部门清运</w:t>
            </w:r>
          </w:p>
        </w:tc>
        <w:tc>
          <w:tcPr>
            <w:tcW w:w="2476" w:type="dxa"/>
            <w:vAlign w:val="center"/>
          </w:tcPr>
          <w:p w14:paraId="461B647D">
            <w:pPr>
              <w:pStyle w:val="5"/>
              <w:spacing w:line="240" w:lineRule="auto"/>
              <w:ind w:firstLine="0" w:firstLineChars="0"/>
              <w:jc w:val="center"/>
              <w:rPr>
                <w:color w:val="auto"/>
                <w:sz w:val="21"/>
                <w:szCs w:val="21"/>
              </w:rPr>
            </w:pPr>
            <w:r>
              <w:rPr>
                <w:color w:val="auto"/>
                <w:sz w:val="21"/>
                <w:szCs w:val="21"/>
              </w:rPr>
              <w:t>/</w:t>
            </w:r>
          </w:p>
        </w:tc>
      </w:tr>
      <w:tr w14:paraId="562D1D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053" w:type="dxa"/>
            <w:vAlign w:val="center"/>
          </w:tcPr>
          <w:p w14:paraId="3B5EA92C">
            <w:pPr>
              <w:pStyle w:val="24"/>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土壤及地下水污染防治措施</w:t>
            </w:r>
          </w:p>
        </w:tc>
        <w:tc>
          <w:tcPr>
            <w:tcW w:w="8008" w:type="dxa"/>
            <w:gridSpan w:val="5"/>
            <w:vAlign w:val="center"/>
          </w:tcPr>
          <w:p w14:paraId="108A8996">
            <w:pPr>
              <w:pStyle w:val="7"/>
              <w:spacing w:line="240" w:lineRule="auto"/>
              <w:ind w:left="0" w:firstLine="0"/>
              <w:jc w:val="both"/>
              <w:rPr>
                <w:color w:val="auto"/>
                <w:sz w:val="21"/>
                <w:szCs w:val="21"/>
              </w:rPr>
            </w:pPr>
            <w:r>
              <w:rPr>
                <w:color w:val="auto"/>
                <w:sz w:val="21"/>
                <w:szCs w:val="21"/>
              </w:rPr>
              <w:t>项目一般固废和危险废物分类存放于相应的暂存库内。根据本项目</w:t>
            </w:r>
            <w:r>
              <w:rPr>
                <w:rFonts w:hint="eastAsia"/>
                <w:color w:val="auto"/>
                <w:sz w:val="21"/>
                <w:szCs w:val="21"/>
              </w:rPr>
              <w:t>风险分析</w:t>
            </w:r>
            <w:r>
              <w:rPr>
                <w:color w:val="auto"/>
                <w:sz w:val="21"/>
                <w:szCs w:val="21"/>
              </w:rPr>
              <w:t>，将厂区划分为重点防渗区、一般防渗区</w:t>
            </w:r>
            <w:r>
              <w:rPr>
                <w:rFonts w:hint="eastAsia"/>
                <w:color w:val="auto"/>
                <w:sz w:val="21"/>
                <w:szCs w:val="21"/>
                <w:lang w:eastAsia="zh-CN"/>
              </w:rPr>
              <w:t>、</w:t>
            </w:r>
            <w:r>
              <w:rPr>
                <w:rFonts w:hint="eastAsia"/>
                <w:color w:val="auto"/>
                <w:sz w:val="21"/>
                <w:szCs w:val="21"/>
                <w:lang w:val="en-US" w:eastAsia="zh-CN"/>
              </w:rPr>
              <w:t>简单防渗区</w:t>
            </w:r>
            <w:r>
              <w:rPr>
                <w:color w:val="auto"/>
                <w:sz w:val="21"/>
                <w:szCs w:val="21"/>
              </w:rPr>
              <w:t>，针对不同的区域提出相应的防渗措施。</w:t>
            </w:r>
          </w:p>
        </w:tc>
      </w:tr>
      <w:tr w14:paraId="0F5437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3" w:type="dxa"/>
            <w:vAlign w:val="center"/>
          </w:tcPr>
          <w:p w14:paraId="35A4366F">
            <w:pPr>
              <w:pStyle w:val="24"/>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生态保护措施</w:t>
            </w:r>
          </w:p>
        </w:tc>
        <w:tc>
          <w:tcPr>
            <w:tcW w:w="8008" w:type="dxa"/>
            <w:gridSpan w:val="5"/>
            <w:vAlign w:val="center"/>
          </w:tcPr>
          <w:p w14:paraId="552B3B46">
            <w:pPr>
              <w:pStyle w:val="7"/>
              <w:spacing w:line="240" w:lineRule="auto"/>
              <w:ind w:left="0" w:firstLine="0"/>
              <w:jc w:val="center"/>
              <w:rPr>
                <w:rFonts w:hint="eastAsia" w:eastAsia="宋体"/>
                <w:color w:val="auto"/>
                <w:sz w:val="21"/>
                <w:szCs w:val="21"/>
                <w:lang w:eastAsia="zh-CN"/>
              </w:rPr>
            </w:pPr>
            <w:r>
              <w:rPr>
                <w:rFonts w:hint="eastAsia"/>
                <w:color w:val="auto"/>
                <w:sz w:val="21"/>
                <w:szCs w:val="21"/>
                <w:lang w:val="en-US" w:eastAsia="zh-CN"/>
              </w:rPr>
              <w:t>/</w:t>
            </w:r>
          </w:p>
        </w:tc>
      </w:tr>
      <w:tr w14:paraId="0DA884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1053" w:type="dxa"/>
            <w:vAlign w:val="center"/>
          </w:tcPr>
          <w:p w14:paraId="115EBC5F">
            <w:pPr>
              <w:pStyle w:val="24"/>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环境风险防范措施</w:t>
            </w:r>
          </w:p>
        </w:tc>
        <w:tc>
          <w:tcPr>
            <w:tcW w:w="8008" w:type="dxa"/>
            <w:gridSpan w:val="5"/>
            <w:vAlign w:val="center"/>
          </w:tcPr>
          <w:p w14:paraId="524E5900">
            <w:pPr>
              <w:pStyle w:val="7"/>
              <w:spacing w:line="240" w:lineRule="auto"/>
              <w:ind w:left="0" w:firstLine="0"/>
              <w:jc w:val="both"/>
              <w:rPr>
                <w:rFonts w:hint="eastAsia" w:eastAsia="宋体"/>
                <w:color w:val="auto"/>
                <w:sz w:val="21"/>
                <w:szCs w:val="21"/>
                <w:lang w:eastAsia="zh-CN"/>
              </w:rPr>
            </w:pPr>
            <w:r>
              <w:rPr>
                <w:rFonts w:hint="default" w:ascii="Times New Roman" w:hAnsi="Times New Roman" w:cs="Times New Roman"/>
                <w:color w:val="auto"/>
                <w:sz w:val="21"/>
                <w:szCs w:val="21"/>
              </w:rPr>
              <w:t>据建设项目环境风险分析的结果，对建设项目进行风险管理，采取有关的风险防范措施以降低事故的发生概率，建立事故应急预案以减轻事故的危害后果，尽最大可能地降低项目的环境风险。建立健全消防组织机构，确定从生产区、仓库到班组的消防安全责任人，明确消防安全职责，制定包括防火巡查、检查，安全疏散设施管理，火灾隐患整改，用火、用电管理，易燃易爆危险物品和场所防火防爆，仓库防火安全管理等各项制度并严格进行管理。制定突发环境事件应急预案，建立应急小组，负责应急突发性事件的组织、指挥、抢修、控制、协调等应急响应行动</w:t>
            </w:r>
            <w:r>
              <w:rPr>
                <w:rFonts w:hint="eastAsia" w:ascii="Times New Roman" w:hAnsi="Times New Roman" w:cs="Times New Roman"/>
                <w:color w:val="auto"/>
                <w:sz w:val="21"/>
                <w:szCs w:val="21"/>
                <w:lang w:eastAsia="zh-CN"/>
              </w:rPr>
              <w:t>。</w:t>
            </w:r>
          </w:p>
        </w:tc>
      </w:tr>
      <w:tr w14:paraId="03B011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1053" w:type="dxa"/>
            <w:vAlign w:val="center"/>
          </w:tcPr>
          <w:p w14:paraId="376F825B">
            <w:pPr>
              <w:pStyle w:val="24"/>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其他环境管理要求</w:t>
            </w:r>
          </w:p>
        </w:tc>
        <w:tc>
          <w:tcPr>
            <w:tcW w:w="8008" w:type="dxa"/>
            <w:gridSpan w:val="5"/>
            <w:vAlign w:val="center"/>
          </w:tcPr>
          <w:p w14:paraId="000C25D6">
            <w:pPr>
              <w:pStyle w:val="7"/>
              <w:numPr>
                <w:ilvl w:val="0"/>
                <w:numId w:val="0"/>
              </w:numPr>
              <w:spacing w:line="240" w:lineRule="auto"/>
              <w:ind w:leftChars="0"/>
              <w:jc w:val="both"/>
              <w:rPr>
                <w:color w:val="auto"/>
                <w:sz w:val="21"/>
                <w:szCs w:val="21"/>
              </w:rPr>
            </w:pPr>
            <w:r>
              <w:rPr>
                <w:color w:val="auto"/>
                <w:sz w:val="21"/>
                <w:szCs w:val="21"/>
              </w:rPr>
              <w:t>加强环保设施的维护和管理，保证设备正常运行，落实环保资金，以实施治污措施，实现污染物达标排放。</w:t>
            </w:r>
          </w:p>
        </w:tc>
      </w:tr>
    </w:tbl>
    <w:p w14:paraId="01F91223">
      <w:pPr>
        <w:pStyle w:val="4"/>
        <w:rPr>
          <w:color w:val="auto"/>
        </w:rPr>
        <w:sectPr>
          <w:pgSz w:w="11907" w:h="16840"/>
          <w:pgMar w:top="1701" w:right="1531" w:bottom="2127" w:left="1531" w:header="851" w:footer="851" w:gutter="0"/>
          <w:pgNumType w:fmt="decimal"/>
          <w:cols w:space="720" w:num="1"/>
          <w:docGrid w:linePitch="312" w:charSpace="0"/>
        </w:sectPr>
      </w:pPr>
    </w:p>
    <w:p w14:paraId="6FE89537">
      <w:pPr>
        <w:pStyle w:val="24"/>
        <w:spacing w:before="0" w:beforeAutospacing="0" w:after="0" w:afterAutospacing="0"/>
        <w:jc w:val="center"/>
        <w:outlineLvl w:val="0"/>
        <w:rPr>
          <w:rFonts w:ascii="Times New Roman" w:hAnsi="Times New Roman"/>
          <w:snapToGrid w:val="0"/>
          <w:color w:val="auto"/>
          <w:sz w:val="30"/>
          <w:szCs w:val="30"/>
        </w:rPr>
      </w:pPr>
      <w:r>
        <w:rPr>
          <w:rFonts w:hint="eastAsia" w:ascii="Times New Roman" w:hAnsi="Times New Roman"/>
          <w:snapToGrid w:val="0"/>
          <w:color w:val="auto"/>
          <w:sz w:val="30"/>
          <w:szCs w:val="30"/>
        </w:rPr>
        <w:t>六、结论</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7FB3BD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58F3231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olor w:val="auto"/>
                <w:sz w:val="24"/>
                <w:lang w:val="en-US"/>
              </w:rPr>
            </w:pPr>
            <w:r>
              <w:rPr>
                <w:rFonts w:hint="eastAsia"/>
                <w:color w:val="auto"/>
                <w:sz w:val="24"/>
                <w:highlight w:val="none"/>
                <w:lang w:val="en-US" w:eastAsia="zh-CN"/>
              </w:rPr>
              <w:t>高安市金峰彩印有限公司于2025年投资</w:t>
            </w:r>
            <w:r>
              <w:rPr>
                <w:rFonts w:hint="eastAsia" w:cs="Times New Roman"/>
                <w:color w:val="auto"/>
                <w:sz w:val="24"/>
                <w:szCs w:val="24"/>
                <w:lang w:val="en-US" w:eastAsia="zh-CN"/>
              </w:rPr>
              <w:t>600万元</w:t>
            </w:r>
            <w:r>
              <w:rPr>
                <w:rFonts w:hint="eastAsia"/>
                <w:color w:val="auto"/>
                <w:sz w:val="24"/>
                <w:lang w:val="en-US" w:eastAsia="zh-CN"/>
              </w:rPr>
              <w:t>建设</w:t>
            </w:r>
            <w:r>
              <w:rPr>
                <w:rFonts w:hint="eastAsia"/>
                <w:color w:val="auto"/>
                <w:sz w:val="24"/>
                <w:highlight w:val="none"/>
                <w:lang w:val="en-US" w:eastAsia="zh-CN"/>
              </w:rPr>
              <w:t>高安市金峰彩印有限公司年印刷5000万米热封膜建设项目。</w:t>
            </w:r>
          </w:p>
          <w:p w14:paraId="434DB2B9">
            <w:pPr>
              <w:autoSpaceDE w:val="0"/>
              <w:autoSpaceDN w:val="0"/>
              <w:spacing w:line="360" w:lineRule="auto"/>
              <w:ind w:firstLine="480" w:firstLineChars="200"/>
              <w:rPr>
                <w:color w:val="auto"/>
                <w:sz w:val="24"/>
              </w:rPr>
            </w:pPr>
            <w:r>
              <w:rPr>
                <w:color w:val="auto"/>
                <w:sz w:val="24"/>
              </w:rPr>
              <w:t>项目位于</w:t>
            </w:r>
            <w:r>
              <w:rPr>
                <w:rFonts w:hint="eastAsia" w:cs="Times New Roman"/>
                <w:color w:val="auto"/>
                <w:sz w:val="24"/>
                <w:szCs w:val="24"/>
                <w:lang w:val="en-US" w:eastAsia="zh-CN"/>
              </w:rPr>
              <w:t>江西省宜春市</w:t>
            </w:r>
            <w:r>
              <w:rPr>
                <w:rFonts w:hint="eastAsia" w:ascii="宋体" w:hAnsi="宋体" w:eastAsia="宋体" w:cs="宋体"/>
                <w:color w:val="auto"/>
                <w:sz w:val="24"/>
                <w:lang w:val="en-US" w:eastAsia="zh-CN"/>
              </w:rPr>
              <w:t>高安市蓝坊镇燕窝村</w:t>
            </w:r>
            <w:r>
              <w:rPr>
                <w:rFonts w:hint="eastAsia"/>
                <w:color w:val="auto"/>
                <w:sz w:val="24"/>
                <w:lang w:val="en-US" w:eastAsia="zh-CN"/>
              </w:rPr>
              <w:t>，</w:t>
            </w:r>
            <w:r>
              <w:rPr>
                <w:rFonts w:hint="eastAsia"/>
                <w:color w:val="auto"/>
                <w:sz w:val="24"/>
              </w:rPr>
              <w:t>总建筑面积</w:t>
            </w:r>
            <w:r>
              <w:rPr>
                <w:rFonts w:hint="eastAsia"/>
                <w:color w:val="auto"/>
                <w:sz w:val="24"/>
                <w:lang w:val="en-US" w:eastAsia="zh-CN"/>
              </w:rPr>
              <w:t>20</w:t>
            </w:r>
            <w:r>
              <w:rPr>
                <w:rFonts w:hint="eastAsia"/>
                <w:color w:val="auto"/>
                <w:sz w:val="24"/>
              </w:rPr>
              <w:t>00m</w:t>
            </w:r>
            <w:r>
              <w:rPr>
                <w:rFonts w:hint="eastAsia"/>
                <w:color w:val="auto"/>
                <w:sz w:val="24"/>
                <w:vertAlign w:val="superscript"/>
              </w:rPr>
              <w:t>2</w:t>
            </w:r>
            <w:r>
              <w:rPr>
                <w:color w:val="auto"/>
                <w:sz w:val="24"/>
              </w:rPr>
              <w:t>，</w:t>
            </w:r>
            <w:r>
              <w:rPr>
                <w:rFonts w:hint="eastAsia"/>
                <w:color w:val="auto"/>
                <w:sz w:val="24"/>
                <w:lang w:val="en-US" w:eastAsia="zh-CN"/>
              </w:rPr>
              <w:t>主要生产工艺为印刷-分切，项目产品为热封膜，年产量为</w:t>
            </w:r>
            <w:r>
              <w:rPr>
                <w:rFonts w:hint="eastAsia"/>
                <w:color w:val="auto"/>
                <w:sz w:val="24"/>
                <w:highlight w:val="none"/>
                <w:lang w:val="en-US" w:eastAsia="zh-CN"/>
              </w:rPr>
              <w:t>5000万米</w:t>
            </w:r>
            <w:r>
              <w:rPr>
                <w:color w:val="auto"/>
                <w:sz w:val="24"/>
              </w:rPr>
              <w:t>。</w:t>
            </w:r>
          </w:p>
          <w:p w14:paraId="4A543901">
            <w:pPr>
              <w:autoSpaceDE w:val="0"/>
              <w:autoSpaceDN w:val="0"/>
              <w:spacing w:line="360" w:lineRule="auto"/>
              <w:ind w:firstLine="480" w:firstLineChars="200"/>
              <w:rPr>
                <w:color w:val="auto"/>
                <w:sz w:val="24"/>
              </w:rPr>
            </w:pPr>
            <w:r>
              <w:rPr>
                <w:rFonts w:hint="eastAsia"/>
                <w:color w:val="auto"/>
                <w:sz w:val="24"/>
                <w:lang w:val="en-US" w:eastAsia="zh-CN"/>
              </w:rPr>
              <w:t>项目</w:t>
            </w:r>
            <w:r>
              <w:rPr>
                <w:rFonts w:hint="eastAsia"/>
                <w:color w:val="auto"/>
                <w:sz w:val="24"/>
              </w:rPr>
              <w:t>劳动定员为</w:t>
            </w:r>
            <w:r>
              <w:rPr>
                <w:rFonts w:hint="eastAsia"/>
                <w:color w:val="auto"/>
                <w:sz w:val="24"/>
                <w:lang w:val="en-US" w:eastAsia="zh-CN"/>
              </w:rPr>
              <w:t>13</w:t>
            </w:r>
            <w:r>
              <w:rPr>
                <w:rFonts w:hint="eastAsia"/>
                <w:color w:val="auto"/>
                <w:sz w:val="24"/>
              </w:rPr>
              <w:t>人，项目年工作</w:t>
            </w:r>
            <w:r>
              <w:rPr>
                <w:rFonts w:hint="eastAsia"/>
                <w:color w:val="auto"/>
                <w:sz w:val="24"/>
                <w:lang w:val="en-US" w:eastAsia="zh-CN"/>
              </w:rPr>
              <w:t>310</w:t>
            </w:r>
            <w:r>
              <w:rPr>
                <w:rFonts w:hint="eastAsia"/>
                <w:color w:val="auto"/>
                <w:sz w:val="24"/>
              </w:rPr>
              <w:t>天，</w:t>
            </w:r>
            <w:r>
              <w:rPr>
                <w:rFonts w:hint="eastAsia"/>
                <w:color w:val="auto"/>
                <w:sz w:val="24"/>
                <w:lang w:val="en-US" w:eastAsia="zh-CN"/>
              </w:rPr>
              <w:t>1</w:t>
            </w:r>
            <w:r>
              <w:rPr>
                <w:rFonts w:hint="eastAsia"/>
                <w:color w:val="auto"/>
                <w:sz w:val="24"/>
              </w:rPr>
              <w:t>班制，</w:t>
            </w:r>
            <w:r>
              <w:rPr>
                <w:rFonts w:hint="eastAsia"/>
                <w:color w:val="auto"/>
                <w:sz w:val="24"/>
                <w:lang w:val="en-US" w:eastAsia="zh-CN"/>
              </w:rPr>
              <w:t>每天生产10小时</w:t>
            </w:r>
            <w:r>
              <w:rPr>
                <w:color w:val="auto"/>
                <w:sz w:val="24"/>
              </w:rPr>
              <w:t>。</w:t>
            </w:r>
          </w:p>
          <w:p w14:paraId="3AC343D3">
            <w:pPr>
              <w:adjustRightInd w:val="0"/>
              <w:snapToGrid w:val="0"/>
              <w:spacing w:line="360" w:lineRule="auto"/>
              <w:ind w:firstLine="480" w:firstLineChars="200"/>
              <w:rPr>
                <w:bCs/>
                <w:color w:val="auto"/>
                <w:sz w:val="24"/>
              </w:rPr>
            </w:pPr>
            <w:r>
              <w:rPr>
                <w:bCs/>
                <w:color w:val="auto"/>
                <w:sz w:val="24"/>
              </w:rPr>
              <w:t>综上所述：本项目符合我国现行的产业政策，项目</w:t>
            </w:r>
            <w:r>
              <w:rPr>
                <w:rFonts w:hint="eastAsia"/>
                <w:bCs/>
                <w:color w:val="auto"/>
                <w:sz w:val="24"/>
                <w:lang w:val="en-US" w:eastAsia="zh-CN"/>
              </w:rPr>
              <w:t>产业政策符合</w:t>
            </w:r>
            <w:r>
              <w:rPr>
                <w:color w:val="auto"/>
                <w:kern w:val="0"/>
                <w:sz w:val="24"/>
                <w:lang w:bidi="ar"/>
              </w:rPr>
              <w:t>地方产业政策</w:t>
            </w:r>
            <w:r>
              <w:rPr>
                <w:rFonts w:hint="eastAsia"/>
                <w:color w:val="auto"/>
                <w:kern w:val="0"/>
                <w:sz w:val="24"/>
                <w:lang w:eastAsia="zh-CN" w:bidi="ar"/>
              </w:rPr>
              <w:t>，</w:t>
            </w:r>
            <w:r>
              <w:rPr>
                <w:bCs/>
                <w:color w:val="auto"/>
                <w:sz w:val="24"/>
              </w:rPr>
              <w:t>选址与周边环境相容，周围环境质量状况良好，选址基本合理，只要落实本次环评提出的各项治理措施，严格执行</w:t>
            </w:r>
            <w:r>
              <w:rPr>
                <w:rFonts w:hint="eastAsia"/>
                <w:bCs/>
                <w:color w:val="auto"/>
                <w:sz w:val="24"/>
                <w:lang w:eastAsia="zh-CN"/>
              </w:rPr>
              <w:t>“</w:t>
            </w:r>
            <w:r>
              <w:rPr>
                <w:bCs/>
                <w:color w:val="auto"/>
                <w:sz w:val="24"/>
              </w:rPr>
              <w:t>三同时</w:t>
            </w:r>
            <w:r>
              <w:rPr>
                <w:rFonts w:hint="eastAsia"/>
                <w:bCs/>
                <w:color w:val="auto"/>
                <w:sz w:val="24"/>
                <w:lang w:eastAsia="zh-CN"/>
              </w:rPr>
              <w:t>”</w:t>
            </w:r>
            <w:r>
              <w:rPr>
                <w:bCs/>
                <w:color w:val="auto"/>
                <w:sz w:val="24"/>
              </w:rPr>
              <w:t xml:space="preserve">制度。在安全生产，确保污染物达标排放，加强环境管理，严禁事故性及非正常排放的前提下，从环保角度分析，本评价认为该项目是可行的。 </w:t>
            </w:r>
          </w:p>
          <w:p w14:paraId="1DDB0254">
            <w:pPr>
              <w:adjustRightInd w:val="0"/>
              <w:snapToGrid w:val="0"/>
              <w:spacing w:line="360" w:lineRule="auto"/>
              <w:ind w:firstLine="480" w:firstLineChars="200"/>
              <w:rPr>
                <w:color w:val="auto"/>
                <w:sz w:val="24"/>
              </w:rPr>
            </w:pPr>
            <w:r>
              <w:rPr>
                <w:rFonts w:hint="eastAsia"/>
                <w:color w:val="auto"/>
                <w:sz w:val="24"/>
              </w:rPr>
              <w:t>（</w:t>
            </w:r>
            <w:r>
              <w:rPr>
                <w:color w:val="auto"/>
                <w:sz w:val="24"/>
              </w:rPr>
              <w:t>注：上述评价结论是在建设单位确定建设内容和规模</w:t>
            </w:r>
            <w:r>
              <w:rPr>
                <w:rFonts w:hint="eastAsia"/>
                <w:color w:val="auto"/>
                <w:sz w:val="24"/>
                <w:lang w:eastAsia="zh-CN"/>
              </w:rPr>
              <w:t>（</w:t>
            </w:r>
            <w:r>
              <w:rPr>
                <w:color w:val="auto"/>
                <w:sz w:val="24"/>
              </w:rPr>
              <w:t>包括生产工艺、设备、厂址以及排污情况</w:t>
            </w:r>
            <w:r>
              <w:rPr>
                <w:rFonts w:hint="eastAsia"/>
                <w:color w:val="auto"/>
                <w:sz w:val="24"/>
                <w:lang w:eastAsia="zh-CN"/>
              </w:rPr>
              <w:t>）</w:t>
            </w:r>
            <w:r>
              <w:rPr>
                <w:color w:val="auto"/>
                <w:sz w:val="24"/>
              </w:rPr>
              <w:t>的基础上得出的，项目基础资料均由建设单位提供，并对其准确性负责。建设单位未来如需增加本报告表所涉及之外的污染源或对其功能进行调整，则应按要求向有关生态环境部门进行申报，并按污染控制目标采取相应的污染治理措施。</w:t>
            </w:r>
            <w:r>
              <w:rPr>
                <w:rFonts w:hint="eastAsia"/>
                <w:color w:val="auto"/>
                <w:sz w:val="24"/>
              </w:rPr>
              <w:t>）</w:t>
            </w:r>
          </w:p>
          <w:p w14:paraId="139BA672">
            <w:pPr>
              <w:adjustRightInd w:val="0"/>
              <w:snapToGrid w:val="0"/>
              <w:spacing w:line="360" w:lineRule="auto"/>
              <w:ind w:firstLine="482" w:firstLineChars="200"/>
              <w:rPr>
                <w:b/>
                <w:color w:val="auto"/>
                <w:sz w:val="24"/>
              </w:rPr>
            </w:pPr>
            <w:r>
              <w:rPr>
                <w:b/>
                <w:color w:val="auto"/>
                <w:sz w:val="24"/>
              </w:rPr>
              <w:t>建议</w:t>
            </w:r>
          </w:p>
          <w:p w14:paraId="1FA58B33">
            <w:pPr>
              <w:adjustRightInd w:val="0"/>
              <w:snapToGrid w:val="0"/>
              <w:spacing w:line="360" w:lineRule="auto"/>
              <w:ind w:firstLine="480" w:firstLineChars="200"/>
              <w:rPr>
                <w:color w:val="auto"/>
                <w:sz w:val="24"/>
              </w:rPr>
            </w:pPr>
            <w:r>
              <w:rPr>
                <w:color w:val="auto"/>
                <w:sz w:val="24"/>
              </w:rPr>
              <w:t>（1）为了能使厂区内各项污染防治措施达到较好的实际使用效果，厂方应建立健全的环境保护制度，设立负责环保的科室，负责经常性的监督管理工作；加强对产噪设备的维修、保养及管理，确保工作设备的良性运转。</w:t>
            </w:r>
          </w:p>
          <w:p w14:paraId="5BA45582">
            <w:pPr>
              <w:adjustRightInd w:val="0"/>
              <w:snapToGrid w:val="0"/>
              <w:spacing w:line="360" w:lineRule="auto"/>
              <w:ind w:firstLine="480" w:firstLineChars="200"/>
              <w:rPr>
                <w:color w:val="auto"/>
                <w:sz w:val="24"/>
              </w:rPr>
            </w:pPr>
            <w:r>
              <w:rPr>
                <w:color w:val="auto"/>
                <w:sz w:val="24"/>
              </w:rPr>
              <w:t>（</w:t>
            </w:r>
            <w:r>
              <w:rPr>
                <w:rFonts w:hint="eastAsia"/>
                <w:color w:val="auto"/>
                <w:sz w:val="24"/>
                <w:lang w:val="en-US" w:eastAsia="zh-CN"/>
              </w:rPr>
              <w:t>2</w:t>
            </w:r>
            <w:r>
              <w:rPr>
                <w:color w:val="auto"/>
                <w:sz w:val="24"/>
              </w:rPr>
              <w:t>）如产品方案、工艺、设备、原辅材料消耗等生产情况有大的变动，应及时向有关部门及时申报。</w:t>
            </w:r>
          </w:p>
          <w:p w14:paraId="1AAE0AEA">
            <w:pPr>
              <w:autoSpaceDE w:val="0"/>
              <w:autoSpaceDN w:val="0"/>
              <w:ind w:firstLine="480"/>
              <w:rPr>
                <w:color w:val="auto"/>
              </w:rPr>
            </w:pPr>
          </w:p>
        </w:tc>
      </w:tr>
    </w:tbl>
    <w:p w14:paraId="4BDD3051">
      <w:pPr>
        <w:rPr>
          <w:rFonts w:ascii="宋体"/>
          <w:color w:val="auto"/>
        </w:rPr>
        <w:sectPr>
          <w:pgSz w:w="11906" w:h="16838"/>
          <w:pgMar w:top="1701" w:right="1531" w:bottom="1701" w:left="1531" w:header="851" w:footer="851" w:gutter="0"/>
          <w:pgNumType w:fmt="decimal"/>
          <w:cols w:space="720" w:num="1"/>
          <w:docGrid w:linePitch="312" w:charSpace="0"/>
        </w:sectPr>
      </w:pPr>
    </w:p>
    <w:p w14:paraId="773D37CB">
      <w:pPr>
        <w:widowControl/>
        <w:adjustRightInd w:val="0"/>
        <w:snapToGrid w:val="0"/>
        <w:spacing w:line="300" w:lineRule="auto"/>
        <w:jc w:val="left"/>
        <w:outlineLvl w:val="0"/>
        <w:rPr>
          <w:b/>
          <w:bCs/>
          <w:snapToGrid w:val="0"/>
          <w:color w:val="auto"/>
          <w:kern w:val="0"/>
          <w:sz w:val="32"/>
          <w:szCs w:val="32"/>
        </w:rPr>
      </w:pPr>
      <w:r>
        <w:rPr>
          <w:b/>
          <w:bCs/>
          <w:snapToGrid w:val="0"/>
          <w:color w:val="auto"/>
          <w:kern w:val="0"/>
          <w:sz w:val="32"/>
          <w:szCs w:val="32"/>
        </w:rPr>
        <w:t>附表</w:t>
      </w:r>
    </w:p>
    <w:p w14:paraId="44353479">
      <w:pPr>
        <w:widowControl/>
        <w:adjustRightInd w:val="0"/>
        <w:snapToGrid w:val="0"/>
        <w:spacing w:line="300" w:lineRule="auto"/>
        <w:ind w:firstLine="763"/>
        <w:jc w:val="right"/>
        <w:rPr>
          <w:b/>
          <w:bCs/>
          <w:snapToGrid w:val="0"/>
          <w:color w:val="auto"/>
          <w:kern w:val="0"/>
          <w:szCs w:val="21"/>
        </w:rPr>
      </w:pPr>
      <w:r>
        <w:rPr>
          <w:b/>
          <w:bCs/>
          <w:snapToGrid w:val="0"/>
          <w:color w:val="auto"/>
          <w:kern w:val="0"/>
          <w:sz w:val="38"/>
          <w:szCs w:val="38"/>
        </w:rPr>
        <w:t xml:space="preserve">建设项目污染物排放量汇总表                 </w:t>
      </w:r>
      <w:r>
        <w:rPr>
          <w:b/>
          <w:bCs/>
          <w:snapToGrid w:val="0"/>
          <w:color w:val="auto"/>
          <w:kern w:val="0"/>
          <w:szCs w:val="21"/>
        </w:rPr>
        <w:t>单位：t/a</w:t>
      </w:r>
    </w:p>
    <w:tbl>
      <w:tblPr>
        <w:tblStyle w:val="28"/>
        <w:tblW w:w="1403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950"/>
        <w:gridCol w:w="1575"/>
        <w:gridCol w:w="1260"/>
        <w:gridCol w:w="1612"/>
        <w:gridCol w:w="1559"/>
        <w:gridCol w:w="1761"/>
        <w:gridCol w:w="1742"/>
        <w:gridCol w:w="1293"/>
      </w:tblGrid>
      <w:tr w14:paraId="2A93B3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tcBorders>
              <w:tl2br w:val="single" w:color="auto" w:sz="4" w:space="0"/>
            </w:tcBorders>
            <w:tcMar>
              <w:left w:w="28" w:type="dxa"/>
              <w:right w:w="28" w:type="dxa"/>
            </w:tcMar>
            <w:vAlign w:val="center"/>
          </w:tcPr>
          <w:p w14:paraId="33145164">
            <w:pPr>
              <w:adjustRightInd w:val="0"/>
              <w:snapToGrid w:val="0"/>
              <w:jc w:val="center"/>
              <w:rPr>
                <w:b/>
                <w:bCs/>
                <w:snapToGrid w:val="0"/>
                <w:color w:val="auto"/>
                <w:kern w:val="21"/>
                <w:szCs w:val="21"/>
              </w:rPr>
            </w:pPr>
            <w:r>
              <w:rPr>
                <w:b/>
                <w:bCs/>
                <w:snapToGrid w:val="0"/>
                <w:color w:val="auto"/>
                <w:kern w:val="21"/>
                <w:szCs w:val="21"/>
              </w:rPr>
              <w:t>项目</w:t>
            </w:r>
          </w:p>
          <w:p w14:paraId="0E5BAB27">
            <w:pPr>
              <w:adjustRightInd w:val="0"/>
              <w:snapToGrid w:val="0"/>
              <w:jc w:val="center"/>
              <w:rPr>
                <w:b/>
                <w:bCs/>
                <w:snapToGrid w:val="0"/>
                <w:color w:val="auto"/>
                <w:kern w:val="21"/>
                <w:szCs w:val="21"/>
              </w:rPr>
            </w:pPr>
            <w:r>
              <w:rPr>
                <w:b/>
                <w:bCs/>
                <w:snapToGrid w:val="0"/>
                <w:color w:val="auto"/>
                <w:kern w:val="21"/>
                <w:szCs w:val="21"/>
              </w:rPr>
              <w:t>分类</w:t>
            </w:r>
          </w:p>
        </w:tc>
        <w:tc>
          <w:tcPr>
            <w:tcW w:w="1950" w:type="dxa"/>
            <w:tcMar>
              <w:left w:w="28" w:type="dxa"/>
              <w:right w:w="28" w:type="dxa"/>
            </w:tcMar>
            <w:vAlign w:val="center"/>
          </w:tcPr>
          <w:p w14:paraId="50D0863C">
            <w:pPr>
              <w:adjustRightInd w:val="0"/>
              <w:snapToGrid w:val="0"/>
              <w:jc w:val="center"/>
              <w:rPr>
                <w:b/>
                <w:bCs/>
                <w:snapToGrid w:val="0"/>
                <w:color w:val="auto"/>
                <w:kern w:val="21"/>
                <w:szCs w:val="21"/>
              </w:rPr>
            </w:pPr>
            <w:r>
              <w:rPr>
                <w:b/>
                <w:bCs/>
                <w:snapToGrid w:val="0"/>
                <w:color w:val="auto"/>
                <w:kern w:val="21"/>
                <w:szCs w:val="21"/>
              </w:rPr>
              <w:t>污染物名称</w:t>
            </w:r>
          </w:p>
        </w:tc>
        <w:tc>
          <w:tcPr>
            <w:tcW w:w="1575" w:type="dxa"/>
            <w:tcMar>
              <w:left w:w="28" w:type="dxa"/>
              <w:right w:w="28" w:type="dxa"/>
            </w:tcMar>
            <w:vAlign w:val="center"/>
          </w:tcPr>
          <w:p w14:paraId="6C707CF0">
            <w:pPr>
              <w:adjustRightInd w:val="0"/>
              <w:snapToGrid w:val="0"/>
              <w:jc w:val="center"/>
              <w:rPr>
                <w:b/>
                <w:bCs/>
                <w:snapToGrid w:val="0"/>
                <w:color w:val="auto"/>
                <w:kern w:val="21"/>
                <w:szCs w:val="21"/>
              </w:rPr>
            </w:pPr>
            <w:r>
              <w:rPr>
                <w:b/>
                <w:bCs/>
                <w:snapToGrid w:val="0"/>
                <w:color w:val="auto"/>
                <w:kern w:val="21"/>
                <w:szCs w:val="21"/>
              </w:rPr>
              <w:t>现有工程</w:t>
            </w:r>
          </w:p>
          <w:p w14:paraId="6733E593">
            <w:pPr>
              <w:adjustRightInd w:val="0"/>
              <w:snapToGrid w:val="0"/>
              <w:jc w:val="center"/>
              <w:rPr>
                <w:b/>
                <w:bCs/>
                <w:snapToGrid w:val="0"/>
                <w:color w:val="auto"/>
                <w:kern w:val="21"/>
                <w:szCs w:val="21"/>
              </w:rPr>
            </w:pPr>
            <w:r>
              <w:rPr>
                <w:b/>
                <w:bCs/>
                <w:snapToGrid w:val="0"/>
                <w:color w:val="auto"/>
                <w:kern w:val="21"/>
                <w:szCs w:val="21"/>
              </w:rPr>
              <w:t>排放量（固体废物产生量）</w:t>
            </w:r>
            <w:r>
              <w:rPr>
                <w:b/>
                <w:bCs/>
                <w:snapToGrid w:val="0"/>
                <w:color w:val="auto"/>
                <w:kern w:val="21"/>
                <w:szCs w:val="21"/>
              </w:rPr>
              <w:fldChar w:fldCharType="begin"/>
            </w:r>
            <w:r>
              <w:rPr>
                <w:b/>
                <w:bCs/>
                <w:snapToGrid w:val="0"/>
                <w:color w:val="auto"/>
                <w:kern w:val="21"/>
                <w:szCs w:val="21"/>
              </w:rPr>
              <w:instrText xml:space="preserve"> = 1 \* GB3 \* MERGEFORMAT </w:instrText>
            </w:r>
            <w:r>
              <w:rPr>
                <w:b/>
                <w:bCs/>
                <w:snapToGrid w:val="0"/>
                <w:color w:val="auto"/>
                <w:kern w:val="21"/>
                <w:szCs w:val="21"/>
              </w:rPr>
              <w:fldChar w:fldCharType="separate"/>
            </w:r>
            <w:r>
              <w:rPr>
                <w:b/>
                <w:bCs/>
                <w:color w:val="auto"/>
                <w:szCs w:val="21"/>
              </w:rPr>
              <w:t>①</w:t>
            </w:r>
            <w:r>
              <w:rPr>
                <w:b/>
                <w:bCs/>
                <w:snapToGrid w:val="0"/>
                <w:color w:val="auto"/>
                <w:kern w:val="21"/>
                <w:szCs w:val="21"/>
              </w:rPr>
              <w:fldChar w:fldCharType="end"/>
            </w:r>
          </w:p>
        </w:tc>
        <w:tc>
          <w:tcPr>
            <w:tcW w:w="1260" w:type="dxa"/>
            <w:tcMar>
              <w:left w:w="28" w:type="dxa"/>
              <w:right w:w="28" w:type="dxa"/>
            </w:tcMar>
            <w:vAlign w:val="center"/>
          </w:tcPr>
          <w:p w14:paraId="19DBF5B7">
            <w:pPr>
              <w:adjustRightInd w:val="0"/>
              <w:snapToGrid w:val="0"/>
              <w:jc w:val="center"/>
              <w:rPr>
                <w:b/>
                <w:bCs/>
                <w:snapToGrid w:val="0"/>
                <w:color w:val="auto"/>
                <w:kern w:val="21"/>
                <w:szCs w:val="21"/>
              </w:rPr>
            </w:pPr>
            <w:r>
              <w:rPr>
                <w:b/>
                <w:bCs/>
                <w:snapToGrid w:val="0"/>
                <w:color w:val="auto"/>
                <w:kern w:val="21"/>
                <w:szCs w:val="21"/>
              </w:rPr>
              <w:t>现有工程</w:t>
            </w:r>
          </w:p>
          <w:p w14:paraId="1A73D8F5">
            <w:pPr>
              <w:adjustRightInd w:val="0"/>
              <w:snapToGrid w:val="0"/>
              <w:jc w:val="center"/>
              <w:rPr>
                <w:b/>
                <w:bCs/>
                <w:snapToGrid w:val="0"/>
                <w:color w:val="auto"/>
                <w:kern w:val="21"/>
                <w:szCs w:val="21"/>
              </w:rPr>
            </w:pPr>
            <w:r>
              <w:rPr>
                <w:b/>
                <w:bCs/>
                <w:snapToGrid w:val="0"/>
                <w:color w:val="auto"/>
                <w:kern w:val="21"/>
                <w:szCs w:val="21"/>
              </w:rPr>
              <w:t>许可排放量</w:t>
            </w:r>
          </w:p>
          <w:p w14:paraId="27F49CFE">
            <w:pPr>
              <w:adjustRightInd w:val="0"/>
              <w:snapToGrid w:val="0"/>
              <w:jc w:val="center"/>
              <w:rPr>
                <w:b/>
                <w:bCs/>
                <w:snapToGrid w:val="0"/>
                <w:color w:val="auto"/>
                <w:kern w:val="21"/>
                <w:szCs w:val="21"/>
              </w:rPr>
            </w:pPr>
            <w:r>
              <w:rPr>
                <w:b/>
                <w:bCs/>
                <w:snapToGrid w:val="0"/>
                <w:color w:val="auto"/>
                <w:kern w:val="21"/>
                <w:szCs w:val="21"/>
              </w:rPr>
              <w:fldChar w:fldCharType="begin"/>
            </w:r>
            <w:r>
              <w:rPr>
                <w:b/>
                <w:bCs/>
                <w:snapToGrid w:val="0"/>
                <w:color w:val="auto"/>
                <w:kern w:val="21"/>
                <w:szCs w:val="21"/>
              </w:rPr>
              <w:instrText xml:space="preserve"> = 2 \* GB3 \* MERGEFORMAT </w:instrText>
            </w:r>
            <w:r>
              <w:rPr>
                <w:b/>
                <w:bCs/>
                <w:snapToGrid w:val="0"/>
                <w:color w:val="auto"/>
                <w:kern w:val="21"/>
                <w:szCs w:val="21"/>
              </w:rPr>
              <w:fldChar w:fldCharType="separate"/>
            </w:r>
            <w:r>
              <w:rPr>
                <w:b/>
                <w:bCs/>
                <w:snapToGrid w:val="0"/>
                <w:color w:val="auto"/>
                <w:kern w:val="21"/>
                <w:szCs w:val="21"/>
              </w:rPr>
              <w:t>②</w:t>
            </w:r>
            <w:r>
              <w:rPr>
                <w:b/>
                <w:bCs/>
                <w:snapToGrid w:val="0"/>
                <w:color w:val="auto"/>
                <w:kern w:val="21"/>
                <w:szCs w:val="21"/>
              </w:rPr>
              <w:fldChar w:fldCharType="end"/>
            </w:r>
          </w:p>
        </w:tc>
        <w:tc>
          <w:tcPr>
            <w:tcW w:w="1612" w:type="dxa"/>
            <w:tcMar>
              <w:left w:w="28" w:type="dxa"/>
              <w:right w:w="28" w:type="dxa"/>
            </w:tcMar>
            <w:vAlign w:val="center"/>
          </w:tcPr>
          <w:p w14:paraId="32CEEFD8">
            <w:pPr>
              <w:adjustRightInd w:val="0"/>
              <w:snapToGrid w:val="0"/>
              <w:jc w:val="center"/>
              <w:rPr>
                <w:b/>
                <w:bCs/>
                <w:snapToGrid w:val="0"/>
                <w:color w:val="auto"/>
                <w:kern w:val="21"/>
                <w:szCs w:val="21"/>
              </w:rPr>
            </w:pPr>
            <w:r>
              <w:rPr>
                <w:b/>
                <w:bCs/>
                <w:snapToGrid w:val="0"/>
                <w:color w:val="auto"/>
                <w:kern w:val="21"/>
                <w:szCs w:val="21"/>
              </w:rPr>
              <w:t>在建工程</w:t>
            </w:r>
          </w:p>
          <w:p w14:paraId="466AD077">
            <w:pPr>
              <w:adjustRightInd w:val="0"/>
              <w:snapToGrid w:val="0"/>
              <w:jc w:val="center"/>
              <w:rPr>
                <w:b/>
                <w:bCs/>
                <w:snapToGrid w:val="0"/>
                <w:color w:val="auto"/>
                <w:kern w:val="21"/>
                <w:szCs w:val="21"/>
              </w:rPr>
            </w:pPr>
            <w:r>
              <w:rPr>
                <w:b/>
                <w:bCs/>
                <w:snapToGrid w:val="0"/>
                <w:color w:val="auto"/>
                <w:kern w:val="21"/>
                <w:szCs w:val="21"/>
              </w:rPr>
              <w:t>排放量（固体废物产生量）</w:t>
            </w:r>
            <w:r>
              <w:rPr>
                <w:b/>
                <w:bCs/>
                <w:snapToGrid w:val="0"/>
                <w:color w:val="auto"/>
                <w:kern w:val="21"/>
                <w:szCs w:val="21"/>
              </w:rPr>
              <w:fldChar w:fldCharType="begin"/>
            </w:r>
            <w:r>
              <w:rPr>
                <w:b/>
                <w:bCs/>
                <w:snapToGrid w:val="0"/>
                <w:color w:val="auto"/>
                <w:kern w:val="21"/>
                <w:szCs w:val="21"/>
              </w:rPr>
              <w:instrText xml:space="preserve"> = 3 \* GB3 \* MERGEFORMAT </w:instrText>
            </w:r>
            <w:r>
              <w:rPr>
                <w:b/>
                <w:bCs/>
                <w:snapToGrid w:val="0"/>
                <w:color w:val="auto"/>
                <w:kern w:val="21"/>
                <w:szCs w:val="21"/>
              </w:rPr>
              <w:fldChar w:fldCharType="separate"/>
            </w:r>
            <w:r>
              <w:rPr>
                <w:b/>
                <w:bCs/>
                <w:color w:val="auto"/>
                <w:szCs w:val="21"/>
              </w:rPr>
              <w:t>③</w:t>
            </w:r>
            <w:r>
              <w:rPr>
                <w:b/>
                <w:bCs/>
                <w:snapToGrid w:val="0"/>
                <w:color w:val="auto"/>
                <w:kern w:val="21"/>
                <w:szCs w:val="21"/>
              </w:rPr>
              <w:fldChar w:fldCharType="end"/>
            </w:r>
          </w:p>
        </w:tc>
        <w:tc>
          <w:tcPr>
            <w:tcW w:w="1559" w:type="dxa"/>
            <w:tcMar>
              <w:left w:w="28" w:type="dxa"/>
              <w:right w:w="28" w:type="dxa"/>
            </w:tcMar>
            <w:vAlign w:val="center"/>
          </w:tcPr>
          <w:p w14:paraId="3644BAFB">
            <w:pPr>
              <w:adjustRightInd w:val="0"/>
              <w:snapToGrid w:val="0"/>
              <w:jc w:val="center"/>
              <w:rPr>
                <w:b/>
                <w:bCs/>
                <w:snapToGrid w:val="0"/>
                <w:color w:val="auto"/>
                <w:kern w:val="21"/>
                <w:szCs w:val="21"/>
              </w:rPr>
            </w:pPr>
            <w:r>
              <w:rPr>
                <w:b/>
                <w:bCs/>
                <w:snapToGrid w:val="0"/>
                <w:color w:val="auto"/>
                <w:kern w:val="21"/>
                <w:szCs w:val="21"/>
              </w:rPr>
              <w:t>本项目</w:t>
            </w:r>
          </w:p>
          <w:p w14:paraId="7BE5BA7A">
            <w:pPr>
              <w:adjustRightInd w:val="0"/>
              <w:snapToGrid w:val="0"/>
              <w:jc w:val="center"/>
              <w:rPr>
                <w:b/>
                <w:bCs/>
                <w:snapToGrid w:val="0"/>
                <w:color w:val="auto"/>
                <w:kern w:val="21"/>
                <w:szCs w:val="21"/>
              </w:rPr>
            </w:pPr>
            <w:r>
              <w:rPr>
                <w:b/>
                <w:bCs/>
                <w:snapToGrid w:val="0"/>
                <w:color w:val="auto"/>
                <w:kern w:val="21"/>
                <w:szCs w:val="21"/>
              </w:rPr>
              <w:t>排放量（固体废物产生量）</w:t>
            </w:r>
            <w:r>
              <w:rPr>
                <w:b/>
                <w:bCs/>
                <w:snapToGrid w:val="0"/>
                <w:color w:val="auto"/>
                <w:kern w:val="21"/>
                <w:szCs w:val="21"/>
              </w:rPr>
              <w:fldChar w:fldCharType="begin"/>
            </w:r>
            <w:r>
              <w:rPr>
                <w:b/>
                <w:bCs/>
                <w:snapToGrid w:val="0"/>
                <w:color w:val="auto"/>
                <w:kern w:val="21"/>
                <w:szCs w:val="21"/>
              </w:rPr>
              <w:instrText xml:space="preserve"> = 4 \* GB3 \* MERGEFORMAT </w:instrText>
            </w:r>
            <w:r>
              <w:rPr>
                <w:b/>
                <w:bCs/>
                <w:snapToGrid w:val="0"/>
                <w:color w:val="auto"/>
                <w:kern w:val="21"/>
                <w:szCs w:val="21"/>
              </w:rPr>
              <w:fldChar w:fldCharType="separate"/>
            </w:r>
            <w:r>
              <w:rPr>
                <w:b/>
                <w:bCs/>
                <w:color w:val="auto"/>
                <w:szCs w:val="21"/>
              </w:rPr>
              <w:t>④</w:t>
            </w:r>
            <w:r>
              <w:rPr>
                <w:b/>
                <w:bCs/>
                <w:snapToGrid w:val="0"/>
                <w:color w:val="auto"/>
                <w:kern w:val="21"/>
                <w:szCs w:val="21"/>
              </w:rPr>
              <w:fldChar w:fldCharType="end"/>
            </w:r>
          </w:p>
        </w:tc>
        <w:tc>
          <w:tcPr>
            <w:tcW w:w="1761" w:type="dxa"/>
            <w:tcMar>
              <w:left w:w="28" w:type="dxa"/>
              <w:right w:w="28" w:type="dxa"/>
            </w:tcMar>
            <w:vAlign w:val="center"/>
          </w:tcPr>
          <w:p w14:paraId="2A612844">
            <w:pPr>
              <w:adjustRightInd w:val="0"/>
              <w:snapToGrid w:val="0"/>
              <w:jc w:val="center"/>
              <w:rPr>
                <w:b/>
                <w:bCs/>
                <w:snapToGrid w:val="0"/>
                <w:color w:val="auto"/>
                <w:kern w:val="21"/>
                <w:szCs w:val="21"/>
              </w:rPr>
            </w:pPr>
            <w:r>
              <w:rPr>
                <w:b/>
                <w:bCs/>
                <w:snapToGrid w:val="0"/>
                <w:color w:val="auto"/>
                <w:kern w:val="21"/>
                <w:szCs w:val="21"/>
              </w:rPr>
              <w:t>以新带老削减量</w:t>
            </w:r>
          </w:p>
          <w:p w14:paraId="0541FD8C">
            <w:pPr>
              <w:adjustRightInd w:val="0"/>
              <w:snapToGrid w:val="0"/>
              <w:jc w:val="center"/>
              <w:rPr>
                <w:b/>
                <w:bCs/>
                <w:snapToGrid w:val="0"/>
                <w:color w:val="auto"/>
                <w:kern w:val="21"/>
                <w:szCs w:val="21"/>
              </w:rPr>
            </w:pPr>
            <w:r>
              <w:rPr>
                <w:b/>
                <w:bCs/>
                <w:snapToGrid w:val="0"/>
                <w:color w:val="auto"/>
                <w:kern w:val="21"/>
                <w:szCs w:val="21"/>
              </w:rPr>
              <w:t>（新建项目不填）</w:t>
            </w:r>
            <w:r>
              <w:rPr>
                <w:b/>
                <w:bCs/>
                <w:snapToGrid w:val="0"/>
                <w:color w:val="auto"/>
                <w:kern w:val="21"/>
                <w:szCs w:val="21"/>
              </w:rPr>
              <w:fldChar w:fldCharType="begin"/>
            </w:r>
            <w:r>
              <w:rPr>
                <w:b/>
                <w:bCs/>
                <w:snapToGrid w:val="0"/>
                <w:color w:val="auto"/>
                <w:kern w:val="21"/>
                <w:szCs w:val="21"/>
              </w:rPr>
              <w:instrText xml:space="preserve"> = 5 \* GB3 \* MERGEFORMAT </w:instrText>
            </w:r>
            <w:r>
              <w:rPr>
                <w:b/>
                <w:bCs/>
                <w:snapToGrid w:val="0"/>
                <w:color w:val="auto"/>
                <w:kern w:val="21"/>
                <w:szCs w:val="21"/>
              </w:rPr>
              <w:fldChar w:fldCharType="separate"/>
            </w:r>
            <w:r>
              <w:rPr>
                <w:b/>
                <w:bCs/>
                <w:color w:val="auto"/>
                <w:szCs w:val="21"/>
              </w:rPr>
              <w:t>⑤</w:t>
            </w:r>
            <w:r>
              <w:rPr>
                <w:b/>
                <w:bCs/>
                <w:snapToGrid w:val="0"/>
                <w:color w:val="auto"/>
                <w:kern w:val="21"/>
                <w:szCs w:val="21"/>
              </w:rPr>
              <w:fldChar w:fldCharType="end"/>
            </w:r>
          </w:p>
        </w:tc>
        <w:tc>
          <w:tcPr>
            <w:tcW w:w="1742" w:type="dxa"/>
            <w:tcMar>
              <w:left w:w="28" w:type="dxa"/>
              <w:right w:w="28" w:type="dxa"/>
            </w:tcMar>
            <w:vAlign w:val="center"/>
          </w:tcPr>
          <w:p w14:paraId="34320977">
            <w:pPr>
              <w:adjustRightInd w:val="0"/>
              <w:snapToGrid w:val="0"/>
              <w:jc w:val="center"/>
              <w:rPr>
                <w:b/>
                <w:bCs/>
                <w:snapToGrid w:val="0"/>
                <w:color w:val="auto"/>
                <w:kern w:val="21"/>
                <w:szCs w:val="21"/>
              </w:rPr>
            </w:pPr>
            <w:r>
              <w:rPr>
                <w:b/>
                <w:bCs/>
                <w:snapToGrid w:val="0"/>
                <w:color w:val="auto"/>
                <w:kern w:val="21"/>
                <w:szCs w:val="21"/>
              </w:rPr>
              <w:t>本项目建成后</w:t>
            </w:r>
          </w:p>
          <w:p w14:paraId="629403E4">
            <w:pPr>
              <w:adjustRightInd w:val="0"/>
              <w:snapToGrid w:val="0"/>
              <w:jc w:val="center"/>
              <w:rPr>
                <w:b/>
                <w:bCs/>
                <w:snapToGrid w:val="0"/>
                <w:color w:val="auto"/>
                <w:kern w:val="21"/>
                <w:szCs w:val="21"/>
              </w:rPr>
            </w:pPr>
            <w:r>
              <w:rPr>
                <w:b/>
                <w:bCs/>
                <w:snapToGrid w:val="0"/>
                <w:color w:val="auto"/>
                <w:kern w:val="21"/>
                <w:szCs w:val="21"/>
              </w:rPr>
              <w:t>全厂排放量（固体废物产生量）</w:t>
            </w:r>
            <w:r>
              <w:rPr>
                <w:b/>
                <w:bCs/>
                <w:snapToGrid w:val="0"/>
                <w:color w:val="auto"/>
                <w:kern w:val="21"/>
                <w:szCs w:val="21"/>
              </w:rPr>
              <w:fldChar w:fldCharType="begin"/>
            </w:r>
            <w:r>
              <w:rPr>
                <w:b/>
                <w:bCs/>
                <w:snapToGrid w:val="0"/>
                <w:color w:val="auto"/>
                <w:kern w:val="21"/>
                <w:szCs w:val="21"/>
              </w:rPr>
              <w:instrText xml:space="preserve"> = 6 \* GB3 \* MERGEFORMAT </w:instrText>
            </w:r>
            <w:r>
              <w:rPr>
                <w:b/>
                <w:bCs/>
                <w:snapToGrid w:val="0"/>
                <w:color w:val="auto"/>
                <w:kern w:val="21"/>
                <w:szCs w:val="21"/>
              </w:rPr>
              <w:fldChar w:fldCharType="separate"/>
            </w:r>
            <w:r>
              <w:rPr>
                <w:b/>
                <w:bCs/>
                <w:color w:val="auto"/>
                <w:szCs w:val="21"/>
              </w:rPr>
              <w:t>⑥</w:t>
            </w:r>
            <w:r>
              <w:rPr>
                <w:b/>
                <w:bCs/>
                <w:snapToGrid w:val="0"/>
                <w:color w:val="auto"/>
                <w:kern w:val="21"/>
                <w:szCs w:val="21"/>
              </w:rPr>
              <w:fldChar w:fldCharType="end"/>
            </w:r>
          </w:p>
        </w:tc>
        <w:tc>
          <w:tcPr>
            <w:tcW w:w="1293" w:type="dxa"/>
            <w:tcMar>
              <w:left w:w="28" w:type="dxa"/>
              <w:right w:w="28" w:type="dxa"/>
            </w:tcMar>
            <w:vAlign w:val="center"/>
          </w:tcPr>
          <w:p w14:paraId="48824767">
            <w:pPr>
              <w:adjustRightInd w:val="0"/>
              <w:snapToGrid w:val="0"/>
              <w:jc w:val="center"/>
              <w:rPr>
                <w:b/>
                <w:bCs/>
                <w:snapToGrid w:val="0"/>
                <w:color w:val="auto"/>
                <w:kern w:val="21"/>
                <w:szCs w:val="21"/>
              </w:rPr>
            </w:pPr>
            <w:r>
              <w:rPr>
                <w:b/>
                <w:bCs/>
                <w:snapToGrid w:val="0"/>
                <w:color w:val="auto"/>
                <w:kern w:val="21"/>
                <w:szCs w:val="21"/>
              </w:rPr>
              <w:t>变化量</w:t>
            </w:r>
          </w:p>
          <w:p w14:paraId="40518188">
            <w:pPr>
              <w:adjustRightInd w:val="0"/>
              <w:snapToGrid w:val="0"/>
              <w:jc w:val="center"/>
              <w:rPr>
                <w:b/>
                <w:bCs/>
                <w:snapToGrid w:val="0"/>
                <w:color w:val="auto"/>
                <w:kern w:val="21"/>
                <w:szCs w:val="21"/>
              </w:rPr>
            </w:pPr>
            <w:r>
              <w:rPr>
                <w:b/>
                <w:bCs/>
                <w:snapToGrid w:val="0"/>
                <w:color w:val="auto"/>
                <w:kern w:val="21"/>
                <w:szCs w:val="21"/>
              </w:rPr>
              <w:fldChar w:fldCharType="begin"/>
            </w:r>
            <w:r>
              <w:rPr>
                <w:b/>
                <w:bCs/>
                <w:snapToGrid w:val="0"/>
                <w:color w:val="auto"/>
                <w:kern w:val="21"/>
                <w:szCs w:val="21"/>
              </w:rPr>
              <w:instrText xml:space="preserve"> = 7 \* GB3 \* MERGEFORMAT </w:instrText>
            </w:r>
            <w:r>
              <w:rPr>
                <w:b/>
                <w:bCs/>
                <w:snapToGrid w:val="0"/>
                <w:color w:val="auto"/>
                <w:kern w:val="21"/>
                <w:szCs w:val="21"/>
              </w:rPr>
              <w:fldChar w:fldCharType="separate"/>
            </w:r>
            <w:r>
              <w:rPr>
                <w:b/>
                <w:bCs/>
                <w:color w:val="auto"/>
                <w:szCs w:val="21"/>
              </w:rPr>
              <w:t>⑦</w:t>
            </w:r>
            <w:r>
              <w:rPr>
                <w:b/>
                <w:bCs/>
                <w:snapToGrid w:val="0"/>
                <w:color w:val="auto"/>
                <w:kern w:val="21"/>
                <w:szCs w:val="21"/>
              </w:rPr>
              <w:fldChar w:fldCharType="end"/>
            </w:r>
          </w:p>
        </w:tc>
      </w:tr>
      <w:tr w14:paraId="7F1473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1286" w:type="dxa"/>
            <w:vAlign w:val="center"/>
          </w:tcPr>
          <w:p w14:paraId="5BD1EA0F">
            <w:pPr>
              <w:adjustRightInd w:val="0"/>
              <w:snapToGrid w:val="0"/>
              <w:jc w:val="center"/>
              <w:rPr>
                <w:b/>
                <w:bCs/>
                <w:snapToGrid w:val="0"/>
                <w:color w:val="auto"/>
                <w:kern w:val="21"/>
                <w:szCs w:val="21"/>
              </w:rPr>
            </w:pPr>
            <w:r>
              <w:rPr>
                <w:b/>
                <w:bCs/>
                <w:snapToGrid w:val="0"/>
                <w:color w:val="auto"/>
                <w:kern w:val="21"/>
                <w:szCs w:val="21"/>
              </w:rPr>
              <w:t>废气</w:t>
            </w:r>
          </w:p>
        </w:tc>
        <w:tc>
          <w:tcPr>
            <w:tcW w:w="1950" w:type="dxa"/>
            <w:shd w:val="clear" w:color="auto" w:fill="auto"/>
            <w:vAlign w:val="center"/>
          </w:tcPr>
          <w:p w14:paraId="3ECE99C0">
            <w:pPr>
              <w:pStyle w:val="10"/>
              <w:adjustRightInd w:val="0"/>
              <w:snapToGrid w:val="0"/>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bCs/>
                <w:color w:val="auto"/>
                <w:sz w:val="21"/>
                <w:szCs w:val="21"/>
                <w:vertAlign w:val="baseline"/>
                <w:lang w:val="en-US" w:eastAsia="zh-CN"/>
              </w:rPr>
              <w:t>NMHC</w:t>
            </w:r>
          </w:p>
        </w:tc>
        <w:tc>
          <w:tcPr>
            <w:tcW w:w="1575" w:type="dxa"/>
            <w:vAlign w:val="center"/>
          </w:tcPr>
          <w:p w14:paraId="29C4EE63">
            <w:pPr>
              <w:jc w:val="center"/>
              <w:rPr>
                <w:rFonts w:hint="default"/>
                <w:bCs/>
                <w:snapToGrid w:val="0"/>
                <w:color w:val="auto"/>
                <w:kern w:val="21"/>
                <w:szCs w:val="21"/>
                <w:lang w:val="en-US"/>
              </w:rPr>
            </w:pPr>
            <w:r>
              <w:rPr>
                <w:bCs/>
                <w:snapToGrid w:val="0"/>
                <w:color w:val="auto"/>
                <w:kern w:val="21"/>
                <w:szCs w:val="21"/>
              </w:rPr>
              <w:t>/</w:t>
            </w:r>
          </w:p>
        </w:tc>
        <w:tc>
          <w:tcPr>
            <w:tcW w:w="1260" w:type="dxa"/>
            <w:vAlign w:val="center"/>
          </w:tcPr>
          <w:p w14:paraId="29993AE1">
            <w:pPr>
              <w:jc w:val="center"/>
              <w:rPr>
                <w:snapToGrid w:val="0"/>
                <w:color w:val="auto"/>
                <w:kern w:val="21"/>
                <w:szCs w:val="21"/>
              </w:rPr>
            </w:pPr>
            <w:r>
              <w:rPr>
                <w:bCs/>
                <w:snapToGrid w:val="0"/>
                <w:color w:val="auto"/>
                <w:kern w:val="21"/>
                <w:szCs w:val="21"/>
              </w:rPr>
              <w:t>/</w:t>
            </w:r>
          </w:p>
        </w:tc>
        <w:tc>
          <w:tcPr>
            <w:tcW w:w="1612" w:type="dxa"/>
            <w:vAlign w:val="center"/>
          </w:tcPr>
          <w:p w14:paraId="5159F96D">
            <w:pPr>
              <w:jc w:val="center"/>
              <w:rPr>
                <w:snapToGrid w:val="0"/>
                <w:color w:val="auto"/>
                <w:kern w:val="21"/>
                <w:szCs w:val="21"/>
              </w:rPr>
            </w:pPr>
            <w:r>
              <w:rPr>
                <w:bCs/>
                <w:snapToGrid w:val="0"/>
                <w:color w:val="auto"/>
                <w:kern w:val="21"/>
                <w:szCs w:val="21"/>
              </w:rPr>
              <w:t>/</w:t>
            </w:r>
          </w:p>
        </w:tc>
        <w:tc>
          <w:tcPr>
            <w:tcW w:w="1559" w:type="dxa"/>
            <w:vAlign w:val="center"/>
          </w:tcPr>
          <w:p w14:paraId="1CDDDFC3">
            <w:pPr>
              <w:pStyle w:val="3"/>
              <w:pageBreakBefore w:val="0"/>
              <w:kinsoku/>
              <w:wordWrap/>
              <w:overflowPunct/>
              <w:topLinePunct w:val="0"/>
              <w:autoSpaceDE/>
              <w:autoSpaceDN/>
              <w:bidi w:val="0"/>
              <w:spacing w:before="0" w:after="0" w:line="240" w:lineRule="auto"/>
              <w:ind w:left="0" w:leftChars="0" w:right="0" w:rightChars="0"/>
              <w:jc w:val="center"/>
              <w:rPr>
                <w:rFonts w:hint="default" w:eastAsia="宋体"/>
                <w:b/>
                <w:color w:val="auto"/>
                <w:kern w:val="0"/>
                <w:szCs w:val="21"/>
                <w:lang w:val="en-US" w:eastAsia="zh-CN"/>
              </w:rPr>
            </w:pPr>
            <w:r>
              <w:rPr>
                <w:rFonts w:hint="eastAsia" w:cs="Times New Roman"/>
                <w:b w:val="0"/>
                <w:bCs w:val="0"/>
                <w:color w:val="auto"/>
                <w:sz w:val="21"/>
                <w:szCs w:val="21"/>
                <w:lang w:val="en-US" w:eastAsia="zh-CN"/>
              </w:rPr>
              <w:t>0.713</w:t>
            </w:r>
          </w:p>
        </w:tc>
        <w:tc>
          <w:tcPr>
            <w:tcW w:w="1761" w:type="dxa"/>
            <w:vAlign w:val="center"/>
          </w:tcPr>
          <w:p w14:paraId="581EA7BD">
            <w:pPr>
              <w:jc w:val="center"/>
              <w:rPr>
                <w:snapToGrid w:val="0"/>
                <w:color w:val="auto"/>
                <w:kern w:val="21"/>
                <w:szCs w:val="21"/>
              </w:rPr>
            </w:pPr>
            <w:r>
              <w:rPr>
                <w:bCs/>
                <w:snapToGrid w:val="0"/>
                <w:color w:val="auto"/>
                <w:kern w:val="21"/>
                <w:szCs w:val="21"/>
              </w:rPr>
              <w:t>/</w:t>
            </w:r>
          </w:p>
        </w:tc>
        <w:tc>
          <w:tcPr>
            <w:tcW w:w="1742" w:type="dxa"/>
            <w:vAlign w:val="center"/>
          </w:tcPr>
          <w:p w14:paraId="6AA4B0B0">
            <w:pPr>
              <w:pStyle w:val="3"/>
              <w:pageBreakBefore w:val="0"/>
              <w:kinsoku/>
              <w:wordWrap/>
              <w:overflowPunct/>
              <w:topLinePunct w:val="0"/>
              <w:autoSpaceDE/>
              <w:autoSpaceDN/>
              <w:bidi w:val="0"/>
              <w:spacing w:before="0" w:after="0" w:line="240" w:lineRule="auto"/>
              <w:ind w:left="0" w:leftChars="0" w:right="0" w:rightChars="0"/>
              <w:jc w:val="center"/>
              <w:rPr>
                <w:color w:val="auto"/>
                <w:szCs w:val="21"/>
              </w:rPr>
            </w:pPr>
            <w:r>
              <w:rPr>
                <w:rFonts w:hint="eastAsia" w:cs="Times New Roman"/>
                <w:b w:val="0"/>
                <w:bCs w:val="0"/>
                <w:color w:val="auto"/>
                <w:sz w:val="21"/>
                <w:szCs w:val="21"/>
                <w:lang w:val="en-US" w:eastAsia="zh-CN"/>
              </w:rPr>
              <w:t>0.713</w:t>
            </w:r>
          </w:p>
        </w:tc>
        <w:tc>
          <w:tcPr>
            <w:tcW w:w="1293" w:type="dxa"/>
            <w:shd w:val="clear" w:color="auto" w:fill="auto"/>
            <w:vAlign w:val="center"/>
          </w:tcPr>
          <w:p w14:paraId="6854C6BD">
            <w:pPr>
              <w:pStyle w:val="3"/>
              <w:pageBreakBefore w:val="0"/>
              <w:kinsoku/>
              <w:wordWrap/>
              <w:overflowPunct/>
              <w:topLinePunct w:val="0"/>
              <w:autoSpaceDE/>
              <w:autoSpaceDN/>
              <w:bidi w:val="0"/>
              <w:spacing w:before="0" w:after="0" w:line="240" w:lineRule="auto"/>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r>
              <w:rPr>
                <w:rFonts w:hint="eastAsia" w:cs="Times New Roman"/>
                <w:b w:val="0"/>
                <w:bCs w:val="0"/>
                <w:color w:val="auto"/>
                <w:sz w:val="21"/>
                <w:szCs w:val="21"/>
                <w:lang w:val="en-US" w:eastAsia="zh-CN"/>
              </w:rPr>
              <w:t>+0.713</w:t>
            </w:r>
          </w:p>
        </w:tc>
      </w:tr>
      <w:tr w14:paraId="3B0CE9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restart"/>
            <w:vAlign w:val="center"/>
          </w:tcPr>
          <w:p w14:paraId="48FCCCBC">
            <w:pPr>
              <w:adjustRightInd w:val="0"/>
              <w:snapToGrid w:val="0"/>
              <w:jc w:val="center"/>
              <w:rPr>
                <w:b/>
                <w:bCs/>
                <w:snapToGrid w:val="0"/>
                <w:color w:val="auto"/>
                <w:kern w:val="21"/>
                <w:szCs w:val="21"/>
              </w:rPr>
            </w:pPr>
            <w:r>
              <w:rPr>
                <w:b/>
                <w:bCs/>
                <w:snapToGrid w:val="0"/>
                <w:color w:val="auto"/>
                <w:kern w:val="21"/>
                <w:szCs w:val="21"/>
              </w:rPr>
              <w:t>废水</w:t>
            </w:r>
          </w:p>
        </w:tc>
        <w:tc>
          <w:tcPr>
            <w:tcW w:w="1950" w:type="dxa"/>
            <w:vAlign w:val="center"/>
          </w:tcPr>
          <w:p w14:paraId="274B805D">
            <w:pPr>
              <w:adjustRightInd w:val="0"/>
              <w:snapToGrid w:val="0"/>
              <w:jc w:val="center"/>
              <w:rPr>
                <w:bCs/>
                <w:snapToGrid w:val="0"/>
                <w:color w:val="auto"/>
                <w:kern w:val="21"/>
                <w:szCs w:val="21"/>
              </w:rPr>
            </w:pPr>
            <w:r>
              <w:rPr>
                <w:bCs/>
                <w:snapToGrid w:val="0"/>
                <w:color w:val="auto"/>
                <w:kern w:val="21"/>
                <w:szCs w:val="21"/>
              </w:rPr>
              <w:t>pH</w:t>
            </w:r>
          </w:p>
        </w:tc>
        <w:tc>
          <w:tcPr>
            <w:tcW w:w="1575" w:type="dxa"/>
            <w:vAlign w:val="center"/>
          </w:tcPr>
          <w:p w14:paraId="5E79C34E">
            <w:pPr>
              <w:jc w:val="center"/>
              <w:rPr>
                <w:rFonts w:hint="default" w:eastAsia="宋体"/>
                <w:bCs/>
                <w:snapToGrid w:val="0"/>
                <w:color w:val="auto"/>
                <w:kern w:val="21"/>
                <w:szCs w:val="21"/>
                <w:lang w:val="en-US" w:eastAsia="zh-CN"/>
              </w:rPr>
            </w:pPr>
            <w:r>
              <w:rPr>
                <w:bCs/>
                <w:snapToGrid w:val="0"/>
                <w:color w:val="auto"/>
                <w:kern w:val="21"/>
                <w:szCs w:val="21"/>
              </w:rPr>
              <w:t>/</w:t>
            </w:r>
          </w:p>
        </w:tc>
        <w:tc>
          <w:tcPr>
            <w:tcW w:w="1260" w:type="dxa"/>
            <w:vAlign w:val="center"/>
          </w:tcPr>
          <w:p w14:paraId="5E9D550F">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25E821E7">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05B3DE12">
            <w:pPr>
              <w:pStyle w:val="7"/>
              <w:spacing w:line="240" w:lineRule="auto"/>
              <w:ind w:left="0" w:leftChars="0" w:firstLine="0" w:firstLineChars="0"/>
              <w:jc w:val="center"/>
              <w:rPr>
                <w:bCs/>
                <w:snapToGrid w:val="0"/>
                <w:color w:val="auto"/>
                <w:kern w:val="21"/>
                <w:szCs w:val="21"/>
              </w:rPr>
            </w:pPr>
            <w:r>
              <w:rPr>
                <w:rFonts w:hint="eastAsia"/>
                <w:bCs/>
                <w:snapToGrid w:val="0"/>
                <w:color w:val="auto"/>
                <w:kern w:val="21"/>
                <w:sz w:val="21"/>
                <w:szCs w:val="21"/>
                <w:lang w:val="en-US" w:eastAsia="zh-CN"/>
              </w:rPr>
              <w:t>6~9</w:t>
            </w:r>
          </w:p>
        </w:tc>
        <w:tc>
          <w:tcPr>
            <w:tcW w:w="1761" w:type="dxa"/>
            <w:vAlign w:val="center"/>
          </w:tcPr>
          <w:p w14:paraId="55739846">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7966AF07">
            <w:pPr>
              <w:pStyle w:val="7"/>
              <w:spacing w:line="240" w:lineRule="auto"/>
              <w:ind w:left="0" w:leftChars="0" w:firstLine="0" w:firstLineChars="0"/>
              <w:jc w:val="center"/>
              <w:rPr>
                <w:bCs/>
                <w:snapToGrid w:val="0"/>
                <w:color w:val="auto"/>
                <w:kern w:val="21"/>
                <w:szCs w:val="21"/>
              </w:rPr>
            </w:pPr>
            <w:r>
              <w:rPr>
                <w:rFonts w:hint="eastAsia"/>
                <w:bCs/>
                <w:snapToGrid w:val="0"/>
                <w:color w:val="auto"/>
                <w:kern w:val="21"/>
                <w:sz w:val="21"/>
                <w:szCs w:val="21"/>
                <w:lang w:val="en-US" w:eastAsia="zh-CN"/>
              </w:rPr>
              <w:t>6~9</w:t>
            </w:r>
          </w:p>
        </w:tc>
        <w:tc>
          <w:tcPr>
            <w:tcW w:w="1293" w:type="dxa"/>
            <w:vAlign w:val="center"/>
          </w:tcPr>
          <w:p w14:paraId="40D2A359">
            <w:pPr>
              <w:adjustRightInd w:val="0"/>
              <w:snapToGrid w:val="0"/>
              <w:jc w:val="center"/>
              <w:rPr>
                <w:bCs/>
                <w:snapToGrid w:val="0"/>
                <w:color w:val="auto"/>
                <w:kern w:val="21"/>
                <w:szCs w:val="21"/>
              </w:rPr>
            </w:pPr>
            <w:r>
              <w:rPr>
                <w:bCs/>
                <w:snapToGrid w:val="0"/>
                <w:color w:val="auto"/>
                <w:kern w:val="21"/>
                <w:szCs w:val="21"/>
              </w:rPr>
              <w:t>/</w:t>
            </w:r>
          </w:p>
        </w:tc>
      </w:tr>
      <w:tr w14:paraId="467D63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23772542">
            <w:pPr>
              <w:adjustRightInd w:val="0"/>
              <w:snapToGrid w:val="0"/>
              <w:jc w:val="center"/>
              <w:rPr>
                <w:b/>
                <w:bCs/>
                <w:snapToGrid w:val="0"/>
                <w:color w:val="auto"/>
                <w:kern w:val="21"/>
                <w:szCs w:val="21"/>
              </w:rPr>
            </w:pPr>
          </w:p>
        </w:tc>
        <w:tc>
          <w:tcPr>
            <w:tcW w:w="1950" w:type="dxa"/>
            <w:vAlign w:val="center"/>
          </w:tcPr>
          <w:p w14:paraId="6021517A">
            <w:pPr>
              <w:adjustRightInd w:val="0"/>
              <w:snapToGrid w:val="0"/>
              <w:jc w:val="center"/>
              <w:rPr>
                <w:bCs/>
                <w:snapToGrid w:val="0"/>
                <w:color w:val="auto"/>
                <w:kern w:val="21"/>
                <w:szCs w:val="21"/>
              </w:rPr>
            </w:pPr>
            <w:r>
              <w:rPr>
                <w:bCs/>
                <w:snapToGrid w:val="0"/>
                <w:color w:val="auto"/>
                <w:kern w:val="21"/>
                <w:szCs w:val="21"/>
              </w:rPr>
              <w:t>COD</w:t>
            </w:r>
            <w:r>
              <w:rPr>
                <w:bCs/>
                <w:snapToGrid w:val="0"/>
                <w:color w:val="auto"/>
                <w:kern w:val="21"/>
                <w:szCs w:val="21"/>
                <w:vertAlign w:val="subscript"/>
              </w:rPr>
              <w:t>Cr</w:t>
            </w:r>
          </w:p>
        </w:tc>
        <w:tc>
          <w:tcPr>
            <w:tcW w:w="1575" w:type="dxa"/>
            <w:vAlign w:val="center"/>
          </w:tcPr>
          <w:p w14:paraId="611F33CF">
            <w:pPr>
              <w:jc w:val="center"/>
              <w:rPr>
                <w:bCs/>
                <w:snapToGrid w:val="0"/>
                <w:color w:val="auto"/>
                <w:kern w:val="21"/>
                <w:szCs w:val="21"/>
              </w:rPr>
            </w:pPr>
            <w:r>
              <w:rPr>
                <w:bCs/>
                <w:snapToGrid w:val="0"/>
                <w:color w:val="auto"/>
                <w:kern w:val="21"/>
                <w:szCs w:val="21"/>
              </w:rPr>
              <w:t>/</w:t>
            </w:r>
          </w:p>
        </w:tc>
        <w:tc>
          <w:tcPr>
            <w:tcW w:w="1260" w:type="dxa"/>
            <w:vAlign w:val="center"/>
          </w:tcPr>
          <w:p w14:paraId="333AA37A">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46D10A29">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7A909242">
            <w:pPr>
              <w:jc w:val="center"/>
              <w:rPr>
                <w:rFonts w:hint="default"/>
                <w:bCs/>
                <w:snapToGrid w:val="0"/>
                <w:color w:val="auto"/>
                <w:kern w:val="21"/>
                <w:szCs w:val="21"/>
                <w:lang w:val="en-US"/>
              </w:rPr>
            </w:pPr>
            <w:r>
              <w:rPr>
                <w:rFonts w:hint="eastAsia"/>
                <w:color w:val="auto"/>
                <w:szCs w:val="21"/>
                <w:lang w:val="en-US" w:eastAsia="zh-CN"/>
              </w:rPr>
              <w:t>0.052</w:t>
            </w:r>
          </w:p>
        </w:tc>
        <w:tc>
          <w:tcPr>
            <w:tcW w:w="1761" w:type="dxa"/>
            <w:vAlign w:val="center"/>
          </w:tcPr>
          <w:p w14:paraId="77F61906">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0559DEF6">
            <w:pPr>
              <w:jc w:val="center"/>
              <w:rPr>
                <w:bCs/>
                <w:snapToGrid w:val="0"/>
                <w:color w:val="auto"/>
                <w:kern w:val="21"/>
                <w:szCs w:val="21"/>
              </w:rPr>
            </w:pPr>
            <w:r>
              <w:rPr>
                <w:rFonts w:hint="eastAsia"/>
                <w:color w:val="auto"/>
                <w:szCs w:val="21"/>
                <w:lang w:val="en-US" w:eastAsia="zh-CN"/>
              </w:rPr>
              <w:t>0.052</w:t>
            </w:r>
          </w:p>
        </w:tc>
        <w:tc>
          <w:tcPr>
            <w:tcW w:w="1293" w:type="dxa"/>
            <w:vAlign w:val="center"/>
          </w:tcPr>
          <w:p w14:paraId="1B3824DE">
            <w:pPr>
              <w:jc w:val="center"/>
              <w:rPr>
                <w:rFonts w:hint="default" w:eastAsia="宋体"/>
                <w:bCs/>
                <w:snapToGrid w:val="0"/>
                <w:color w:val="auto"/>
                <w:kern w:val="21"/>
                <w:szCs w:val="21"/>
                <w:lang w:val="en-US" w:eastAsia="zh-CN"/>
              </w:rPr>
            </w:pPr>
            <w:r>
              <w:rPr>
                <w:rFonts w:hint="eastAsia" w:cs="Times New Roman"/>
                <w:b w:val="0"/>
                <w:bCs w:val="0"/>
                <w:color w:val="auto"/>
                <w:sz w:val="21"/>
                <w:szCs w:val="21"/>
                <w:vertAlign w:val="baseline"/>
                <w:lang w:val="en-US" w:eastAsia="zh-CN"/>
              </w:rPr>
              <w:t>+</w:t>
            </w:r>
            <w:r>
              <w:rPr>
                <w:rFonts w:hint="eastAsia"/>
                <w:color w:val="auto"/>
                <w:szCs w:val="21"/>
                <w:lang w:val="en-US" w:eastAsia="zh-CN"/>
              </w:rPr>
              <w:t>0.052</w:t>
            </w:r>
          </w:p>
        </w:tc>
      </w:tr>
      <w:tr w14:paraId="108FA5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7F6EC6F4">
            <w:pPr>
              <w:adjustRightInd w:val="0"/>
              <w:snapToGrid w:val="0"/>
              <w:jc w:val="center"/>
              <w:rPr>
                <w:b/>
                <w:bCs/>
                <w:snapToGrid w:val="0"/>
                <w:color w:val="auto"/>
                <w:kern w:val="21"/>
                <w:szCs w:val="21"/>
              </w:rPr>
            </w:pPr>
          </w:p>
        </w:tc>
        <w:tc>
          <w:tcPr>
            <w:tcW w:w="1950" w:type="dxa"/>
            <w:vAlign w:val="center"/>
          </w:tcPr>
          <w:p w14:paraId="131F97BE">
            <w:pPr>
              <w:adjustRightInd w:val="0"/>
              <w:snapToGrid w:val="0"/>
              <w:jc w:val="center"/>
              <w:rPr>
                <w:bCs/>
                <w:snapToGrid w:val="0"/>
                <w:color w:val="auto"/>
                <w:kern w:val="21"/>
                <w:szCs w:val="21"/>
              </w:rPr>
            </w:pPr>
            <w:r>
              <w:rPr>
                <w:bCs/>
                <w:snapToGrid w:val="0"/>
                <w:color w:val="auto"/>
                <w:kern w:val="21"/>
                <w:szCs w:val="21"/>
              </w:rPr>
              <w:t>BOD</w:t>
            </w:r>
            <w:r>
              <w:rPr>
                <w:bCs/>
                <w:snapToGrid w:val="0"/>
                <w:color w:val="auto"/>
                <w:kern w:val="21"/>
                <w:szCs w:val="21"/>
                <w:vertAlign w:val="subscript"/>
              </w:rPr>
              <w:t>5</w:t>
            </w:r>
          </w:p>
        </w:tc>
        <w:tc>
          <w:tcPr>
            <w:tcW w:w="1575" w:type="dxa"/>
            <w:vAlign w:val="center"/>
          </w:tcPr>
          <w:p w14:paraId="3AD97173">
            <w:pPr>
              <w:jc w:val="center"/>
              <w:rPr>
                <w:bCs/>
                <w:snapToGrid w:val="0"/>
                <w:color w:val="auto"/>
                <w:kern w:val="21"/>
                <w:szCs w:val="21"/>
              </w:rPr>
            </w:pPr>
            <w:r>
              <w:rPr>
                <w:bCs/>
                <w:snapToGrid w:val="0"/>
                <w:color w:val="auto"/>
                <w:kern w:val="21"/>
                <w:szCs w:val="21"/>
              </w:rPr>
              <w:t>/</w:t>
            </w:r>
          </w:p>
        </w:tc>
        <w:tc>
          <w:tcPr>
            <w:tcW w:w="1260" w:type="dxa"/>
            <w:vAlign w:val="center"/>
          </w:tcPr>
          <w:p w14:paraId="068AEAD0">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34233C37">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75058449">
            <w:pPr>
              <w:jc w:val="center"/>
              <w:rPr>
                <w:rFonts w:hint="default"/>
                <w:bCs/>
                <w:snapToGrid w:val="0"/>
                <w:color w:val="auto"/>
                <w:kern w:val="21"/>
                <w:szCs w:val="21"/>
                <w:lang w:val="en-US"/>
              </w:rPr>
            </w:pPr>
            <w:r>
              <w:rPr>
                <w:rFonts w:hint="eastAsia"/>
                <w:color w:val="auto"/>
                <w:sz w:val="21"/>
                <w:szCs w:val="21"/>
                <w:lang w:val="en-US" w:eastAsia="zh-CN"/>
              </w:rPr>
              <w:t>0.031</w:t>
            </w:r>
          </w:p>
        </w:tc>
        <w:tc>
          <w:tcPr>
            <w:tcW w:w="1761" w:type="dxa"/>
            <w:vAlign w:val="center"/>
          </w:tcPr>
          <w:p w14:paraId="4D31EE5E">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7FE22D99">
            <w:pPr>
              <w:jc w:val="center"/>
              <w:rPr>
                <w:bCs/>
                <w:snapToGrid w:val="0"/>
                <w:color w:val="auto"/>
                <w:kern w:val="21"/>
                <w:szCs w:val="21"/>
              </w:rPr>
            </w:pPr>
            <w:r>
              <w:rPr>
                <w:rFonts w:hint="eastAsia"/>
                <w:color w:val="auto"/>
                <w:sz w:val="21"/>
                <w:szCs w:val="21"/>
                <w:lang w:val="en-US" w:eastAsia="zh-CN"/>
              </w:rPr>
              <w:t>0.031</w:t>
            </w:r>
          </w:p>
        </w:tc>
        <w:tc>
          <w:tcPr>
            <w:tcW w:w="1293" w:type="dxa"/>
            <w:vAlign w:val="center"/>
          </w:tcPr>
          <w:p w14:paraId="35A257E3">
            <w:pPr>
              <w:jc w:val="center"/>
              <w:rPr>
                <w:rFonts w:hint="default" w:eastAsia="宋体"/>
                <w:bCs/>
                <w:snapToGrid w:val="0"/>
                <w:color w:val="auto"/>
                <w:kern w:val="21"/>
                <w:szCs w:val="21"/>
                <w:lang w:val="en-US" w:eastAsia="zh-CN"/>
              </w:rPr>
            </w:pPr>
            <w:r>
              <w:rPr>
                <w:rFonts w:hint="eastAsia" w:cs="Times New Roman"/>
                <w:b w:val="0"/>
                <w:bCs w:val="0"/>
                <w:color w:val="auto"/>
                <w:sz w:val="21"/>
                <w:szCs w:val="21"/>
                <w:vertAlign w:val="baseline"/>
                <w:lang w:val="en-US" w:eastAsia="zh-CN"/>
              </w:rPr>
              <w:t>+</w:t>
            </w:r>
            <w:r>
              <w:rPr>
                <w:rFonts w:hint="eastAsia"/>
                <w:color w:val="auto"/>
                <w:sz w:val="21"/>
                <w:szCs w:val="21"/>
                <w:lang w:val="en-US" w:eastAsia="zh-CN"/>
              </w:rPr>
              <w:t>0.031</w:t>
            </w:r>
          </w:p>
        </w:tc>
      </w:tr>
      <w:tr w14:paraId="3B9F35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38DDAD49">
            <w:pPr>
              <w:adjustRightInd w:val="0"/>
              <w:snapToGrid w:val="0"/>
              <w:jc w:val="center"/>
              <w:rPr>
                <w:b/>
                <w:bCs/>
                <w:snapToGrid w:val="0"/>
                <w:color w:val="auto"/>
                <w:kern w:val="21"/>
                <w:szCs w:val="21"/>
              </w:rPr>
            </w:pPr>
          </w:p>
        </w:tc>
        <w:tc>
          <w:tcPr>
            <w:tcW w:w="1950" w:type="dxa"/>
            <w:vAlign w:val="center"/>
          </w:tcPr>
          <w:p w14:paraId="35BACF8D">
            <w:pPr>
              <w:adjustRightInd w:val="0"/>
              <w:snapToGrid w:val="0"/>
              <w:jc w:val="center"/>
              <w:rPr>
                <w:bCs/>
                <w:snapToGrid w:val="0"/>
                <w:color w:val="auto"/>
                <w:kern w:val="21"/>
                <w:szCs w:val="21"/>
              </w:rPr>
            </w:pPr>
            <w:r>
              <w:rPr>
                <w:bCs/>
                <w:snapToGrid w:val="0"/>
                <w:color w:val="auto"/>
                <w:kern w:val="21"/>
                <w:szCs w:val="21"/>
              </w:rPr>
              <w:t>SS</w:t>
            </w:r>
          </w:p>
        </w:tc>
        <w:tc>
          <w:tcPr>
            <w:tcW w:w="1575" w:type="dxa"/>
            <w:vAlign w:val="center"/>
          </w:tcPr>
          <w:p w14:paraId="6A1107E5">
            <w:pPr>
              <w:jc w:val="center"/>
              <w:rPr>
                <w:bCs/>
                <w:snapToGrid w:val="0"/>
                <w:color w:val="auto"/>
                <w:kern w:val="21"/>
                <w:szCs w:val="21"/>
              </w:rPr>
            </w:pPr>
            <w:r>
              <w:rPr>
                <w:bCs/>
                <w:snapToGrid w:val="0"/>
                <w:color w:val="auto"/>
                <w:kern w:val="21"/>
                <w:szCs w:val="21"/>
              </w:rPr>
              <w:t>/</w:t>
            </w:r>
          </w:p>
        </w:tc>
        <w:tc>
          <w:tcPr>
            <w:tcW w:w="1260" w:type="dxa"/>
            <w:vAlign w:val="center"/>
          </w:tcPr>
          <w:p w14:paraId="28ADCA0D">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379C895A">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582E66A9">
            <w:pPr>
              <w:jc w:val="center"/>
              <w:rPr>
                <w:rFonts w:hint="default"/>
                <w:bCs/>
                <w:snapToGrid w:val="0"/>
                <w:color w:val="auto"/>
                <w:kern w:val="21"/>
                <w:szCs w:val="21"/>
                <w:lang w:val="en-US"/>
              </w:rPr>
            </w:pPr>
            <w:r>
              <w:rPr>
                <w:color w:val="auto"/>
                <w:szCs w:val="21"/>
              </w:rPr>
              <w:t>0.</w:t>
            </w:r>
            <w:r>
              <w:rPr>
                <w:rFonts w:hint="eastAsia"/>
                <w:color w:val="auto"/>
                <w:szCs w:val="21"/>
                <w:lang w:val="en-US" w:eastAsia="zh-CN"/>
              </w:rPr>
              <w:t>027</w:t>
            </w:r>
          </w:p>
        </w:tc>
        <w:tc>
          <w:tcPr>
            <w:tcW w:w="1761" w:type="dxa"/>
            <w:vAlign w:val="center"/>
          </w:tcPr>
          <w:p w14:paraId="69332DA2">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659094B1">
            <w:pPr>
              <w:jc w:val="center"/>
              <w:rPr>
                <w:bCs/>
                <w:snapToGrid w:val="0"/>
                <w:color w:val="auto"/>
                <w:kern w:val="21"/>
                <w:szCs w:val="21"/>
              </w:rPr>
            </w:pPr>
            <w:r>
              <w:rPr>
                <w:color w:val="auto"/>
                <w:szCs w:val="21"/>
              </w:rPr>
              <w:t>0.</w:t>
            </w:r>
            <w:r>
              <w:rPr>
                <w:rFonts w:hint="eastAsia"/>
                <w:color w:val="auto"/>
                <w:szCs w:val="21"/>
                <w:lang w:val="en-US" w:eastAsia="zh-CN"/>
              </w:rPr>
              <w:t>027</w:t>
            </w:r>
          </w:p>
        </w:tc>
        <w:tc>
          <w:tcPr>
            <w:tcW w:w="1293" w:type="dxa"/>
            <w:vAlign w:val="center"/>
          </w:tcPr>
          <w:p w14:paraId="5ED8DF3C">
            <w:pPr>
              <w:jc w:val="center"/>
              <w:rPr>
                <w:rFonts w:hint="default" w:eastAsia="宋体"/>
                <w:bCs/>
                <w:snapToGrid w:val="0"/>
                <w:color w:val="auto"/>
                <w:kern w:val="21"/>
                <w:szCs w:val="21"/>
                <w:lang w:val="en-US" w:eastAsia="zh-CN"/>
              </w:rPr>
            </w:pPr>
            <w:r>
              <w:rPr>
                <w:rFonts w:hint="eastAsia" w:cs="Times New Roman"/>
                <w:b w:val="0"/>
                <w:bCs w:val="0"/>
                <w:color w:val="auto"/>
                <w:sz w:val="21"/>
                <w:szCs w:val="21"/>
                <w:vertAlign w:val="baseline"/>
                <w:lang w:val="en-US" w:eastAsia="zh-CN"/>
              </w:rPr>
              <w:t>+</w:t>
            </w:r>
            <w:r>
              <w:rPr>
                <w:color w:val="auto"/>
                <w:szCs w:val="21"/>
              </w:rPr>
              <w:t>0.</w:t>
            </w:r>
            <w:r>
              <w:rPr>
                <w:rFonts w:hint="eastAsia"/>
                <w:color w:val="auto"/>
                <w:szCs w:val="21"/>
                <w:lang w:val="en-US" w:eastAsia="zh-CN"/>
              </w:rPr>
              <w:t>027</w:t>
            </w:r>
          </w:p>
        </w:tc>
      </w:tr>
      <w:tr w14:paraId="23EDEF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7A599EC7">
            <w:pPr>
              <w:adjustRightInd w:val="0"/>
              <w:snapToGrid w:val="0"/>
              <w:jc w:val="center"/>
              <w:rPr>
                <w:b/>
                <w:bCs/>
                <w:snapToGrid w:val="0"/>
                <w:color w:val="auto"/>
                <w:kern w:val="21"/>
                <w:szCs w:val="21"/>
              </w:rPr>
            </w:pPr>
          </w:p>
        </w:tc>
        <w:tc>
          <w:tcPr>
            <w:tcW w:w="1950" w:type="dxa"/>
            <w:vAlign w:val="center"/>
          </w:tcPr>
          <w:p w14:paraId="7E037938">
            <w:pPr>
              <w:adjustRightInd w:val="0"/>
              <w:snapToGrid w:val="0"/>
              <w:jc w:val="center"/>
              <w:rPr>
                <w:bCs/>
                <w:snapToGrid w:val="0"/>
                <w:color w:val="auto"/>
                <w:kern w:val="21"/>
                <w:szCs w:val="21"/>
              </w:rPr>
            </w:pPr>
            <w:r>
              <w:rPr>
                <w:bCs/>
                <w:snapToGrid w:val="0"/>
                <w:color w:val="auto"/>
                <w:kern w:val="21"/>
                <w:szCs w:val="21"/>
              </w:rPr>
              <w:t>NH</w:t>
            </w:r>
            <w:r>
              <w:rPr>
                <w:bCs/>
                <w:snapToGrid w:val="0"/>
                <w:color w:val="auto"/>
                <w:kern w:val="21"/>
                <w:szCs w:val="21"/>
                <w:vertAlign w:val="subscript"/>
              </w:rPr>
              <w:t>3</w:t>
            </w:r>
            <w:r>
              <w:rPr>
                <w:bCs/>
                <w:snapToGrid w:val="0"/>
                <w:color w:val="auto"/>
                <w:kern w:val="21"/>
                <w:szCs w:val="21"/>
              </w:rPr>
              <w:t>-N</w:t>
            </w:r>
          </w:p>
        </w:tc>
        <w:tc>
          <w:tcPr>
            <w:tcW w:w="1575" w:type="dxa"/>
            <w:vAlign w:val="center"/>
          </w:tcPr>
          <w:p w14:paraId="6F57A8A7">
            <w:pPr>
              <w:jc w:val="center"/>
              <w:rPr>
                <w:bCs/>
                <w:snapToGrid w:val="0"/>
                <w:color w:val="auto"/>
                <w:kern w:val="21"/>
                <w:szCs w:val="21"/>
              </w:rPr>
            </w:pPr>
            <w:r>
              <w:rPr>
                <w:bCs/>
                <w:snapToGrid w:val="0"/>
                <w:color w:val="auto"/>
                <w:kern w:val="21"/>
                <w:szCs w:val="21"/>
              </w:rPr>
              <w:t>/</w:t>
            </w:r>
          </w:p>
        </w:tc>
        <w:tc>
          <w:tcPr>
            <w:tcW w:w="1260" w:type="dxa"/>
            <w:vAlign w:val="center"/>
          </w:tcPr>
          <w:p w14:paraId="3891EEDB">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7358486E">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3679DC04">
            <w:pPr>
              <w:jc w:val="center"/>
              <w:rPr>
                <w:rFonts w:hint="default"/>
                <w:bCs/>
                <w:snapToGrid w:val="0"/>
                <w:color w:val="auto"/>
                <w:kern w:val="21"/>
                <w:szCs w:val="21"/>
                <w:lang w:val="en-US"/>
              </w:rPr>
            </w:pPr>
            <w:r>
              <w:rPr>
                <w:color w:val="auto"/>
                <w:szCs w:val="21"/>
              </w:rPr>
              <w:t>0.</w:t>
            </w:r>
            <w:r>
              <w:rPr>
                <w:rFonts w:hint="eastAsia"/>
                <w:color w:val="auto"/>
                <w:szCs w:val="21"/>
                <w:lang w:val="en-US" w:eastAsia="zh-CN"/>
              </w:rPr>
              <w:t>005</w:t>
            </w:r>
          </w:p>
        </w:tc>
        <w:tc>
          <w:tcPr>
            <w:tcW w:w="1761" w:type="dxa"/>
            <w:vAlign w:val="center"/>
          </w:tcPr>
          <w:p w14:paraId="4979C21C">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43FCEA34">
            <w:pPr>
              <w:jc w:val="center"/>
              <w:rPr>
                <w:bCs/>
                <w:snapToGrid w:val="0"/>
                <w:color w:val="auto"/>
                <w:kern w:val="21"/>
                <w:szCs w:val="21"/>
              </w:rPr>
            </w:pPr>
            <w:r>
              <w:rPr>
                <w:color w:val="auto"/>
                <w:szCs w:val="21"/>
              </w:rPr>
              <w:t>0.</w:t>
            </w:r>
            <w:r>
              <w:rPr>
                <w:rFonts w:hint="eastAsia"/>
                <w:color w:val="auto"/>
                <w:szCs w:val="21"/>
                <w:lang w:val="en-US" w:eastAsia="zh-CN"/>
              </w:rPr>
              <w:t>005</w:t>
            </w:r>
          </w:p>
        </w:tc>
        <w:tc>
          <w:tcPr>
            <w:tcW w:w="1293" w:type="dxa"/>
            <w:vAlign w:val="center"/>
          </w:tcPr>
          <w:p w14:paraId="364E80CB">
            <w:pPr>
              <w:jc w:val="center"/>
              <w:rPr>
                <w:rFonts w:hint="default" w:eastAsia="宋体"/>
                <w:bCs/>
                <w:snapToGrid w:val="0"/>
                <w:color w:val="auto"/>
                <w:kern w:val="21"/>
                <w:szCs w:val="21"/>
                <w:lang w:val="en-US" w:eastAsia="zh-CN"/>
              </w:rPr>
            </w:pPr>
            <w:r>
              <w:rPr>
                <w:rFonts w:hint="eastAsia" w:cs="Times New Roman"/>
                <w:b w:val="0"/>
                <w:bCs w:val="0"/>
                <w:color w:val="auto"/>
                <w:sz w:val="21"/>
                <w:szCs w:val="21"/>
                <w:vertAlign w:val="baseline"/>
                <w:lang w:val="en-US" w:eastAsia="zh-CN"/>
              </w:rPr>
              <w:t>+</w:t>
            </w:r>
            <w:r>
              <w:rPr>
                <w:color w:val="auto"/>
                <w:szCs w:val="21"/>
              </w:rPr>
              <w:t>0.</w:t>
            </w:r>
            <w:r>
              <w:rPr>
                <w:rFonts w:hint="eastAsia"/>
                <w:color w:val="auto"/>
                <w:szCs w:val="21"/>
                <w:lang w:val="en-US" w:eastAsia="zh-CN"/>
              </w:rPr>
              <w:t>005</w:t>
            </w:r>
          </w:p>
        </w:tc>
      </w:tr>
      <w:tr w14:paraId="7FDF08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2D97FC89">
            <w:pPr>
              <w:adjustRightInd w:val="0"/>
              <w:snapToGrid w:val="0"/>
              <w:jc w:val="center"/>
              <w:rPr>
                <w:b/>
                <w:bCs/>
                <w:snapToGrid w:val="0"/>
                <w:color w:val="auto"/>
                <w:kern w:val="21"/>
                <w:szCs w:val="21"/>
              </w:rPr>
            </w:pPr>
          </w:p>
        </w:tc>
        <w:tc>
          <w:tcPr>
            <w:tcW w:w="1950" w:type="dxa"/>
            <w:vAlign w:val="center"/>
          </w:tcPr>
          <w:p w14:paraId="0E686C3B">
            <w:pPr>
              <w:adjustRightInd w:val="0"/>
              <w:snapToGrid w:val="0"/>
              <w:jc w:val="center"/>
              <w:rPr>
                <w:rFonts w:hint="default" w:eastAsia="宋体"/>
                <w:bCs/>
                <w:snapToGrid w:val="0"/>
                <w:color w:val="auto"/>
                <w:kern w:val="21"/>
                <w:szCs w:val="21"/>
                <w:lang w:val="en-US" w:eastAsia="zh-CN"/>
              </w:rPr>
            </w:pPr>
            <w:r>
              <w:rPr>
                <w:rFonts w:hint="eastAsia"/>
                <w:bCs/>
                <w:snapToGrid w:val="0"/>
                <w:color w:val="auto"/>
                <w:kern w:val="21"/>
                <w:szCs w:val="21"/>
                <w:lang w:val="en-US" w:eastAsia="zh-CN"/>
              </w:rPr>
              <w:t>TP</w:t>
            </w:r>
          </w:p>
        </w:tc>
        <w:tc>
          <w:tcPr>
            <w:tcW w:w="1575" w:type="dxa"/>
            <w:vAlign w:val="center"/>
          </w:tcPr>
          <w:p w14:paraId="5BCE5B0E">
            <w:pPr>
              <w:jc w:val="center"/>
              <w:rPr>
                <w:rFonts w:hint="default" w:ascii="Times New Roman" w:hAnsi="Times New Roman" w:eastAsia="宋体" w:cs="Times New Roman"/>
                <w:color w:val="auto"/>
                <w:sz w:val="21"/>
                <w:szCs w:val="21"/>
                <w:lang w:val="en-US" w:eastAsia="zh-CN"/>
              </w:rPr>
            </w:pPr>
            <w:r>
              <w:rPr>
                <w:bCs/>
                <w:snapToGrid w:val="0"/>
                <w:color w:val="auto"/>
                <w:kern w:val="21"/>
                <w:szCs w:val="21"/>
              </w:rPr>
              <w:t>/</w:t>
            </w:r>
          </w:p>
        </w:tc>
        <w:tc>
          <w:tcPr>
            <w:tcW w:w="1260" w:type="dxa"/>
            <w:vAlign w:val="center"/>
          </w:tcPr>
          <w:p w14:paraId="1190C363">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05E256FA">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0B70294C">
            <w:pPr>
              <w:jc w:val="center"/>
              <w:rPr>
                <w:rFonts w:hint="default"/>
                <w:bCs/>
                <w:snapToGrid w:val="0"/>
                <w:color w:val="auto"/>
                <w:kern w:val="21"/>
                <w:szCs w:val="21"/>
                <w:lang w:val="en-US"/>
              </w:rPr>
            </w:pPr>
            <w:r>
              <w:rPr>
                <w:rFonts w:hint="eastAsia" w:ascii="Times New Roman" w:eastAsia="宋体"/>
                <w:color w:val="auto"/>
                <w:szCs w:val="21"/>
                <w:lang w:val="en-US" w:eastAsia="zh-CN"/>
              </w:rPr>
              <w:t>0.</w:t>
            </w:r>
            <w:r>
              <w:rPr>
                <w:rFonts w:hint="eastAsia" w:eastAsia="宋体"/>
                <w:color w:val="auto"/>
                <w:szCs w:val="21"/>
                <w:lang w:val="en-US" w:eastAsia="zh-CN"/>
              </w:rPr>
              <w:t>0</w:t>
            </w:r>
            <w:r>
              <w:rPr>
                <w:rFonts w:hint="eastAsia"/>
                <w:color w:val="auto"/>
                <w:szCs w:val="21"/>
                <w:lang w:val="en-US" w:eastAsia="zh-CN"/>
              </w:rPr>
              <w:t>01</w:t>
            </w:r>
          </w:p>
        </w:tc>
        <w:tc>
          <w:tcPr>
            <w:tcW w:w="1761" w:type="dxa"/>
            <w:vAlign w:val="center"/>
          </w:tcPr>
          <w:p w14:paraId="5D6FA179">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4A7BF1E4">
            <w:pPr>
              <w:jc w:val="center"/>
              <w:rPr>
                <w:bCs/>
                <w:snapToGrid w:val="0"/>
                <w:color w:val="auto"/>
                <w:kern w:val="21"/>
                <w:szCs w:val="21"/>
              </w:rPr>
            </w:pPr>
            <w:r>
              <w:rPr>
                <w:rFonts w:hint="eastAsia" w:ascii="Times New Roman" w:eastAsia="宋体"/>
                <w:color w:val="auto"/>
                <w:szCs w:val="21"/>
                <w:lang w:val="en-US" w:eastAsia="zh-CN"/>
              </w:rPr>
              <w:t>0.</w:t>
            </w:r>
            <w:r>
              <w:rPr>
                <w:rFonts w:hint="eastAsia" w:eastAsia="宋体"/>
                <w:color w:val="auto"/>
                <w:szCs w:val="21"/>
                <w:lang w:val="en-US" w:eastAsia="zh-CN"/>
              </w:rPr>
              <w:t>0</w:t>
            </w:r>
            <w:r>
              <w:rPr>
                <w:rFonts w:hint="eastAsia"/>
                <w:color w:val="auto"/>
                <w:szCs w:val="21"/>
                <w:lang w:val="en-US" w:eastAsia="zh-CN"/>
              </w:rPr>
              <w:t>01</w:t>
            </w:r>
          </w:p>
        </w:tc>
        <w:tc>
          <w:tcPr>
            <w:tcW w:w="1293" w:type="dxa"/>
            <w:vAlign w:val="center"/>
          </w:tcPr>
          <w:p w14:paraId="3AA8BEC3">
            <w:pPr>
              <w:jc w:val="center"/>
              <w:rPr>
                <w:bCs/>
                <w:snapToGrid w:val="0"/>
                <w:color w:val="auto"/>
                <w:kern w:val="21"/>
                <w:szCs w:val="21"/>
              </w:rPr>
            </w:pPr>
            <w:r>
              <w:rPr>
                <w:rFonts w:hint="eastAsia" w:cs="Times New Roman"/>
                <w:b w:val="0"/>
                <w:bCs w:val="0"/>
                <w:color w:val="auto"/>
                <w:sz w:val="21"/>
                <w:szCs w:val="21"/>
                <w:vertAlign w:val="baseline"/>
                <w:lang w:val="en-US" w:eastAsia="zh-CN"/>
              </w:rPr>
              <w:t>+</w:t>
            </w:r>
            <w:r>
              <w:rPr>
                <w:rFonts w:hint="eastAsia" w:ascii="Times New Roman" w:eastAsia="宋体"/>
                <w:color w:val="auto"/>
                <w:szCs w:val="21"/>
                <w:lang w:val="en-US" w:eastAsia="zh-CN"/>
              </w:rPr>
              <w:t>0.</w:t>
            </w:r>
            <w:r>
              <w:rPr>
                <w:rFonts w:hint="eastAsia" w:eastAsia="宋体"/>
                <w:color w:val="auto"/>
                <w:szCs w:val="21"/>
                <w:lang w:val="en-US" w:eastAsia="zh-CN"/>
              </w:rPr>
              <w:t>0</w:t>
            </w:r>
            <w:r>
              <w:rPr>
                <w:rFonts w:hint="eastAsia"/>
                <w:color w:val="auto"/>
                <w:szCs w:val="21"/>
                <w:lang w:val="en-US" w:eastAsia="zh-CN"/>
              </w:rPr>
              <w:t>01</w:t>
            </w:r>
          </w:p>
        </w:tc>
      </w:tr>
      <w:tr w14:paraId="0A26F1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6CEF9644">
            <w:pPr>
              <w:adjustRightInd w:val="0"/>
              <w:snapToGrid w:val="0"/>
              <w:jc w:val="center"/>
              <w:rPr>
                <w:b/>
                <w:bCs/>
                <w:snapToGrid w:val="0"/>
                <w:color w:val="auto"/>
                <w:kern w:val="21"/>
                <w:szCs w:val="21"/>
              </w:rPr>
            </w:pPr>
          </w:p>
        </w:tc>
        <w:tc>
          <w:tcPr>
            <w:tcW w:w="1950" w:type="dxa"/>
            <w:vAlign w:val="center"/>
          </w:tcPr>
          <w:p w14:paraId="6C505B85">
            <w:pPr>
              <w:adjustRightInd w:val="0"/>
              <w:snapToGrid w:val="0"/>
              <w:jc w:val="center"/>
              <w:rPr>
                <w:rFonts w:hint="eastAsia" w:eastAsia="宋体"/>
                <w:bCs/>
                <w:snapToGrid w:val="0"/>
                <w:color w:val="auto"/>
                <w:kern w:val="21"/>
                <w:szCs w:val="21"/>
                <w:lang w:val="en-US" w:eastAsia="zh-CN"/>
              </w:rPr>
            </w:pPr>
            <w:r>
              <w:rPr>
                <w:rFonts w:hint="eastAsia"/>
                <w:bCs/>
                <w:snapToGrid w:val="0"/>
                <w:color w:val="auto"/>
                <w:kern w:val="21"/>
                <w:szCs w:val="21"/>
                <w:lang w:val="en-US" w:eastAsia="zh-CN"/>
              </w:rPr>
              <w:t>动植物油</w:t>
            </w:r>
          </w:p>
        </w:tc>
        <w:tc>
          <w:tcPr>
            <w:tcW w:w="1575" w:type="dxa"/>
            <w:vAlign w:val="center"/>
          </w:tcPr>
          <w:p w14:paraId="4446DD29">
            <w:pPr>
              <w:jc w:val="center"/>
              <w:rPr>
                <w:rFonts w:hint="eastAsia" w:eastAsia="宋体"/>
                <w:bCs/>
                <w:snapToGrid w:val="0"/>
                <w:color w:val="auto"/>
                <w:kern w:val="21"/>
                <w:szCs w:val="21"/>
                <w:lang w:val="en-US" w:eastAsia="zh-CN"/>
              </w:rPr>
            </w:pPr>
            <w:r>
              <w:rPr>
                <w:bCs/>
                <w:snapToGrid w:val="0"/>
                <w:color w:val="auto"/>
                <w:kern w:val="21"/>
                <w:szCs w:val="21"/>
              </w:rPr>
              <w:t>/</w:t>
            </w:r>
          </w:p>
        </w:tc>
        <w:tc>
          <w:tcPr>
            <w:tcW w:w="1260" w:type="dxa"/>
            <w:vAlign w:val="center"/>
          </w:tcPr>
          <w:p w14:paraId="3EA2B725">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195313B2">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4B768E2B">
            <w:pPr>
              <w:jc w:val="center"/>
              <w:rPr>
                <w:rFonts w:hint="default"/>
                <w:bCs/>
                <w:snapToGrid w:val="0"/>
                <w:color w:val="auto"/>
                <w:kern w:val="21"/>
                <w:szCs w:val="21"/>
                <w:lang w:val="en-US"/>
              </w:rPr>
            </w:pPr>
            <w:r>
              <w:rPr>
                <w:rFonts w:hint="eastAsia" w:ascii="Times New Roman" w:eastAsia="宋体"/>
                <w:color w:val="auto"/>
                <w:szCs w:val="21"/>
                <w:lang w:val="en-US" w:eastAsia="zh-CN"/>
              </w:rPr>
              <w:t>0.</w:t>
            </w:r>
            <w:r>
              <w:rPr>
                <w:rFonts w:hint="eastAsia"/>
                <w:color w:val="auto"/>
                <w:szCs w:val="21"/>
                <w:lang w:val="en-US" w:eastAsia="zh-CN"/>
              </w:rPr>
              <w:t>005</w:t>
            </w:r>
          </w:p>
        </w:tc>
        <w:tc>
          <w:tcPr>
            <w:tcW w:w="1761" w:type="dxa"/>
            <w:vAlign w:val="center"/>
          </w:tcPr>
          <w:p w14:paraId="1F57300F">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6F98C6E1">
            <w:pPr>
              <w:jc w:val="center"/>
              <w:rPr>
                <w:bCs/>
                <w:snapToGrid w:val="0"/>
                <w:color w:val="auto"/>
                <w:kern w:val="21"/>
                <w:szCs w:val="21"/>
              </w:rPr>
            </w:pPr>
            <w:r>
              <w:rPr>
                <w:rFonts w:hint="eastAsia" w:ascii="Times New Roman" w:eastAsia="宋体"/>
                <w:color w:val="auto"/>
                <w:szCs w:val="21"/>
                <w:lang w:val="en-US" w:eastAsia="zh-CN"/>
              </w:rPr>
              <w:t>0.</w:t>
            </w:r>
            <w:r>
              <w:rPr>
                <w:rFonts w:hint="eastAsia"/>
                <w:color w:val="auto"/>
                <w:szCs w:val="21"/>
                <w:lang w:val="en-US" w:eastAsia="zh-CN"/>
              </w:rPr>
              <w:t>005</w:t>
            </w:r>
          </w:p>
        </w:tc>
        <w:tc>
          <w:tcPr>
            <w:tcW w:w="1293" w:type="dxa"/>
            <w:vAlign w:val="center"/>
          </w:tcPr>
          <w:p w14:paraId="03EE8BE1">
            <w:pPr>
              <w:jc w:val="center"/>
              <w:rPr>
                <w:bCs/>
                <w:snapToGrid w:val="0"/>
                <w:color w:val="auto"/>
                <w:kern w:val="21"/>
                <w:szCs w:val="21"/>
              </w:rPr>
            </w:pPr>
            <w:r>
              <w:rPr>
                <w:rFonts w:hint="eastAsia" w:cs="Times New Roman"/>
                <w:b w:val="0"/>
                <w:bCs w:val="0"/>
                <w:color w:val="auto"/>
                <w:sz w:val="21"/>
                <w:szCs w:val="21"/>
                <w:vertAlign w:val="baseline"/>
                <w:lang w:val="en-US" w:eastAsia="zh-CN"/>
              </w:rPr>
              <w:t>+</w:t>
            </w:r>
            <w:r>
              <w:rPr>
                <w:rFonts w:hint="eastAsia" w:ascii="Times New Roman" w:eastAsia="宋体"/>
                <w:color w:val="auto"/>
                <w:szCs w:val="21"/>
                <w:lang w:val="en-US" w:eastAsia="zh-CN"/>
              </w:rPr>
              <w:t>0.</w:t>
            </w:r>
            <w:r>
              <w:rPr>
                <w:rFonts w:hint="eastAsia"/>
                <w:color w:val="auto"/>
                <w:szCs w:val="21"/>
                <w:lang w:val="en-US" w:eastAsia="zh-CN"/>
              </w:rPr>
              <w:t>005</w:t>
            </w:r>
          </w:p>
        </w:tc>
      </w:tr>
      <w:tr w14:paraId="1FFA44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restart"/>
            <w:vAlign w:val="center"/>
          </w:tcPr>
          <w:p w14:paraId="659E9875">
            <w:pPr>
              <w:adjustRightInd w:val="0"/>
              <w:snapToGrid w:val="0"/>
              <w:jc w:val="center"/>
              <w:rPr>
                <w:b/>
                <w:bCs/>
                <w:snapToGrid w:val="0"/>
                <w:color w:val="auto"/>
                <w:kern w:val="21"/>
                <w:szCs w:val="21"/>
              </w:rPr>
            </w:pPr>
            <w:r>
              <w:rPr>
                <w:rFonts w:hint="eastAsia"/>
                <w:b/>
                <w:bCs/>
                <w:snapToGrid w:val="0"/>
                <w:color w:val="auto"/>
                <w:kern w:val="21"/>
                <w:szCs w:val="21"/>
              </w:rPr>
              <w:t>一般固体废物</w:t>
            </w:r>
          </w:p>
        </w:tc>
        <w:tc>
          <w:tcPr>
            <w:tcW w:w="1950" w:type="dxa"/>
            <w:vAlign w:val="center"/>
          </w:tcPr>
          <w:p w14:paraId="58422147">
            <w:pPr>
              <w:widowControl/>
              <w:jc w:val="center"/>
              <w:textAlignment w:val="center"/>
              <w:rPr>
                <w:rFonts w:hint="default"/>
                <w:color w:val="auto"/>
                <w:sz w:val="21"/>
                <w:szCs w:val="21"/>
                <w:lang w:val="en-US"/>
              </w:rPr>
            </w:pPr>
            <w:r>
              <w:rPr>
                <w:rFonts w:hint="eastAsia"/>
                <w:color w:val="auto"/>
                <w:sz w:val="21"/>
                <w:szCs w:val="21"/>
                <w:lang w:val="en-US" w:eastAsia="zh-CN"/>
              </w:rPr>
              <w:t>废包装材料</w:t>
            </w:r>
          </w:p>
        </w:tc>
        <w:tc>
          <w:tcPr>
            <w:tcW w:w="1575" w:type="dxa"/>
            <w:vAlign w:val="center"/>
          </w:tcPr>
          <w:p w14:paraId="484B76C6">
            <w:pPr>
              <w:jc w:val="center"/>
              <w:rPr>
                <w:bCs/>
                <w:snapToGrid w:val="0"/>
                <w:color w:val="auto"/>
                <w:kern w:val="21"/>
                <w:szCs w:val="21"/>
              </w:rPr>
            </w:pPr>
            <w:r>
              <w:rPr>
                <w:bCs/>
                <w:snapToGrid w:val="0"/>
                <w:color w:val="auto"/>
                <w:kern w:val="21"/>
                <w:szCs w:val="21"/>
              </w:rPr>
              <w:t>/</w:t>
            </w:r>
          </w:p>
        </w:tc>
        <w:tc>
          <w:tcPr>
            <w:tcW w:w="1260" w:type="dxa"/>
            <w:vAlign w:val="center"/>
          </w:tcPr>
          <w:p w14:paraId="09594FB7">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261E4D60">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1CACD8E1">
            <w:pPr>
              <w:widowControl/>
              <w:jc w:val="center"/>
              <w:textAlignment w:val="center"/>
              <w:rPr>
                <w:rFonts w:hint="default"/>
                <w:color w:val="auto"/>
                <w:sz w:val="21"/>
                <w:szCs w:val="21"/>
                <w:lang w:val="en-US"/>
              </w:rPr>
            </w:pPr>
            <w:r>
              <w:rPr>
                <w:rFonts w:hint="eastAsia"/>
                <w:color w:val="auto"/>
                <w:kern w:val="0"/>
                <w:sz w:val="21"/>
                <w:szCs w:val="21"/>
                <w:lang w:val="en-US" w:eastAsia="zh-CN" w:bidi="ar"/>
              </w:rPr>
              <w:t>0.5</w:t>
            </w:r>
          </w:p>
        </w:tc>
        <w:tc>
          <w:tcPr>
            <w:tcW w:w="1761" w:type="dxa"/>
            <w:vAlign w:val="center"/>
          </w:tcPr>
          <w:p w14:paraId="55B2750D">
            <w:pPr>
              <w:adjustRightInd w:val="0"/>
              <w:snapToGrid w:val="0"/>
              <w:jc w:val="center"/>
              <w:rPr>
                <w:bCs/>
                <w:snapToGrid w:val="0"/>
                <w:color w:val="auto"/>
                <w:kern w:val="21"/>
                <w:szCs w:val="21"/>
              </w:rPr>
            </w:pPr>
            <w:r>
              <w:rPr>
                <w:bCs/>
                <w:snapToGrid w:val="0"/>
                <w:color w:val="auto"/>
                <w:kern w:val="21"/>
                <w:szCs w:val="21"/>
              </w:rPr>
              <w:t>/</w:t>
            </w:r>
          </w:p>
        </w:tc>
        <w:tc>
          <w:tcPr>
            <w:tcW w:w="1742" w:type="dxa"/>
            <w:shd w:val="clear" w:color="auto" w:fill="auto"/>
            <w:vAlign w:val="center"/>
          </w:tcPr>
          <w:p w14:paraId="745D6D73">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kern w:val="0"/>
                <w:sz w:val="21"/>
                <w:szCs w:val="21"/>
                <w:lang w:val="en-US" w:eastAsia="zh-CN" w:bidi="ar"/>
              </w:rPr>
              <w:t>0.5</w:t>
            </w:r>
          </w:p>
        </w:tc>
        <w:tc>
          <w:tcPr>
            <w:tcW w:w="1293" w:type="dxa"/>
            <w:shd w:val="clear" w:color="auto" w:fill="auto"/>
            <w:vAlign w:val="center"/>
          </w:tcPr>
          <w:p w14:paraId="2B63FAD0">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b w:val="0"/>
                <w:bCs w:val="0"/>
                <w:color w:val="auto"/>
                <w:sz w:val="21"/>
                <w:szCs w:val="21"/>
                <w:vertAlign w:val="baseline"/>
                <w:lang w:val="en-US" w:eastAsia="zh-CN"/>
              </w:rPr>
              <w:t>+</w:t>
            </w:r>
            <w:r>
              <w:rPr>
                <w:rFonts w:hint="eastAsia"/>
                <w:color w:val="auto"/>
                <w:kern w:val="0"/>
                <w:sz w:val="21"/>
                <w:szCs w:val="21"/>
                <w:lang w:val="en-US" w:eastAsia="zh-CN" w:bidi="ar"/>
              </w:rPr>
              <w:t>0.5</w:t>
            </w:r>
          </w:p>
        </w:tc>
      </w:tr>
      <w:tr w14:paraId="7C6E05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016DC829">
            <w:pPr>
              <w:adjustRightInd w:val="0"/>
              <w:snapToGrid w:val="0"/>
              <w:jc w:val="center"/>
              <w:rPr>
                <w:b/>
                <w:bCs/>
                <w:snapToGrid w:val="0"/>
                <w:color w:val="auto"/>
                <w:kern w:val="21"/>
                <w:szCs w:val="21"/>
              </w:rPr>
            </w:pPr>
          </w:p>
        </w:tc>
        <w:tc>
          <w:tcPr>
            <w:tcW w:w="1950" w:type="dxa"/>
            <w:vAlign w:val="center"/>
          </w:tcPr>
          <w:p w14:paraId="67FAC9CF">
            <w:pPr>
              <w:widowControl/>
              <w:jc w:val="center"/>
              <w:textAlignment w:val="center"/>
              <w:rPr>
                <w:rFonts w:hint="default" w:eastAsia="宋体"/>
                <w:color w:val="auto"/>
                <w:sz w:val="21"/>
                <w:szCs w:val="21"/>
                <w:lang w:val="en-US" w:eastAsia="zh-CN"/>
              </w:rPr>
            </w:pPr>
            <w:r>
              <w:rPr>
                <w:rFonts w:hint="eastAsia" w:cs="Times New Roman"/>
                <w:color w:val="auto"/>
                <w:sz w:val="21"/>
                <w:szCs w:val="21"/>
                <w:highlight w:val="none"/>
                <w:shd w:val="clear" w:color="auto" w:fill="auto"/>
                <w:lang w:val="en-US" w:eastAsia="zh-CN"/>
              </w:rPr>
              <w:t>废边角料</w:t>
            </w:r>
          </w:p>
        </w:tc>
        <w:tc>
          <w:tcPr>
            <w:tcW w:w="1575" w:type="dxa"/>
            <w:vAlign w:val="center"/>
          </w:tcPr>
          <w:p w14:paraId="75DC3154">
            <w:pPr>
              <w:jc w:val="center"/>
              <w:rPr>
                <w:bCs/>
                <w:snapToGrid w:val="0"/>
                <w:color w:val="auto"/>
                <w:kern w:val="21"/>
                <w:szCs w:val="21"/>
              </w:rPr>
            </w:pPr>
            <w:r>
              <w:rPr>
                <w:bCs/>
                <w:snapToGrid w:val="0"/>
                <w:color w:val="auto"/>
                <w:kern w:val="21"/>
                <w:szCs w:val="21"/>
              </w:rPr>
              <w:t>/</w:t>
            </w:r>
          </w:p>
        </w:tc>
        <w:tc>
          <w:tcPr>
            <w:tcW w:w="1260" w:type="dxa"/>
            <w:vAlign w:val="center"/>
          </w:tcPr>
          <w:p w14:paraId="22A58791">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3F9F4F56">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0E0BB14F">
            <w:pPr>
              <w:widowControl/>
              <w:jc w:val="center"/>
              <w:textAlignment w:val="center"/>
              <w:rPr>
                <w:b/>
                <w:bCs/>
                <w:color w:val="auto"/>
                <w:sz w:val="21"/>
                <w:szCs w:val="21"/>
              </w:rPr>
            </w:pPr>
            <w:r>
              <w:rPr>
                <w:rFonts w:hint="eastAsia"/>
                <w:color w:val="auto"/>
                <w:kern w:val="0"/>
                <w:sz w:val="21"/>
                <w:szCs w:val="21"/>
                <w:lang w:bidi="ar"/>
              </w:rPr>
              <w:t>0.</w:t>
            </w:r>
            <w:r>
              <w:rPr>
                <w:rFonts w:hint="eastAsia"/>
                <w:color w:val="auto"/>
                <w:kern w:val="0"/>
                <w:sz w:val="21"/>
                <w:szCs w:val="21"/>
                <w:lang w:val="en-US" w:eastAsia="zh-CN" w:bidi="ar"/>
              </w:rPr>
              <w:t>2</w:t>
            </w:r>
          </w:p>
        </w:tc>
        <w:tc>
          <w:tcPr>
            <w:tcW w:w="1761" w:type="dxa"/>
            <w:vAlign w:val="center"/>
          </w:tcPr>
          <w:p w14:paraId="444EE1C4">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1D77F3F7">
            <w:pPr>
              <w:widowControl/>
              <w:jc w:val="center"/>
              <w:textAlignment w:val="center"/>
              <w:rPr>
                <w:color w:val="auto"/>
                <w:sz w:val="21"/>
                <w:szCs w:val="21"/>
              </w:rPr>
            </w:pPr>
            <w:r>
              <w:rPr>
                <w:rFonts w:hint="eastAsia"/>
                <w:color w:val="auto"/>
                <w:kern w:val="0"/>
                <w:sz w:val="21"/>
                <w:szCs w:val="21"/>
                <w:lang w:bidi="ar"/>
              </w:rPr>
              <w:t>0.</w:t>
            </w:r>
            <w:r>
              <w:rPr>
                <w:rFonts w:hint="eastAsia"/>
                <w:color w:val="auto"/>
                <w:kern w:val="0"/>
                <w:sz w:val="21"/>
                <w:szCs w:val="21"/>
                <w:lang w:val="en-US" w:eastAsia="zh-CN" w:bidi="ar"/>
              </w:rPr>
              <w:t>2</w:t>
            </w:r>
          </w:p>
        </w:tc>
        <w:tc>
          <w:tcPr>
            <w:tcW w:w="1293" w:type="dxa"/>
            <w:vAlign w:val="center"/>
          </w:tcPr>
          <w:p w14:paraId="02EC536B">
            <w:pPr>
              <w:widowControl/>
              <w:jc w:val="center"/>
              <w:textAlignment w:val="center"/>
              <w:rPr>
                <w:color w:val="auto"/>
                <w:sz w:val="21"/>
                <w:szCs w:val="21"/>
              </w:rPr>
            </w:pPr>
            <w:r>
              <w:rPr>
                <w:rFonts w:hint="eastAsia" w:cs="Times New Roman"/>
                <w:b w:val="0"/>
                <w:bCs w:val="0"/>
                <w:color w:val="auto"/>
                <w:sz w:val="21"/>
                <w:szCs w:val="21"/>
                <w:vertAlign w:val="baseline"/>
                <w:lang w:val="en-US" w:eastAsia="zh-CN"/>
              </w:rPr>
              <w:t>+</w:t>
            </w:r>
            <w:r>
              <w:rPr>
                <w:rFonts w:hint="eastAsia"/>
                <w:color w:val="auto"/>
                <w:kern w:val="0"/>
                <w:sz w:val="21"/>
                <w:szCs w:val="21"/>
                <w:lang w:bidi="ar"/>
              </w:rPr>
              <w:t>0.</w:t>
            </w:r>
            <w:r>
              <w:rPr>
                <w:rFonts w:hint="eastAsia"/>
                <w:color w:val="auto"/>
                <w:kern w:val="0"/>
                <w:sz w:val="21"/>
                <w:szCs w:val="21"/>
                <w:lang w:val="en-US" w:eastAsia="zh-CN" w:bidi="ar"/>
              </w:rPr>
              <w:t>2</w:t>
            </w:r>
          </w:p>
        </w:tc>
      </w:tr>
      <w:tr w14:paraId="743F9A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6" w:type="dxa"/>
            <w:vMerge w:val="restart"/>
            <w:vAlign w:val="center"/>
          </w:tcPr>
          <w:p w14:paraId="07FB996C">
            <w:pPr>
              <w:adjustRightInd w:val="0"/>
              <w:snapToGrid w:val="0"/>
              <w:jc w:val="center"/>
              <w:rPr>
                <w:b/>
                <w:bCs/>
                <w:snapToGrid w:val="0"/>
                <w:color w:val="auto"/>
                <w:kern w:val="21"/>
                <w:szCs w:val="21"/>
              </w:rPr>
            </w:pPr>
            <w:r>
              <w:rPr>
                <w:b/>
                <w:bCs/>
                <w:snapToGrid w:val="0"/>
                <w:color w:val="auto"/>
                <w:kern w:val="21"/>
                <w:szCs w:val="21"/>
              </w:rPr>
              <w:t>危险废物</w:t>
            </w:r>
          </w:p>
        </w:tc>
        <w:tc>
          <w:tcPr>
            <w:tcW w:w="1950" w:type="dxa"/>
            <w:vAlign w:val="center"/>
          </w:tcPr>
          <w:p w14:paraId="7026F52F">
            <w:pPr>
              <w:widowControl/>
              <w:jc w:val="center"/>
              <w:textAlignment w:val="center"/>
              <w:rPr>
                <w:color w:val="auto"/>
                <w:sz w:val="21"/>
                <w:szCs w:val="21"/>
              </w:rPr>
            </w:pPr>
            <w:r>
              <w:rPr>
                <w:rFonts w:hint="eastAsia"/>
                <w:color w:val="auto"/>
                <w:szCs w:val="21"/>
                <w:lang w:val="en-US" w:eastAsia="zh-CN"/>
              </w:rPr>
              <w:t>废活性炭</w:t>
            </w:r>
          </w:p>
        </w:tc>
        <w:tc>
          <w:tcPr>
            <w:tcW w:w="1575" w:type="dxa"/>
            <w:vAlign w:val="center"/>
          </w:tcPr>
          <w:p w14:paraId="63482039">
            <w:pPr>
              <w:jc w:val="center"/>
              <w:rPr>
                <w:bCs/>
                <w:snapToGrid w:val="0"/>
                <w:color w:val="auto"/>
                <w:kern w:val="21"/>
                <w:szCs w:val="21"/>
              </w:rPr>
            </w:pPr>
            <w:r>
              <w:rPr>
                <w:bCs/>
                <w:snapToGrid w:val="0"/>
                <w:color w:val="auto"/>
                <w:kern w:val="21"/>
                <w:szCs w:val="21"/>
              </w:rPr>
              <w:t>/</w:t>
            </w:r>
          </w:p>
        </w:tc>
        <w:tc>
          <w:tcPr>
            <w:tcW w:w="1260" w:type="dxa"/>
            <w:vAlign w:val="center"/>
          </w:tcPr>
          <w:p w14:paraId="69C2AB47">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71B61588">
            <w:pPr>
              <w:adjustRightInd w:val="0"/>
              <w:snapToGrid w:val="0"/>
              <w:jc w:val="center"/>
              <w:rPr>
                <w:color w:val="auto"/>
                <w:szCs w:val="21"/>
              </w:rPr>
            </w:pPr>
            <w:r>
              <w:rPr>
                <w:bCs/>
                <w:snapToGrid w:val="0"/>
                <w:color w:val="auto"/>
                <w:kern w:val="21"/>
                <w:szCs w:val="21"/>
              </w:rPr>
              <w:t>/</w:t>
            </w:r>
          </w:p>
        </w:tc>
        <w:tc>
          <w:tcPr>
            <w:tcW w:w="1559" w:type="dxa"/>
            <w:vAlign w:val="center"/>
          </w:tcPr>
          <w:p w14:paraId="544085E2">
            <w:pPr>
              <w:widowControl/>
              <w:jc w:val="center"/>
              <w:textAlignment w:val="center"/>
              <w:rPr>
                <w:rFonts w:hint="default" w:eastAsia="宋体"/>
                <w:bCs/>
                <w:snapToGrid w:val="0"/>
                <w:color w:val="auto"/>
                <w:kern w:val="21"/>
                <w:sz w:val="21"/>
                <w:szCs w:val="21"/>
                <w:lang w:val="en-US" w:eastAsia="zh-CN"/>
              </w:rPr>
            </w:pPr>
            <w:r>
              <w:rPr>
                <w:rFonts w:hint="eastAsia"/>
                <w:color w:val="auto"/>
                <w:kern w:val="0"/>
                <w:szCs w:val="21"/>
                <w:lang w:val="en-US" w:eastAsia="zh-CN" w:bidi="ar"/>
              </w:rPr>
              <w:t>1.348</w:t>
            </w:r>
          </w:p>
        </w:tc>
        <w:tc>
          <w:tcPr>
            <w:tcW w:w="1761" w:type="dxa"/>
            <w:vAlign w:val="center"/>
          </w:tcPr>
          <w:p w14:paraId="4AD1F708">
            <w:pPr>
              <w:jc w:val="center"/>
              <w:rPr>
                <w:bCs/>
                <w:snapToGrid w:val="0"/>
                <w:color w:val="auto"/>
                <w:kern w:val="21"/>
                <w:szCs w:val="21"/>
              </w:rPr>
            </w:pPr>
            <w:r>
              <w:rPr>
                <w:bCs/>
                <w:snapToGrid w:val="0"/>
                <w:color w:val="auto"/>
                <w:kern w:val="21"/>
                <w:szCs w:val="21"/>
              </w:rPr>
              <w:t>/</w:t>
            </w:r>
          </w:p>
        </w:tc>
        <w:tc>
          <w:tcPr>
            <w:tcW w:w="1742" w:type="dxa"/>
            <w:vAlign w:val="center"/>
          </w:tcPr>
          <w:p w14:paraId="4B373D35">
            <w:pPr>
              <w:widowControl/>
              <w:jc w:val="center"/>
              <w:textAlignment w:val="center"/>
              <w:rPr>
                <w:color w:val="auto"/>
                <w:sz w:val="21"/>
                <w:szCs w:val="21"/>
              </w:rPr>
            </w:pPr>
            <w:r>
              <w:rPr>
                <w:rFonts w:hint="eastAsia"/>
                <w:color w:val="auto"/>
                <w:kern w:val="0"/>
                <w:szCs w:val="21"/>
                <w:lang w:val="en-US" w:eastAsia="zh-CN" w:bidi="ar"/>
              </w:rPr>
              <w:t>1.348</w:t>
            </w:r>
          </w:p>
        </w:tc>
        <w:tc>
          <w:tcPr>
            <w:tcW w:w="1293" w:type="dxa"/>
            <w:vAlign w:val="center"/>
          </w:tcPr>
          <w:p w14:paraId="41359C6C">
            <w:pPr>
              <w:widowControl/>
              <w:jc w:val="center"/>
              <w:textAlignment w:val="center"/>
              <w:rPr>
                <w:bCs/>
                <w:snapToGrid w:val="0"/>
                <w:color w:val="auto"/>
                <w:kern w:val="21"/>
                <w:sz w:val="21"/>
                <w:szCs w:val="21"/>
              </w:rPr>
            </w:pPr>
            <w:r>
              <w:rPr>
                <w:rFonts w:hint="eastAsia"/>
                <w:color w:val="auto"/>
                <w:kern w:val="0"/>
                <w:szCs w:val="21"/>
                <w:lang w:val="en-US" w:eastAsia="zh-CN" w:bidi="ar"/>
              </w:rPr>
              <w:t>+1.348</w:t>
            </w:r>
          </w:p>
        </w:tc>
      </w:tr>
      <w:tr w14:paraId="655563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6" w:type="dxa"/>
            <w:vMerge w:val="continue"/>
            <w:vAlign w:val="center"/>
          </w:tcPr>
          <w:p w14:paraId="5C2AF08B">
            <w:pPr>
              <w:adjustRightInd w:val="0"/>
              <w:snapToGrid w:val="0"/>
              <w:jc w:val="center"/>
              <w:rPr>
                <w:b/>
                <w:bCs/>
                <w:snapToGrid w:val="0"/>
                <w:color w:val="auto"/>
                <w:kern w:val="21"/>
                <w:szCs w:val="21"/>
              </w:rPr>
            </w:pPr>
          </w:p>
        </w:tc>
        <w:tc>
          <w:tcPr>
            <w:tcW w:w="1950" w:type="dxa"/>
            <w:vAlign w:val="center"/>
          </w:tcPr>
          <w:p w14:paraId="5FD06B3C">
            <w:pPr>
              <w:widowControl/>
              <w:jc w:val="center"/>
              <w:textAlignment w:val="center"/>
              <w:rPr>
                <w:rFonts w:hint="default"/>
                <w:color w:val="auto"/>
                <w:szCs w:val="21"/>
                <w:lang w:val="en-US" w:eastAsia="zh-CN"/>
              </w:rPr>
            </w:pPr>
            <w:r>
              <w:rPr>
                <w:rFonts w:hint="eastAsia"/>
                <w:color w:val="auto"/>
                <w:szCs w:val="21"/>
                <w:lang w:val="en-US" w:eastAsia="zh-CN"/>
              </w:rPr>
              <w:t>废包装桶</w:t>
            </w:r>
          </w:p>
        </w:tc>
        <w:tc>
          <w:tcPr>
            <w:tcW w:w="1575" w:type="dxa"/>
            <w:vAlign w:val="center"/>
          </w:tcPr>
          <w:p w14:paraId="2C2313E7">
            <w:pPr>
              <w:jc w:val="center"/>
              <w:rPr>
                <w:bCs/>
                <w:snapToGrid w:val="0"/>
                <w:color w:val="auto"/>
                <w:kern w:val="21"/>
                <w:szCs w:val="21"/>
              </w:rPr>
            </w:pPr>
            <w:r>
              <w:rPr>
                <w:bCs/>
                <w:snapToGrid w:val="0"/>
                <w:color w:val="auto"/>
                <w:kern w:val="21"/>
                <w:szCs w:val="21"/>
              </w:rPr>
              <w:t>/</w:t>
            </w:r>
          </w:p>
        </w:tc>
        <w:tc>
          <w:tcPr>
            <w:tcW w:w="1260" w:type="dxa"/>
            <w:vAlign w:val="center"/>
          </w:tcPr>
          <w:p w14:paraId="57F5703B">
            <w:pPr>
              <w:jc w:val="center"/>
              <w:rPr>
                <w:bCs/>
                <w:snapToGrid w:val="0"/>
                <w:color w:val="auto"/>
                <w:kern w:val="21"/>
                <w:szCs w:val="21"/>
              </w:rPr>
            </w:pPr>
            <w:r>
              <w:rPr>
                <w:bCs/>
                <w:snapToGrid w:val="0"/>
                <w:color w:val="auto"/>
                <w:kern w:val="21"/>
                <w:szCs w:val="21"/>
              </w:rPr>
              <w:t>/</w:t>
            </w:r>
          </w:p>
        </w:tc>
        <w:tc>
          <w:tcPr>
            <w:tcW w:w="1612" w:type="dxa"/>
            <w:vAlign w:val="center"/>
          </w:tcPr>
          <w:p w14:paraId="67BFB518">
            <w:pPr>
              <w:jc w:val="center"/>
              <w:rPr>
                <w:bCs/>
                <w:snapToGrid w:val="0"/>
                <w:color w:val="auto"/>
                <w:kern w:val="21"/>
                <w:szCs w:val="21"/>
              </w:rPr>
            </w:pPr>
            <w:r>
              <w:rPr>
                <w:bCs/>
                <w:snapToGrid w:val="0"/>
                <w:color w:val="auto"/>
                <w:kern w:val="21"/>
                <w:szCs w:val="21"/>
              </w:rPr>
              <w:t>/</w:t>
            </w:r>
          </w:p>
        </w:tc>
        <w:tc>
          <w:tcPr>
            <w:tcW w:w="1559" w:type="dxa"/>
            <w:vAlign w:val="center"/>
          </w:tcPr>
          <w:p w14:paraId="13E48953">
            <w:pPr>
              <w:widowControl/>
              <w:jc w:val="center"/>
              <w:textAlignment w:val="center"/>
              <w:rPr>
                <w:rFonts w:hint="eastAsia"/>
                <w:color w:val="auto"/>
                <w:kern w:val="0"/>
                <w:szCs w:val="21"/>
                <w:lang w:val="en-US" w:eastAsia="zh-CN" w:bidi="ar"/>
              </w:rPr>
            </w:pPr>
            <w:r>
              <w:rPr>
                <w:rFonts w:hint="eastAsia"/>
                <w:color w:val="auto"/>
                <w:kern w:val="0"/>
                <w:szCs w:val="21"/>
                <w:lang w:val="en-US" w:eastAsia="zh-CN" w:bidi="ar"/>
              </w:rPr>
              <w:t>0.426</w:t>
            </w:r>
          </w:p>
        </w:tc>
        <w:tc>
          <w:tcPr>
            <w:tcW w:w="1761" w:type="dxa"/>
            <w:shd w:val="clear" w:color="auto" w:fill="auto"/>
            <w:vAlign w:val="center"/>
          </w:tcPr>
          <w:p w14:paraId="0CCC70EC">
            <w:pPr>
              <w:jc w:val="center"/>
              <w:rPr>
                <w:rFonts w:ascii="Times New Roman" w:hAnsi="Times New Roman" w:eastAsia="宋体" w:cs="Times New Roman"/>
                <w:bCs/>
                <w:snapToGrid w:val="0"/>
                <w:color w:val="auto"/>
                <w:kern w:val="21"/>
                <w:sz w:val="21"/>
                <w:szCs w:val="21"/>
                <w:lang w:val="en-US" w:eastAsia="zh-CN" w:bidi="ar-SA"/>
              </w:rPr>
            </w:pPr>
            <w:r>
              <w:rPr>
                <w:bCs/>
                <w:snapToGrid w:val="0"/>
                <w:color w:val="auto"/>
                <w:kern w:val="21"/>
                <w:szCs w:val="21"/>
              </w:rPr>
              <w:t>/</w:t>
            </w:r>
          </w:p>
        </w:tc>
        <w:tc>
          <w:tcPr>
            <w:tcW w:w="1742" w:type="dxa"/>
            <w:vAlign w:val="center"/>
          </w:tcPr>
          <w:p w14:paraId="4D5A6156">
            <w:pPr>
              <w:widowControl/>
              <w:jc w:val="center"/>
              <w:textAlignment w:val="center"/>
              <w:rPr>
                <w:rFonts w:hint="eastAsia"/>
                <w:color w:val="auto"/>
                <w:kern w:val="0"/>
                <w:szCs w:val="21"/>
                <w:lang w:val="en-US" w:eastAsia="zh-CN" w:bidi="ar"/>
              </w:rPr>
            </w:pPr>
            <w:r>
              <w:rPr>
                <w:rFonts w:hint="eastAsia"/>
                <w:color w:val="auto"/>
                <w:kern w:val="0"/>
                <w:szCs w:val="21"/>
                <w:lang w:val="en-US" w:eastAsia="zh-CN" w:bidi="ar"/>
              </w:rPr>
              <w:t>0.426</w:t>
            </w:r>
          </w:p>
        </w:tc>
        <w:tc>
          <w:tcPr>
            <w:tcW w:w="1293" w:type="dxa"/>
            <w:vAlign w:val="center"/>
          </w:tcPr>
          <w:p w14:paraId="200111D1">
            <w:pPr>
              <w:widowControl/>
              <w:jc w:val="center"/>
              <w:textAlignment w:val="center"/>
              <w:rPr>
                <w:rFonts w:hint="eastAsia"/>
                <w:color w:val="auto"/>
                <w:szCs w:val="21"/>
                <w:lang w:val="en-US" w:eastAsia="zh-CN"/>
              </w:rPr>
            </w:pPr>
            <w:r>
              <w:rPr>
                <w:rFonts w:hint="eastAsia"/>
                <w:color w:val="auto"/>
                <w:kern w:val="0"/>
                <w:szCs w:val="21"/>
                <w:lang w:val="en-US" w:eastAsia="zh-CN" w:bidi="ar"/>
              </w:rPr>
              <w:t>+0.426</w:t>
            </w:r>
          </w:p>
        </w:tc>
      </w:tr>
      <w:tr w14:paraId="7174B8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0801FB5A">
            <w:pPr>
              <w:adjustRightInd w:val="0"/>
              <w:snapToGrid w:val="0"/>
              <w:jc w:val="center"/>
              <w:rPr>
                <w:b/>
                <w:bCs/>
                <w:snapToGrid w:val="0"/>
                <w:color w:val="auto"/>
                <w:kern w:val="21"/>
                <w:szCs w:val="21"/>
              </w:rPr>
            </w:pPr>
          </w:p>
        </w:tc>
        <w:tc>
          <w:tcPr>
            <w:tcW w:w="1950" w:type="dxa"/>
            <w:vAlign w:val="center"/>
          </w:tcPr>
          <w:p w14:paraId="7B53AFAC">
            <w:pPr>
              <w:widowControl/>
              <w:jc w:val="center"/>
              <w:textAlignment w:val="center"/>
              <w:rPr>
                <w:color w:val="auto"/>
                <w:sz w:val="21"/>
                <w:szCs w:val="21"/>
              </w:rPr>
            </w:pPr>
            <w:r>
              <w:rPr>
                <w:rFonts w:hint="eastAsia"/>
                <w:color w:val="auto"/>
                <w:szCs w:val="21"/>
                <w:lang w:val="en-US" w:eastAsia="zh-CN"/>
              </w:rPr>
              <w:t>废润滑油</w:t>
            </w:r>
          </w:p>
        </w:tc>
        <w:tc>
          <w:tcPr>
            <w:tcW w:w="1575" w:type="dxa"/>
            <w:vAlign w:val="center"/>
          </w:tcPr>
          <w:p w14:paraId="6EF81DA8">
            <w:pPr>
              <w:jc w:val="center"/>
              <w:rPr>
                <w:color w:val="auto"/>
                <w:szCs w:val="21"/>
              </w:rPr>
            </w:pPr>
            <w:r>
              <w:rPr>
                <w:bCs/>
                <w:snapToGrid w:val="0"/>
                <w:color w:val="auto"/>
                <w:kern w:val="21"/>
                <w:szCs w:val="21"/>
              </w:rPr>
              <w:t>/</w:t>
            </w:r>
          </w:p>
        </w:tc>
        <w:tc>
          <w:tcPr>
            <w:tcW w:w="1260" w:type="dxa"/>
            <w:vAlign w:val="center"/>
          </w:tcPr>
          <w:p w14:paraId="410D7AE7">
            <w:pPr>
              <w:adjustRightInd w:val="0"/>
              <w:snapToGrid w:val="0"/>
              <w:jc w:val="center"/>
              <w:rPr>
                <w:color w:val="auto"/>
                <w:szCs w:val="21"/>
              </w:rPr>
            </w:pPr>
            <w:r>
              <w:rPr>
                <w:bCs/>
                <w:snapToGrid w:val="0"/>
                <w:color w:val="auto"/>
                <w:kern w:val="21"/>
                <w:szCs w:val="21"/>
              </w:rPr>
              <w:t>/</w:t>
            </w:r>
          </w:p>
        </w:tc>
        <w:tc>
          <w:tcPr>
            <w:tcW w:w="1612" w:type="dxa"/>
            <w:vAlign w:val="center"/>
          </w:tcPr>
          <w:p w14:paraId="19FD90B9">
            <w:pPr>
              <w:adjustRightInd w:val="0"/>
              <w:snapToGrid w:val="0"/>
              <w:jc w:val="center"/>
              <w:rPr>
                <w:color w:val="auto"/>
                <w:szCs w:val="21"/>
              </w:rPr>
            </w:pPr>
            <w:r>
              <w:rPr>
                <w:bCs/>
                <w:snapToGrid w:val="0"/>
                <w:color w:val="auto"/>
                <w:kern w:val="21"/>
                <w:szCs w:val="21"/>
              </w:rPr>
              <w:t>/</w:t>
            </w:r>
          </w:p>
        </w:tc>
        <w:tc>
          <w:tcPr>
            <w:tcW w:w="1559" w:type="dxa"/>
            <w:vAlign w:val="center"/>
          </w:tcPr>
          <w:p w14:paraId="51A7D87B">
            <w:pPr>
              <w:widowControl/>
              <w:jc w:val="center"/>
              <w:textAlignment w:val="center"/>
              <w:rPr>
                <w:rFonts w:hint="default"/>
                <w:color w:val="auto"/>
                <w:sz w:val="21"/>
                <w:szCs w:val="21"/>
                <w:lang w:val="en-US"/>
              </w:rPr>
            </w:pPr>
            <w:r>
              <w:rPr>
                <w:rFonts w:hint="eastAsia" w:cs="Times New Roman"/>
                <w:bCs/>
                <w:color w:val="auto"/>
                <w:sz w:val="21"/>
                <w:szCs w:val="21"/>
                <w:lang w:val="en-US" w:eastAsia="zh-CN"/>
              </w:rPr>
              <w:t>0.02</w:t>
            </w:r>
          </w:p>
        </w:tc>
        <w:tc>
          <w:tcPr>
            <w:tcW w:w="1761" w:type="dxa"/>
            <w:vAlign w:val="center"/>
          </w:tcPr>
          <w:p w14:paraId="4CF1FD7F">
            <w:pPr>
              <w:jc w:val="center"/>
              <w:rPr>
                <w:bCs/>
                <w:snapToGrid w:val="0"/>
                <w:color w:val="auto"/>
                <w:kern w:val="21"/>
                <w:szCs w:val="21"/>
              </w:rPr>
            </w:pPr>
            <w:r>
              <w:rPr>
                <w:bCs/>
                <w:snapToGrid w:val="0"/>
                <w:color w:val="auto"/>
                <w:kern w:val="21"/>
                <w:szCs w:val="21"/>
              </w:rPr>
              <w:t>/</w:t>
            </w:r>
          </w:p>
        </w:tc>
        <w:tc>
          <w:tcPr>
            <w:tcW w:w="1742" w:type="dxa"/>
            <w:vAlign w:val="center"/>
          </w:tcPr>
          <w:p w14:paraId="126754BC">
            <w:pPr>
              <w:widowControl/>
              <w:jc w:val="center"/>
              <w:textAlignment w:val="center"/>
              <w:rPr>
                <w:color w:val="auto"/>
                <w:sz w:val="21"/>
                <w:szCs w:val="21"/>
              </w:rPr>
            </w:pPr>
            <w:r>
              <w:rPr>
                <w:rFonts w:hint="eastAsia" w:cs="Times New Roman"/>
                <w:bCs/>
                <w:color w:val="auto"/>
                <w:sz w:val="21"/>
                <w:szCs w:val="21"/>
                <w:lang w:val="en-US" w:eastAsia="zh-CN"/>
              </w:rPr>
              <w:t>0.02</w:t>
            </w:r>
          </w:p>
        </w:tc>
        <w:tc>
          <w:tcPr>
            <w:tcW w:w="1293" w:type="dxa"/>
            <w:vAlign w:val="center"/>
          </w:tcPr>
          <w:p w14:paraId="6373481F">
            <w:pPr>
              <w:widowControl/>
              <w:jc w:val="center"/>
              <w:textAlignment w:val="center"/>
              <w:rPr>
                <w:bCs/>
                <w:snapToGrid w:val="0"/>
                <w:color w:val="auto"/>
                <w:kern w:val="21"/>
                <w:sz w:val="21"/>
                <w:szCs w:val="21"/>
              </w:rPr>
            </w:pPr>
            <w:r>
              <w:rPr>
                <w:rFonts w:hint="eastAsia" w:cs="Times New Roman"/>
                <w:b w:val="0"/>
                <w:bCs w:val="0"/>
                <w:color w:val="auto"/>
                <w:sz w:val="21"/>
                <w:szCs w:val="21"/>
                <w:vertAlign w:val="baseline"/>
                <w:lang w:val="en-US" w:eastAsia="zh-CN"/>
              </w:rPr>
              <w:t>+</w:t>
            </w:r>
            <w:r>
              <w:rPr>
                <w:rFonts w:hint="eastAsia" w:cs="Times New Roman"/>
                <w:bCs/>
                <w:color w:val="auto"/>
                <w:sz w:val="21"/>
                <w:szCs w:val="21"/>
                <w:lang w:val="en-US" w:eastAsia="zh-CN"/>
              </w:rPr>
              <w:t>0.02</w:t>
            </w:r>
          </w:p>
        </w:tc>
      </w:tr>
      <w:tr w14:paraId="4D1980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7F98100C">
            <w:pPr>
              <w:adjustRightInd w:val="0"/>
              <w:snapToGrid w:val="0"/>
              <w:jc w:val="center"/>
              <w:rPr>
                <w:b/>
                <w:bCs/>
                <w:snapToGrid w:val="0"/>
                <w:color w:val="auto"/>
                <w:kern w:val="21"/>
                <w:szCs w:val="21"/>
              </w:rPr>
            </w:pPr>
          </w:p>
        </w:tc>
        <w:tc>
          <w:tcPr>
            <w:tcW w:w="1950" w:type="dxa"/>
            <w:vAlign w:val="center"/>
          </w:tcPr>
          <w:p w14:paraId="5F6FE628">
            <w:pPr>
              <w:widowControl/>
              <w:jc w:val="center"/>
              <w:textAlignment w:val="center"/>
              <w:rPr>
                <w:rFonts w:hint="default"/>
                <w:color w:val="auto"/>
                <w:szCs w:val="21"/>
                <w:lang w:val="en-US" w:eastAsia="zh-CN"/>
              </w:rPr>
            </w:pPr>
            <w:r>
              <w:rPr>
                <w:rFonts w:hint="eastAsia"/>
                <w:color w:val="auto"/>
                <w:szCs w:val="21"/>
                <w:lang w:val="en-US" w:eastAsia="zh-CN"/>
              </w:rPr>
              <w:t>废印刷机凹版</w:t>
            </w:r>
          </w:p>
        </w:tc>
        <w:tc>
          <w:tcPr>
            <w:tcW w:w="1575" w:type="dxa"/>
            <w:vAlign w:val="center"/>
          </w:tcPr>
          <w:p w14:paraId="09FD1C74">
            <w:pPr>
              <w:jc w:val="center"/>
              <w:rPr>
                <w:bCs/>
                <w:snapToGrid w:val="0"/>
                <w:color w:val="auto"/>
                <w:kern w:val="21"/>
                <w:szCs w:val="21"/>
              </w:rPr>
            </w:pPr>
            <w:r>
              <w:rPr>
                <w:bCs/>
                <w:snapToGrid w:val="0"/>
                <w:color w:val="auto"/>
                <w:kern w:val="21"/>
                <w:szCs w:val="21"/>
              </w:rPr>
              <w:t>/</w:t>
            </w:r>
          </w:p>
        </w:tc>
        <w:tc>
          <w:tcPr>
            <w:tcW w:w="1260" w:type="dxa"/>
            <w:vAlign w:val="center"/>
          </w:tcPr>
          <w:p w14:paraId="45E7746A">
            <w:pPr>
              <w:jc w:val="center"/>
              <w:rPr>
                <w:bCs/>
                <w:snapToGrid w:val="0"/>
                <w:color w:val="auto"/>
                <w:kern w:val="21"/>
                <w:szCs w:val="21"/>
              </w:rPr>
            </w:pPr>
            <w:r>
              <w:rPr>
                <w:bCs/>
                <w:snapToGrid w:val="0"/>
                <w:color w:val="auto"/>
                <w:kern w:val="21"/>
                <w:szCs w:val="21"/>
              </w:rPr>
              <w:t>/</w:t>
            </w:r>
          </w:p>
        </w:tc>
        <w:tc>
          <w:tcPr>
            <w:tcW w:w="1612" w:type="dxa"/>
            <w:vAlign w:val="center"/>
          </w:tcPr>
          <w:p w14:paraId="0E107686">
            <w:pPr>
              <w:jc w:val="center"/>
              <w:rPr>
                <w:bCs/>
                <w:snapToGrid w:val="0"/>
                <w:color w:val="auto"/>
                <w:kern w:val="21"/>
                <w:szCs w:val="21"/>
              </w:rPr>
            </w:pPr>
            <w:r>
              <w:rPr>
                <w:bCs/>
                <w:snapToGrid w:val="0"/>
                <w:color w:val="auto"/>
                <w:kern w:val="21"/>
                <w:szCs w:val="21"/>
              </w:rPr>
              <w:t>/</w:t>
            </w:r>
          </w:p>
        </w:tc>
        <w:tc>
          <w:tcPr>
            <w:tcW w:w="1559" w:type="dxa"/>
            <w:vAlign w:val="center"/>
          </w:tcPr>
          <w:p w14:paraId="25CC7ADA">
            <w:pPr>
              <w:widowControl/>
              <w:jc w:val="center"/>
              <w:textAlignment w:val="center"/>
              <w:rPr>
                <w:rFonts w:hint="default" w:cs="Times New Roman"/>
                <w:bCs/>
                <w:color w:val="auto"/>
                <w:sz w:val="21"/>
                <w:szCs w:val="21"/>
                <w:lang w:val="en-US" w:eastAsia="zh-CN"/>
              </w:rPr>
            </w:pPr>
            <w:r>
              <w:rPr>
                <w:rFonts w:hint="eastAsia" w:cs="Times New Roman"/>
                <w:bCs/>
                <w:color w:val="auto"/>
                <w:sz w:val="21"/>
                <w:szCs w:val="21"/>
                <w:lang w:val="en-US" w:eastAsia="zh-CN"/>
              </w:rPr>
              <w:t>0.05</w:t>
            </w:r>
          </w:p>
        </w:tc>
        <w:tc>
          <w:tcPr>
            <w:tcW w:w="1761" w:type="dxa"/>
            <w:shd w:val="clear" w:color="auto" w:fill="auto"/>
            <w:vAlign w:val="center"/>
          </w:tcPr>
          <w:p w14:paraId="70DC60F8">
            <w:pPr>
              <w:jc w:val="center"/>
              <w:rPr>
                <w:rFonts w:hint="default" w:ascii="Times New Roman" w:hAnsi="Times New Roman" w:eastAsia="宋体" w:cs="Times New Roman"/>
                <w:bCs/>
                <w:color w:val="auto"/>
                <w:kern w:val="2"/>
                <w:sz w:val="21"/>
                <w:szCs w:val="21"/>
                <w:lang w:val="en-US" w:eastAsia="zh-CN" w:bidi="ar-SA"/>
              </w:rPr>
            </w:pPr>
            <w:r>
              <w:rPr>
                <w:bCs/>
                <w:snapToGrid w:val="0"/>
                <w:color w:val="auto"/>
                <w:kern w:val="21"/>
                <w:szCs w:val="21"/>
              </w:rPr>
              <w:t>/</w:t>
            </w:r>
          </w:p>
        </w:tc>
        <w:tc>
          <w:tcPr>
            <w:tcW w:w="1742" w:type="dxa"/>
            <w:vAlign w:val="center"/>
          </w:tcPr>
          <w:p w14:paraId="5A9A7E08">
            <w:pPr>
              <w:widowControl/>
              <w:jc w:val="center"/>
              <w:textAlignment w:val="center"/>
              <w:rPr>
                <w:rFonts w:hint="eastAsia" w:cs="Times New Roman"/>
                <w:bCs/>
                <w:color w:val="auto"/>
                <w:sz w:val="21"/>
                <w:szCs w:val="21"/>
                <w:lang w:val="en-US" w:eastAsia="zh-CN"/>
              </w:rPr>
            </w:pPr>
            <w:r>
              <w:rPr>
                <w:rFonts w:hint="eastAsia" w:cs="Times New Roman"/>
                <w:bCs/>
                <w:color w:val="auto"/>
                <w:sz w:val="21"/>
                <w:szCs w:val="21"/>
                <w:lang w:val="en-US" w:eastAsia="zh-CN"/>
              </w:rPr>
              <w:t>0.05</w:t>
            </w:r>
          </w:p>
        </w:tc>
        <w:tc>
          <w:tcPr>
            <w:tcW w:w="1293" w:type="dxa"/>
            <w:vAlign w:val="center"/>
          </w:tcPr>
          <w:p w14:paraId="0148F00F">
            <w:pPr>
              <w:widowControl/>
              <w:jc w:val="center"/>
              <w:textAlignment w:val="center"/>
              <w:rPr>
                <w:rFonts w:hint="eastAsia" w:cs="Times New Roman"/>
                <w:b w:val="0"/>
                <w:bCs w:val="0"/>
                <w:color w:val="auto"/>
                <w:sz w:val="21"/>
                <w:szCs w:val="21"/>
                <w:vertAlign w:val="baseline"/>
                <w:lang w:val="en-US" w:eastAsia="zh-CN"/>
              </w:rPr>
            </w:pPr>
            <w:r>
              <w:rPr>
                <w:rFonts w:hint="eastAsia" w:cs="Times New Roman"/>
                <w:bCs/>
                <w:color w:val="auto"/>
                <w:sz w:val="21"/>
                <w:szCs w:val="21"/>
                <w:lang w:val="en-US" w:eastAsia="zh-CN"/>
              </w:rPr>
              <w:t>+0.05</w:t>
            </w:r>
          </w:p>
        </w:tc>
      </w:tr>
      <w:tr w14:paraId="7CBBCA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7143DDD2">
            <w:pPr>
              <w:adjustRightInd w:val="0"/>
              <w:snapToGrid w:val="0"/>
              <w:jc w:val="center"/>
              <w:rPr>
                <w:b/>
                <w:bCs/>
                <w:snapToGrid w:val="0"/>
                <w:color w:val="auto"/>
                <w:kern w:val="21"/>
                <w:szCs w:val="21"/>
              </w:rPr>
            </w:pPr>
          </w:p>
        </w:tc>
        <w:tc>
          <w:tcPr>
            <w:tcW w:w="1950" w:type="dxa"/>
            <w:vAlign w:val="center"/>
          </w:tcPr>
          <w:p w14:paraId="1A5423E9">
            <w:pPr>
              <w:widowControl/>
              <w:jc w:val="center"/>
              <w:textAlignment w:val="center"/>
              <w:rPr>
                <w:rFonts w:hint="eastAsia"/>
                <w:color w:val="auto"/>
                <w:szCs w:val="21"/>
                <w:lang w:val="en-US" w:eastAsia="zh-CN"/>
              </w:rPr>
            </w:pPr>
            <w:r>
              <w:rPr>
                <w:rFonts w:hint="eastAsia"/>
                <w:color w:val="auto"/>
                <w:szCs w:val="21"/>
                <w:lang w:val="en-US" w:eastAsia="zh-CN"/>
              </w:rPr>
              <w:t>废润滑油桶</w:t>
            </w:r>
          </w:p>
        </w:tc>
        <w:tc>
          <w:tcPr>
            <w:tcW w:w="1575" w:type="dxa"/>
            <w:vAlign w:val="center"/>
          </w:tcPr>
          <w:p w14:paraId="0CD13C26">
            <w:pPr>
              <w:jc w:val="center"/>
              <w:rPr>
                <w:bCs/>
                <w:snapToGrid w:val="0"/>
                <w:color w:val="auto"/>
                <w:kern w:val="21"/>
                <w:szCs w:val="21"/>
              </w:rPr>
            </w:pPr>
            <w:r>
              <w:rPr>
                <w:bCs/>
                <w:snapToGrid w:val="0"/>
                <w:color w:val="auto"/>
                <w:kern w:val="21"/>
                <w:szCs w:val="21"/>
              </w:rPr>
              <w:t>/</w:t>
            </w:r>
          </w:p>
        </w:tc>
        <w:tc>
          <w:tcPr>
            <w:tcW w:w="1260" w:type="dxa"/>
            <w:vAlign w:val="center"/>
          </w:tcPr>
          <w:p w14:paraId="67A488BC">
            <w:pPr>
              <w:jc w:val="center"/>
              <w:rPr>
                <w:bCs/>
                <w:snapToGrid w:val="0"/>
                <w:color w:val="auto"/>
                <w:kern w:val="21"/>
                <w:szCs w:val="21"/>
              </w:rPr>
            </w:pPr>
            <w:r>
              <w:rPr>
                <w:bCs/>
                <w:snapToGrid w:val="0"/>
                <w:color w:val="auto"/>
                <w:kern w:val="21"/>
                <w:szCs w:val="21"/>
              </w:rPr>
              <w:t>/</w:t>
            </w:r>
          </w:p>
        </w:tc>
        <w:tc>
          <w:tcPr>
            <w:tcW w:w="1612" w:type="dxa"/>
            <w:vAlign w:val="center"/>
          </w:tcPr>
          <w:p w14:paraId="00E62DD7">
            <w:pPr>
              <w:jc w:val="center"/>
              <w:rPr>
                <w:bCs/>
                <w:snapToGrid w:val="0"/>
                <w:color w:val="auto"/>
                <w:kern w:val="21"/>
                <w:szCs w:val="21"/>
              </w:rPr>
            </w:pPr>
            <w:r>
              <w:rPr>
                <w:bCs/>
                <w:snapToGrid w:val="0"/>
                <w:color w:val="auto"/>
                <w:kern w:val="21"/>
                <w:szCs w:val="21"/>
              </w:rPr>
              <w:t>/</w:t>
            </w:r>
          </w:p>
        </w:tc>
        <w:tc>
          <w:tcPr>
            <w:tcW w:w="1559" w:type="dxa"/>
            <w:vAlign w:val="center"/>
          </w:tcPr>
          <w:p w14:paraId="4926FD00">
            <w:pPr>
              <w:widowControl/>
              <w:jc w:val="center"/>
              <w:textAlignment w:val="center"/>
              <w:rPr>
                <w:rFonts w:hint="eastAsia" w:cs="Times New Roman"/>
                <w:bCs/>
                <w:color w:val="auto"/>
                <w:sz w:val="21"/>
                <w:szCs w:val="21"/>
                <w:lang w:val="en-US" w:eastAsia="zh-CN"/>
              </w:rPr>
            </w:pPr>
            <w:r>
              <w:rPr>
                <w:rFonts w:hint="eastAsia" w:cs="Times New Roman"/>
                <w:bCs/>
                <w:color w:val="auto"/>
                <w:sz w:val="21"/>
                <w:szCs w:val="21"/>
                <w:lang w:val="en-US" w:eastAsia="zh-CN"/>
              </w:rPr>
              <w:t>0.002</w:t>
            </w:r>
          </w:p>
        </w:tc>
        <w:tc>
          <w:tcPr>
            <w:tcW w:w="1761" w:type="dxa"/>
            <w:shd w:val="clear" w:color="auto" w:fill="auto"/>
            <w:vAlign w:val="center"/>
          </w:tcPr>
          <w:p w14:paraId="644B3D02">
            <w:pPr>
              <w:jc w:val="center"/>
              <w:rPr>
                <w:bCs/>
                <w:snapToGrid w:val="0"/>
                <w:color w:val="auto"/>
                <w:kern w:val="21"/>
                <w:szCs w:val="21"/>
              </w:rPr>
            </w:pPr>
            <w:r>
              <w:rPr>
                <w:bCs/>
                <w:snapToGrid w:val="0"/>
                <w:color w:val="auto"/>
                <w:kern w:val="21"/>
                <w:szCs w:val="21"/>
              </w:rPr>
              <w:t>/</w:t>
            </w:r>
          </w:p>
        </w:tc>
        <w:tc>
          <w:tcPr>
            <w:tcW w:w="1742" w:type="dxa"/>
            <w:vAlign w:val="center"/>
          </w:tcPr>
          <w:p w14:paraId="441F4069">
            <w:pPr>
              <w:widowControl/>
              <w:jc w:val="center"/>
              <w:textAlignment w:val="center"/>
              <w:rPr>
                <w:rFonts w:hint="eastAsia" w:cs="Times New Roman"/>
                <w:bCs/>
                <w:color w:val="auto"/>
                <w:sz w:val="21"/>
                <w:szCs w:val="21"/>
                <w:lang w:val="en-US" w:eastAsia="zh-CN"/>
              </w:rPr>
            </w:pPr>
            <w:r>
              <w:rPr>
                <w:rFonts w:hint="eastAsia" w:cs="Times New Roman"/>
                <w:bCs/>
                <w:color w:val="auto"/>
                <w:sz w:val="21"/>
                <w:szCs w:val="21"/>
                <w:lang w:val="en-US" w:eastAsia="zh-CN"/>
              </w:rPr>
              <w:t>0.002</w:t>
            </w:r>
          </w:p>
        </w:tc>
        <w:tc>
          <w:tcPr>
            <w:tcW w:w="1293" w:type="dxa"/>
            <w:vAlign w:val="center"/>
          </w:tcPr>
          <w:p w14:paraId="7DF3E7C2">
            <w:pPr>
              <w:widowControl/>
              <w:jc w:val="center"/>
              <w:textAlignment w:val="center"/>
              <w:rPr>
                <w:rFonts w:hint="eastAsia" w:cs="Times New Roman"/>
                <w:bCs/>
                <w:color w:val="auto"/>
                <w:sz w:val="21"/>
                <w:szCs w:val="21"/>
                <w:lang w:val="en-US" w:eastAsia="zh-CN"/>
              </w:rPr>
            </w:pPr>
            <w:r>
              <w:rPr>
                <w:rFonts w:hint="eastAsia" w:cs="Times New Roman"/>
                <w:bCs/>
                <w:color w:val="auto"/>
                <w:sz w:val="21"/>
                <w:szCs w:val="21"/>
                <w:lang w:val="en-US" w:eastAsia="zh-CN"/>
              </w:rPr>
              <w:t>+0.002</w:t>
            </w:r>
          </w:p>
        </w:tc>
      </w:tr>
      <w:tr w14:paraId="33F371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6A69E230">
            <w:pPr>
              <w:adjustRightInd w:val="0"/>
              <w:snapToGrid w:val="0"/>
              <w:jc w:val="center"/>
              <w:rPr>
                <w:b/>
                <w:bCs/>
                <w:snapToGrid w:val="0"/>
                <w:color w:val="auto"/>
                <w:kern w:val="21"/>
                <w:szCs w:val="21"/>
              </w:rPr>
            </w:pPr>
          </w:p>
        </w:tc>
        <w:tc>
          <w:tcPr>
            <w:tcW w:w="1950" w:type="dxa"/>
            <w:vAlign w:val="center"/>
          </w:tcPr>
          <w:p w14:paraId="52E46984">
            <w:pPr>
              <w:widowControl/>
              <w:jc w:val="center"/>
              <w:textAlignment w:val="center"/>
              <w:rPr>
                <w:rFonts w:hint="eastAsia"/>
                <w:color w:val="auto"/>
                <w:szCs w:val="21"/>
                <w:lang w:val="en-US" w:eastAsia="zh-CN"/>
              </w:rPr>
            </w:pPr>
            <w:r>
              <w:rPr>
                <w:rFonts w:hint="eastAsia"/>
                <w:color w:val="auto"/>
                <w:szCs w:val="21"/>
                <w:lang w:val="en-US" w:eastAsia="zh-CN"/>
              </w:rPr>
              <w:t>废劳保用品</w:t>
            </w:r>
          </w:p>
        </w:tc>
        <w:tc>
          <w:tcPr>
            <w:tcW w:w="1575" w:type="dxa"/>
            <w:vAlign w:val="center"/>
          </w:tcPr>
          <w:p w14:paraId="2FFC39B1">
            <w:pPr>
              <w:jc w:val="center"/>
              <w:rPr>
                <w:bCs/>
                <w:snapToGrid w:val="0"/>
                <w:color w:val="auto"/>
                <w:kern w:val="21"/>
                <w:szCs w:val="21"/>
              </w:rPr>
            </w:pPr>
            <w:r>
              <w:rPr>
                <w:bCs/>
                <w:snapToGrid w:val="0"/>
                <w:color w:val="auto"/>
                <w:kern w:val="21"/>
                <w:szCs w:val="21"/>
              </w:rPr>
              <w:t>/</w:t>
            </w:r>
          </w:p>
        </w:tc>
        <w:tc>
          <w:tcPr>
            <w:tcW w:w="1260" w:type="dxa"/>
            <w:vAlign w:val="center"/>
          </w:tcPr>
          <w:p w14:paraId="3638EF40">
            <w:pPr>
              <w:jc w:val="center"/>
              <w:rPr>
                <w:bCs/>
                <w:snapToGrid w:val="0"/>
                <w:color w:val="auto"/>
                <w:kern w:val="21"/>
                <w:szCs w:val="21"/>
              </w:rPr>
            </w:pPr>
            <w:r>
              <w:rPr>
                <w:bCs/>
                <w:snapToGrid w:val="0"/>
                <w:color w:val="auto"/>
                <w:kern w:val="21"/>
                <w:szCs w:val="21"/>
              </w:rPr>
              <w:t>/</w:t>
            </w:r>
          </w:p>
        </w:tc>
        <w:tc>
          <w:tcPr>
            <w:tcW w:w="1612" w:type="dxa"/>
            <w:vAlign w:val="center"/>
          </w:tcPr>
          <w:p w14:paraId="23B82698">
            <w:pPr>
              <w:jc w:val="center"/>
              <w:rPr>
                <w:bCs/>
                <w:snapToGrid w:val="0"/>
                <w:color w:val="auto"/>
                <w:kern w:val="21"/>
                <w:szCs w:val="21"/>
              </w:rPr>
            </w:pPr>
            <w:r>
              <w:rPr>
                <w:bCs/>
                <w:snapToGrid w:val="0"/>
                <w:color w:val="auto"/>
                <w:kern w:val="21"/>
                <w:szCs w:val="21"/>
              </w:rPr>
              <w:t>/</w:t>
            </w:r>
          </w:p>
        </w:tc>
        <w:tc>
          <w:tcPr>
            <w:tcW w:w="1559" w:type="dxa"/>
            <w:vAlign w:val="center"/>
          </w:tcPr>
          <w:p w14:paraId="62E946DE">
            <w:pPr>
              <w:widowControl/>
              <w:jc w:val="center"/>
              <w:textAlignment w:val="center"/>
              <w:rPr>
                <w:rFonts w:hint="eastAsia" w:cs="Times New Roman"/>
                <w:bCs/>
                <w:color w:val="auto"/>
                <w:sz w:val="21"/>
                <w:szCs w:val="21"/>
                <w:lang w:val="en-US" w:eastAsia="zh-CN"/>
              </w:rPr>
            </w:pPr>
            <w:r>
              <w:rPr>
                <w:rFonts w:hint="eastAsia" w:cs="Times New Roman"/>
                <w:bCs/>
                <w:color w:val="auto"/>
                <w:sz w:val="21"/>
                <w:szCs w:val="21"/>
                <w:lang w:val="en-US" w:eastAsia="zh-CN"/>
              </w:rPr>
              <w:t>0.02</w:t>
            </w:r>
          </w:p>
        </w:tc>
        <w:tc>
          <w:tcPr>
            <w:tcW w:w="1761" w:type="dxa"/>
            <w:shd w:val="clear" w:color="auto" w:fill="auto"/>
            <w:vAlign w:val="center"/>
          </w:tcPr>
          <w:p w14:paraId="32346C10">
            <w:pPr>
              <w:jc w:val="center"/>
              <w:rPr>
                <w:bCs/>
                <w:snapToGrid w:val="0"/>
                <w:color w:val="auto"/>
                <w:kern w:val="21"/>
                <w:szCs w:val="21"/>
              </w:rPr>
            </w:pPr>
            <w:r>
              <w:rPr>
                <w:bCs/>
                <w:snapToGrid w:val="0"/>
                <w:color w:val="auto"/>
                <w:kern w:val="21"/>
                <w:szCs w:val="21"/>
              </w:rPr>
              <w:t>/</w:t>
            </w:r>
          </w:p>
        </w:tc>
        <w:tc>
          <w:tcPr>
            <w:tcW w:w="1742" w:type="dxa"/>
            <w:vAlign w:val="center"/>
          </w:tcPr>
          <w:p w14:paraId="62835DB6">
            <w:pPr>
              <w:widowControl/>
              <w:jc w:val="center"/>
              <w:textAlignment w:val="center"/>
              <w:rPr>
                <w:rFonts w:hint="eastAsia" w:cs="Times New Roman"/>
                <w:bCs/>
                <w:color w:val="auto"/>
                <w:sz w:val="21"/>
                <w:szCs w:val="21"/>
                <w:lang w:val="en-US" w:eastAsia="zh-CN"/>
              </w:rPr>
            </w:pPr>
            <w:r>
              <w:rPr>
                <w:rFonts w:hint="eastAsia" w:cs="Times New Roman"/>
                <w:bCs/>
                <w:color w:val="auto"/>
                <w:sz w:val="21"/>
                <w:szCs w:val="21"/>
                <w:lang w:val="en-US" w:eastAsia="zh-CN"/>
              </w:rPr>
              <w:t>0.02</w:t>
            </w:r>
          </w:p>
        </w:tc>
        <w:tc>
          <w:tcPr>
            <w:tcW w:w="1293" w:type="dxa"/>
            <w:vAlign w:val="center"/>
          </w:tcPr>
          <w:p w14:paraId="27A9C689">
            <w:pPr>
              <w:widowControl/>
              <w:jc w:val="center"/>
              <w:textAlignment w:val="center"/>
              <w:rPr>
                <w:rFonts w:hint="eastAsia" w:cs="Times New Roman"/>
                <w:bCs/>
                <w:color w:val="auto"/>
                <w:sz w:val="21"/>
                <w:szCs w:val="21"/>
                <w:lang w:val="en-US" w:eastAsia="zh-CN"/>
              </w:rPr>
            </w:pPr>
            <w:r>
              <w:rPr>
                <w:rFonts w:hint="eastAsia" w:cs="Times New Roman"/>
                <w:bCs/>
                <w:color w:val="auto"/>
                <w:sz w:val="21"/>
                <w:szCs w:val="21"/>
                <w:lang w:val="en-US" w:eastAsia="zh-CN"/>
              </w:rPr>
              <w:t>+0.02</w:t>
            </w:r>
          </w:p>
        </w:tc>
      </w:tr>
      <w:tr w14:paraId="55109F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Align w:val="center"/>
          </w:tcPr>
          <w:p w14:paraId="4E94F1FD">
            <w:pPr>
              <w:adjustRightInd w:val="0"/>
              <w:snapToGrid w:val="0"/>
              <w:jc w:val="center"/>
              <w:rPr>
                <w:b/>
                <w:bCs/>
                <w:snapToGrid w:val="0"/>
                <w:color w:val="auto"/>
                <w:kern w:val="21"/>
                <w:szCs w:val="21"/>
              </w:rPr>
            </w:pPr>
            <w:r>
              <w:rPr>
                <w:b/>
                <w:bCs/>
                <w:snapToGrid w:val="0"/>
                <w:color w:val="auto"/>
                <w:kern w:val="21"/>
                <w:szCs w:val="21"/>
              </w:rPr>
              <w:t>生活垃圾</w:t>
            </w:r>
          </w:p>
        </w:tc>
        <w:tc>
          <w:tcPr>
            <w:tcW w:w="1950" w:type="dxa"/>
            <w:vAlign w:val="center"/>
          </w:tcPr>
          <w:p w14:paraId="35EB8B94">
            <w:pPr>
              <w:jc w:val="center"/>
              <w:rPr>
                <w:color w:val="auto"/>
                <w:szCs w:val="21"/>
              </w:rPr>
            </w:pPr>
            <w:r>
              <w:rPr>
                <w:bCs/>
                <w:snapToGrid w:val="0"/>
                <w:color w:val="auto"/>
                <w:kern w:val="21"/>
                <w:szCs w:val="21"/>
              </w:rPr>
              <w:t>生活垃圾</w:t>
            </w:r>
          </w:p>
        </w:tc>
        <w:tc>
          <w:tcPr>
            <w:tcW w:w="1575" w:type="dxa"/>
            <w:vAlign w:val="center"/>
          </w:tcPr>
          <w:p w14:paraId="7612757C">
            <w:pPr>
              <w:jc w:val="center"/>
              <w:rPr>
                <w:rFonts w:hint="default" w:eastAsia="宋体"/>
                <w:bCs/>
                <w:snapToGrid w:val="0"/>
                <w:color w:val="auto"/>
                <w:kern w:val="21"/>
                <w:szCs w:val="21"/>
                <w:lang w:val="en-US" w:eastAsia="zh-CN"/>
              </w:rPr>
            </w:pPr>
            <w:r>
              <w:rPr>
                <w:bCs/>
                <w:snapToGrid w:val="0"/>
                <w:color w:val="auto"/>
                <w:kern w:val="21"/>
                <w:szCs w:val="21"/>
              </w:rPr>
              <w:t>/</w:t>
            </w:r>
          </w:p>
        </w:tc>
        <w:tc>
          <w:tcPr>
            <w:tcW w:w="1260" w:type="dxa"/>
            <w:vAlign w:val="center"/>
          </w:tcPr>
          <w:p w14:paraId="01803940">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287234BD">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689BC049">
            <w:pPr>
              <w:widowControl/>
              <w:jc w:val="center"/>
              <w:textAlignment w:val="center"/>
              <w:rPr>
                <w:rFonts w:hint="default" w:eastAsia="宋体"/>
                <w:bCs/>
                <w:snapToGrid w:val="0"/>
                <w:color w:val="auto"/>
                <w:kern w:val="21"/>
                <w:szCs w:val="21"/>
                <w:lang w:val="en-US" w:eastAsia="zh-CN"/>
              </w:rPr>
            </w:pPr>
            <w:r>
              <w:rPr>
                <w:rFonts w:hint="eastAsia"/>
                <w:color w:val="auto"/>
                <w:sz w:val="21"/>
                <w:szCs w:val="21"/>
                <w:lang w:val="en-US" w:eastAsia="zh-CN"/>
              </w:rPr>
              <w:t>2.015</w:t>
            </w:r>
          </w:p>
        </w:tc>
        <w:tc>
          <w:tcPr>
            <w:tcW w:w="1761" w:type="dxa"/>
            <w:vAlign w:val="center"/>
          </w:tcPr>
          <w:p w14:paraId="5641D241">
            <w:pPr>
              <w:jc w:val="center"/>
              <w:rPr>
                <w:bCs/>
                <w:snapToGrid w:val="0"/>
                <w:color w:val="auto"/>
                <w:kern w:val="21"/>
                <w:szCs w:val="21"/>
              </w:rPr>
            </w:pPr>
            <w:r>
              <w:rPr>
                <w:bCs/>
                <w:snapToGrid w:val="0"/>
                <w:color w:val="auto"/>
                <w:kern w:val="21"/>
                <w:szCs w:val="21"/>
              </w:rPr>
              <w:t>/</w:t>
            </w:r>
          </w:p>
        </w:tc>
        <w:tc>
          <w:tcPr>
            <w:tcW w:w="1742" w:type="dxa"/>
            <w:vAlign w:val="center"/>
          </w:tcPr>
          <w:p w14:paraId="20702B55">
            <w:pPr>
              <w:widowControl/>
              <w:jc w:val="center"/>
              <w:textAlignment w:val="center"/>
              <w:rPr>
                <w:rFonts w:hint="default" w:eastAsia="宋体"/>
                <w:color w:val="auto"/>
                <w:szCs w:val="21"/>
                <w:lang w:val="en-US" w:eastAsia="zh-CN"/>
              </w:rPr>
            </w:pPr>
            <w:r>
              <w:rPr>
                <w:rFonts w:hint="eastAsia"/>
                <w:color w:val="auto"/>
                <w:sz w:val="21"/>
                <w:szCs w:val="21"/>
                <w:lang w:val="en-US" w:eastAsia="zh-CN"/>
              </w:rPr>
              <w:t>2.015</w:t>
            </w:r>
          </w:p>
        </w:tc>
        <w:tc>
          <w:tcPr>
            <w:tcW w:w="1293" w:type="dxa"/>
            <w:vAlign w:val="center"/>
          </w:tcPr>
          <w:p w14:paraId="26A4137F">
            <w:pPr>
              <w:widowControl/>
              <w:jc w:val="center"/>
              <w:textAlignment w:val="center"/>
              <w:rPr>
                <w:rFonts w:hint="default" w:eastAsia="宋体"/>
                <w:bCs/>
                <w:snapToGrid w:val="0"/>
                <w:color w:val="auto"/>
                <w:kern w:val="21"/>
                <w:szCs w:val="21"/>
                <w:lang w:val="en-US" w:eastAsia="zh-CN"/>
              </w:rPr>
            </w:pPr>
            <w:r>
              <w:rPr>
                <w:rFonts w:hint="eastAsia" w:cs="Times New Roman"/>
                <w:b w:val="0"/>
                <w:bCs w:val="0"/>
                <w:color w:val="auto"/>
                <w:sz w:val="21"/>
                <w:szCs w:val="21"/>
                <w:vertAlign w:val="baseline"/>
                <w:lang w:val="en-US" w:eastAsia="zh-CN"/>
              </w:rPr>
              <w:t>+</w:t>
            </w:r>
            <w:r>
              <w:rPr>
                <w:rFonts w:hint="eastAsia"/>
                <w:color w:val="auto"/>
                <w:sz w:val="21"/>
                <w:szCs w:val="21"/>
                <w:lang w:val="en-US" w:eastAsia="zh-CN"/>
              </w:rPr>
              <w:t>2.015</w:t>
            </w:r>
          </w:p>
        </w:tc>
      </w:tr>
    </w:tbl>
    <w:p w14:paraId="16BF848C">
      <w:pPr>
        <w:adjustRightInd w:val="0"/>
        <w:snapToGrid w:val="0"/>
        <w:spacing w:before="29" w:line="260" w:lineRule="auto"/>
        <w:ind w:left="38" w:leftChars="18" w:firstLine="482"/>
        <w:jc w:val="left"/>
        <w:rPr>
          <w:b/>
          <w:bCs/>
          <w:snapToGrid w:val="0"/>
          <w:color w:val="auto"/>
          <w:kern w:val="21"/>
          <w:szCs w:val="21"/>
        </w:rPr>
      </w:pPr>
      <w:r>
        <w:rPr>
          <w:b/>
          <w:bCs/>
          <w:snapToGrid w:val="0"/>
          <w:color w:val="auto"/>
          <w:kern w:val="21"/>
          <w:szCs w:val="21"/>
        </w:rPr>
        <w:t>注：</w:t>
      </w:r>
      <w:r>
        <w:rPr>
          <w:b/>
          <w:bCs/>
          <w:snapToGrid w:val="0"/>
          <w:color w:val="auto"/>
          <w:kern w:val="21"/>
          <w:szCs w:val="21"/>
        </w:rPr>
        <w:fldChar w:fldCharType="begin"/>
      </w:r>
      <w:r>
        <w:rPr>
          <w:b/>
          <w:bCs/>
          <w:snapToGrid w:val="0"/>
          <w:color w:val="auto"/>
          <w:kern w:val="21"/>
          <w:szCs w:val="21"/>
        </w:rPr>
        <w:instrText xml:space="preserve"> = 6 \* GB3 \* MERGEFORMAT </w:instrText>
      </w:r>
      <w:r>
        <w:rPr>
          <w:b/>
          <w:bCs/>
          <w:snapToGrid w:val="0"/>
          <w:color w:val="auto"/>
          <w:kern w:val="21"/>
          <w:szCs w:val="21"/>
        </w:rPr>
        <w:fldChar w:fldCharType="separate"/>
      </w:r>
      <w:r>
        <w:rPr>
          <w:b/>
          <w:bCs/>
          <w:snapToGrid w:val="0"/>
          <w:color w:val="auto"/>
          <w:kern w:val="21"/>
          <w:szCs w:val="21"/>
        </w:rPr>
        <w:t>⑥</w:t>
      </w:r>
      <w:r>
        <w:rPr>
          <w:b/>
          <w:bCs/>
          <w:snapToGrid w:val="0"/>
          <w:color w:val="auto"/>
          <w:kern w:val="21"/>
          <w:szCs w:val="21"/>
        </w:rPr>
        <w:fldChar w:fldCharType="end"/>
      </w:r>
      <w:r>
        <w:rPr>
          <w:b/>
          <w:bCs/>
          <w:snapToGrid w:val="0"/>
          <w:color w:val="auto"/>
          <w:kern w:val="21"/>
          <w:szCs w:val="21"/>
        </w:rPr>
        <w:t>=</w:t>
      </w:r>
      <w:r>
        <w:rPr>
          <w:b/>
          <w:bCs/>
          <w:snapToGrid w:val="0"/>
          <w:color w:val="auto"/>
          <w:kern w:val="21"/>
          <w:szCs w:val="21"/>
        </w:rPr>
        <w:fldChar w:fldCharType="begin"/>
      </w:r>
      <w:r>
        <w:rPr>
          <w:b/>
          <w:bCs/>
          <w:snapToGrid w:val="0"/>
          <w:color w:val="auto"/>
          <w:kern w:val="21"/>
          <w:szCs w:val="21"/>
        </w:rPr>
        <w:instrText xml:space="preserve"> = 1 \* GB3 \* MERGEFORMAT </w:instrText>
      </w:r>
      <w:r>
        <w:rPr>
          <w:b/>
          <w:bCs/>
          <w:snapToGrid w:val="0"/>
          <w:color w:val="auto"/>
          <w:kern w:val="21"/>
          <w:szCs w:val="21"/>
        </w:rPr>
        <w:fldChar w:fldCharType="separate"/>
      </w:r>
      <w:r>
        <w:rPr>
          <w:b/>
          <w:bCs/>
          <w:snapToGrid w:val="0"/>
          <w:color w:val="auto"/>
          <w:kern w:val="21"/>
          <w:szCs w:val="21"/>
        </w:rPr>
        <w:t>①</w:t>
      </w:r>
      <w:r>
        <w:rPr>
          <w:b/>
          <w:bCs/>
          <w:snapToGrid w:val="0"/>
          <w:color w:val="auto"/>
          <w:kern w:val="21"/>
          <w:szCs w:val="21"/>
        </w:rPr>
        <w:fldChar w:fldCharType="end"/>
      </w:r>
      <w:r>
        <w:rPr>
          <w:b/>
          <w:bCs/>
          <w:snapToGrid w:val="0"/>
          <w:color w:val="auto"/>
          <w:kern w:val="21"/>
          <w:szCs w:val="21"/>
        </w:rPr>
        <w:t>+</w:t>
      </w:r>
      <w:r>
        <w:rPr>
          <w:b/>
          <w:bCs/>
          <w:snapToGrid w:val="0"/>
          <w:color w:val="auto"/>
          <w:kern w:val="21"/>
          <w:szCs w:val="21"/>
        </w:rPr>
        <w:fldChar w:fldCharType="begin"/>
      </w:r>
      <w:r>
        <w:rPr>
          <w:b/>
          <w:bCs/>
          <w:snapToGrid w:val="0"/>
          <w:color w:val="auto"/>
          <w:kern w:val="21"/>
          <w:szCs w:val="21"/>
        </w:rPr>
        <w:instrText xml:space="preserve"> = 3 \* GB3 \* MERGEFORMAT </w:instrText>
      </w:r>
      <w:r>
        <w:rPr>
          <w:b/>
          <w:bCs/>
          <w:snapToGrid w:val="0"/>
          <w:color w:val="auto"/>
          <w:kern w:val="21"/>
          <w:szCs w:val="21"/>
        </w:rPr>
        <w:fldChar w:fldCharType="separate"/>
      </w:r>
      <w:r>
        <w:rPr>
          <w:b/>
          <w:bCs/>
          <w:snapToGrid w:val="0"/>
          <w:color w:val="auto"/>
          <w:kern w:val="21"/>
          <w:szCs w:val="21"/>
        </w:rPr>
        <w:t>③</w:t>
      </w:r>
      <w:r>
        <w:rPr>
          <w:b/>
          <w:bCs/>
          <w:snapToGrid w:val="0"/>
          <w:color w:val="auto"/>
          <w:kern w:val="21"/>
          <w:szCs w:val="21"/>
        </w:rPr>
        <w:fldChar w:fldCharType="end"/>
      </w:r>
      <w:r>
        <w:rPr>
          <w:b/>
          <w:bCs/>
          <w:snapToGrid w:val="0"/>
          <w:color w:val="auto"/>
          <w:kern w:val="21"/>
          <w:szCs w:val="21"/>
        </w:rPr>
        <w:t>+</w:t>
      </w:r>
      <w:r>
        <w:rPr>
          <w:b/>
          <w:bCs/>
          <w:snapToGrid w:val="0"/>
          <w:color w:val="auto"/>
          <w:kern w:val="21"/>
          <w:szCs w:val="21"/>
        </w:rPr>
        <w:fldChar w:fldCharType="begin"/>
      </w:r>
      <w:r>
        <w:rPr>
          <w:b/>
          <w:bCs/>
          <w:snapToGrid w:val="0"/>
          <w:color w:val="auto"/>
          <w:kern w:val="21"/>
          <w:szCs w:val="21"/>
        </w:rPr>
        <w:instrText xml:space="preserve"> = 4 \* GB3 \* MERGEFORMAT </w:instrText>
      </w:r>
      <w:r>
        <w:rPr>
          <w:b/>
          <w:bCs/>
          <w:snapToGrid w:val="0"/>
          <w:color w:val="auto"/>
          <w:kern w:val="21"/>
          <w:szCs w:val="21"/>
        </w:rPr>
        <w:fldChar w:fldCharType="separate"/>
      </w:r>
      <w:r>
        <w:rPr>
          <w:b/>
          <w:bCs/>
          <w:snapToGrid w:val="0"/>
          <w:color w:val="auto"/>
          <w:kern w:val="21"/>
          <w:szCs w:val="21"/>
        </w:rPr>
        <w:t>④</w:t>
      </w:r>
      <w:r>
        <w:rPr>
          <w:b/>
          <w:bCs/>
          <w:snapToGrid w:val="0"/>
          <w:color w:val="auto"/>
          <w:kern w:val="21"/>
          <w:szCs w:val="21"/>
        </w:rPr>
        <w:fldChar w:fldCharType="end"/>
      </w:r>
      <w:r>
        <w:rPr>
          <w:b/>
          <w:bCs/>
          <w:snapToGrid w:val="0"/>
          <w:color w:val="auto"/>
          <w:kern w:val="21"/>
          <w:szCs w:val="21"/>
        </w:rPr>
        <w:t>-</w:t>
      </w:r>
      <w:r>
        <w:rPr>
          <w:b/>
          <w:bCs/>
          <w:snapToGrid w:val="0"/>
          <w:color w:val="auto"/>
          <w:kern w:val="21"/>
          <w:szCs w:val="21"/>
        </w:rPr>
        <w:fldChar w:fldCharType="begin"/>
      </w:r>
      <w:r>
        <w:rPr>
          <w:b/>
          <w:bCs/>
          <w:snapToGrid w:val="0"/>
          <w:color w:val="auto"/>
          <w:kern w:val="21"/>
          <w:szCs w:val="21"/>
        </w:rPr>
        <w:instrText xml:space="preserve"> = 5 \* GB3 \* MERGEFORMAT </w:instrText>
      </w:r>
      <w:r>
        <w:rPr>
          <w:b/>
          <w:bCs/>
          <w:snapToGrid w:val="0"/>
          <w:color w:val="auto"/>
          <w:kern w:val="21"/>
          <w:szCs w:val="21"/>
        </w:rPr>
        <w:fldChar w:fldCharType="separate"/>
      </w:r>
      <w:r>
        <w:rPr>
          <w:b/>
          <w:bCs/>
          <w:snapToGrid w:val="0"/>
          <w:color w:val="auto"/>
          <w:kern w:val="21"/>
          <w:szCs w:val="21"/>
        </w:rPr>
        <w:t>⑤</w:t>
      </w:r>
      <w:r>
        <w:rPr>
          <w:b/>
          <w:bCs/>
          <w:snapToGrid w:val="0"/>
          <w:color w:val="auto"/>
          <w:kern w:val="21"/>
          <w:szCs w:val="21"/>
        </w:rPr>
        <w:fldChar w:fldCharType="end"/>
      </w:r>
      <w:r>
        <w:rPr>
          <w:b/>
          <w:bCs/>
          <w:snapToGrid w:val="0"/>
          <w:color w:val="auto"/>
          <w:kern w:val="21"/>
          <w:szCs w:val="21"/>
        </w:rPr>
        <w:t>；</w:t>
      </w:r>
      <w:r>
        <w:rPr>
          <w:b/>
          <w:bCs/>
          <w:snapToGrid w:val="0"/>
          <w:color w:val="auto"/>
          <w:kern w:val="21"/>
          <w:szCs w:val="21"/>
        </w:rPr>
        <w:fldChar w:fldCharType="begin"/>
      </w:r>
      <w:r>
        <w:rPr>
          <w:b/>
          <w:bCs/>
          <w:snapToGrid w:val="0"/>
          <w:color w:val="auto"/>
          <w:kern w:val="21"/>
          <w:szCs w:val="21"/>
        </w:rPr>
        <w:instrText xml:space="preserve"> = 7 \* GB3 \* MERGEFORMAT </w:instrText>
      </w:r>
      <w:r>
        <w:rPr>
          <w:b/>
          <w:bCs/>
          <w:snapToGrid w:val="0"/>
          <w:color w:val="auto"/>
          <w:kern w:val="21"/>
          <w:szCs w:val="21"/>
        </w:rPr>
        <w:fldChar w:fldCharType="separate"/>
      </w:r>
      <w:r>
        <w:rPr>
          <w:b/>
          <w:bCs/>
          <w:snapToGrid w:val="0"/>
          <w:color w:val="auto"/>
          <w:kern w:val="21"/>
          <w:szCs w:val="21"/>
        </w:rPr>
        <w:t>⑦</w:t>
      </w:r>
      <w:r>
        <w:rPr>
          <w:b/>
          <w:bCs/>
          <w:snapToGrid w:val="0"/>
          <w:color w:val="auto"/>
          <w:kern w:val="21"/>
          <w:szCs w:val="21"/>
        </w:rPr>
        <w:fldChar w:fldCharType="end"/>
      </w:r>
      <w:r>
        <w:rPr>
          <w:b/>
          <w:bCs/>
          <w:snapToGrid w:val="0"/>
          <w:color w:val="auto"/>
          <w:kern w:val="21"/>
          <w:szCs w:val="21"/>
        </w:rPr>
        <w:t>=</w:t>
      </w:r>
      <w:r>
        <w:rPr>
          <w:b/>
          <w:bCs/>
          <w:snapToGrid w:val="0"/>
          <w:color w:val="auto"/>
          <w:kern w:val="21"/>
          <w:szCs w:val="21"/>
        </w:rPr>
        <w:fldChar w:fldCharType="begin"/>
      </w:r>
      <w:r>
        <w:rPr>
          <w:b/>
          <w:bCs/>
          <w:snapToGrid w:val="0"/>
          <w:color w:val="auto"/>
          <w:kern w:val="21"/>
          <w:szCs w:val="21"/>
        </w:rPr>
        <w:instrText xml:space="preserve"> = 6 \* GB3 \* MERGEFORMAT </w:instrText>
      </w:r>
      <w:r>
        <w:rPr>
          <w:b/>
          <w:bCs/>
          <w:snapToGrid w:val="0"/>
          <w:color w:val="auto"/>
          <w:kern w:val="21"/>
          <w:szCs w:val="21"/>
        </w:rPr>
        <w:fldChar w:fldCharType="separate"/>
      </w:r>
      <w:r>
        <w:rPr>
          <w:b/>
          <w:bCs/>
          <w:snapToGrid w:val="0"/>
          <w:color w:val="auto"/>
          <w:kern w:val="21"/>
          <w:szCs w:val="21"/>
        </w:rPr>
        <w:t>⑥</w:t>
      </w:r>
      <w:r>
        <w:rPr>
          <w:b/>
          <w:bCs/>
          <w:snapToGrid w:val="0"/>
          <w:color w:val="auto"/>
          <w:kern w:val="21"/>
          <w:szCs w:val="21"/>
        </w:rPr>
        <w:fldChar w:fldCharType="end"/>
      </w:r>
      <w:r>
        <w:rPr>
          <w:b/>
          <w:bCs/>
          <w:snapToGrid w:val="0"/>
          <w:color w:val="auto"/>
          <w:kern w:val="21"/>
          <w:szCs w:val="21"/>
        </w:rPr>
        <w:t>-</w:t>
      </w:r>
      <w:r>
        <w:rPr>
          <w:b/>
          <w:bCs/>
          <w:snapToGrid w:val="0"/>
          <w:color w:val="auto"/>
          <w:kern w:val="21"/>
          <w:szCs w:val="21"/>
        </w:rPr>
        <w:fldChar w:fldCharType="begin"/>
      </w:r>
      <w:r>
        <w:rPr>
          <w:b/>
          <w:bCs/>
          <w:snapToGrid w:val="0"/>
          <w:color w:val="auto"/>
          <w:kern w:val="21"/>
          <w:szCs w:val="21"/>
        </w:rPr>
        <w:instrText xml:space="preserve"> = 1 \* GB3 \* MERGEFORMAT </w:instrText>
      </w:r>
      <w:r>
        <w:rPr>
          <w:b/>
          <w:bCs/>
          <w:snapToGrid w:val="0"/>
          <w:color w:val="auto"/>
          <w:kern w:val="21"/>
          <w:szCs w:val="21"/>
        </w:rPr>
        <w:fldChar w:fldCharType="separate"/>
      </w:r>
      <w:r>
        <w:rPr>
          <w:b/>
          <w:bCs/>
          <w:snapToGrid w:val="0"/>
          <w:color w:val="auto"/>
          <w:kern w:val="21"/>
          <w:szCs w:val="21"/>
        </w:rPr>
        <w:t>①</w:t>
      </w:r>
      <w:r>
        <w:rPr>
          <w:b/>
          <w:bCs/>
          <w:snapToGrid w:val="0"/>
          <w:color w:val="auto"/>
          <w:kern w:val="21"/>
          <w:szCs w:val="21"/>
        </w:rPr>
        <w:fldChar w:fldCharType="end"/>
      </w:r>
    </w:p>
    <w:p w14:paraId="5DB223C1">
      <w:pPr>
        <w:pStyle w:val="5"/>
        <w:ind w:firstLine="0" w:firstLineChars="0"/>
        <w:rPr>
          <w:color w:val="auto"/>
        </w:rPr>
        <w:sectPr>
          <w:pgSz w:w="16838" w:h="11906" w:orient="landscape"/>
          <w:pgMar w:top="1531" w:right="1701" w:bottom="1531" w:left="1701" w:header="851" w:footer="851" w:gutter="0"/>
          <w:pgNumType w:fmt="decimal"/>
          <w:cols w:space="720" w:num="1"/>
          <w:docGrid w:linePitch="312" w:charSpace="0"/>
        </w:sectPr>
      </w:pPr>
    </w:p>
    <w:p w14:paraId="35C1C99B">
      <w:pPr>
        <w:rPr>
          <w:color w:val="auto"/>
        </w:rPr>
      </w:pPr>
    </w:p>
    <w:sectPr>
      <w:footerReference r:id="rId8" w:type="default"/>
      <w:pgSz w:w="11906" w:h="16838"/>
      <w:pgMar w:top="1701" w:right="1531" w:bottom="1701" w:left="1531" w:header="851" w:footer="851"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2010600030101010101"/>
    <w:charset w:val="B1"/>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Arial Unicode MS">
    <w:altName w:val="DejaVu Sans"/>
    <w:panose1 w:val="020B0604020202020204"/>
    <w:charset w:val="86"/>
    <w:family w:val="auto"/>
    <w:pitch w:val="default"/>
    <w:sig w:usb0="00000000" w:usb1="00000000" w:usb2="0000003F" w:usb3="00000000" w:csb0="603F01FF" w:csb1="FFFF0000"/>
  </w:font>
  <w:font w:name="方正仿宋_GBK">
    <w:panose1 w:val="02000000000000000000"/>
    <w:charset w:val="86"/>
    <w:family w:val="script"/>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Tms Rmn">
    <w:altName w:val="FreeSerif"/>
    <w:panose1 w:val="02020603040505020304"/>
    <w:charset w:val="00"/>
    <w:family w:val="roman"/>
    <w:pitch w:val="default"/>
    <w:sig w:usb0="00000000" w:usb1="00000000" w:usb2="00000000" w:usb3="00000000" w:csb0="00000001" w:csb1="00000000"/>
  </w:font>
  <w:font w:name="FreeSerif">
    <w:panose1 w:val="02020603050405020304"/>
    <w:charset w:val="00"/>
    <w:family w:val="auto"/>
    <w:pitch w:val="default"/>
    <w:sig w:usb0="E59FAFFF" w:usb1="C200FDFF" w:usb2="43501B29" w:usb3="04000043" w:csb0="600101FF" w:csb1="FFFF0000"/>
  </w:font>
  <w:font w:name="仿宋_GB2312">
    <w:altName w:val="方正仿宋_GBK"/>
    <w:panose1 w:val="02010609030101010101"/>
    <w:charset w:val="86"/>
    <w:family w:val="modern"/>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新宋体">
    <w:altName w:val="方正书宋_GBK"/>
    <w:panose1 w:val="02010609030101010101"/>
    <w:charset w:val="86"/>
    <w:family w:val="modern"/>
    <w:pitch w:val="default"/>
    <w:sig w:usb0="00000000" w:usb1="00000000" w:usb2="00000006" w:usb3="00000000" w:csb0="00040001" w:csb1="00000000"/>
  </w:font>
  <w:font w:name="Wingdings 2">
    <w:altName w:val="MathJax_Vector"/>
    <w:panose1 w:val="05020102010507070707"/>
    <w:charset w:val="02"/>
    <w:family w:val="roman"/>
    <w:pitch w:val="default"/>
    <w:sig w:usb0="00000000" w:usb1="00000000" w:usb2="00000000" w:usb3="00000000" w:csb0="80000000" w:csb1="00000000"/>
  </w:font>
  <w:font w:name="MathJax_Vector">
    <w:panose1 w:val="02000603000000000000"/>
    <w:charset w:val="00"/>
    <w:family w:val="auto"/>
    <w:pitch w:val="default"/>
    <w:sig w:usb0="00000001" w:usb1="00000020" w:usb2="00000000" w:usb3="00000000" w:csb0="00000001" w:csb1="00000000"/>
  </w:font>
  <w:font w:name="Helvetica">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 w:name="微软雅黑">
    <w:altName w:val="方正黑体_GBK"/>
    <w:panose1 w:val="020B0503020204020204"/>
    <w:charset w:val="86"/>
    <w:family w:val="auto"/>
    <w:pitch w:val="default"/>
    <w:sig w:usb0="00000000" w:usb1="00000000" w:usb2="00000016" w:usb3="00000000" w:csb0="0004001F"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D5750">
    <w:pPr>
      <w:pStyle w:val="19"/>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05A90">
    <w:pPr>
      <w:pStyle w:val="19"/>
      <w:framePr w:wrap="around" w:vAnchor="text" w:hAnchor="margin" w:xAlign="center" w:y="1"/>
      <w:rPr>
        <w:rStyle w:val="32"/>
      </w:rPr>
    </w:pPr>
    <w:r>
      <w:fldChar w:fldCharType="begin"/>
    </w:r>
    <w:r>
      <w:rPr>
        <w:rStyle w:val="32"/>
      </w:rPr>
      <w:instrText xml:space="preserve">PAGE  </w:instrText>
    </w:r>
    <w:r>
      <w:fldChar w:fldCharType="end"/>
    </w:r>
  </w:p>
  <w:p w14:paraId="1E753974">
    <w:pPr>
      <w:pStyle w:val="1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2EEB0">
    <w:pPr>
      <w:pStyle w:val="19"/>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87B9AB">
    <w:pPr>
      <w:pStyle w:val="19"/>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87BE1">
    <w:pPr>
      <w:pStyle w:val="19"/>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-52705</wp:posOffset>
              </wp:positionV>
              <wp:extent cx="528955" cy="1905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28955" cy="1905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37F27F">
                          <w:pPr>
                            <w:pStyle w:val="19"/>
                            <w:jc w:val="cen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4.15pt;height:15pt;width:41.65pt;mso-position-horizontal:center;mso-position-horizontal-relative:margin;z-index:251659264;mso-width-relative:page;mso-height-relative:page;" filled="f" stroked="f" coordsize="21600,21600" o:gfxdata="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6VsvdUAAAAFAQAADwAAAAAAAAABACAAAAAiAAAAZHJzL2Rvd25yZXYueG1sUEsB&#10;AhQAFAAAAAgAh07iQPe6WCQxAgAAVQQAAA4AAAAAAAAAAQAgAAAAJAEAAGRycy9lMm9Eb2MueG1s&#10;UEsFBgAAAAAGAAYAWQEAAMcFAAAAAA==&#10;">
              <v:fill on="f" focussize="0,0"/>
              <v:stroke on="f" weight="0.5pt"/>
              <v:imagedata o:title=""/>
              <o:lock v:ext="edit" aspectratio="f"/>
              <v:textbox inset="0mm,0mm,0mm,0mm">
                <w:txbxContent>
                  <w:p w14:paraId="0537F27F">
                    <w:pPr>
                      <w:pStyle w:val="19"/>
                      <w:jc w:val="center"/>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BDBA5">
    <w:pPr>
      <w:pStyle w:val="19"/>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-52705</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C3F4D4">
                          <w:pPr>
                            <w:pStyle w:val="19"/>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4.15pt;height:144pt;width:144pt;mso-position-horizontal:center;mso-position-horizontal-relative:margin;mso-wrap-style:none;z-index:251660288;mso-width-relative:page;mso-height-relative:page;" filled="f" stroked="f" coordsize="21600,21600" o:gfxdata="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EwyBeLVAAAABwEAAA8AAAAAAAAAAQAgAAAAIgAAAGRycy9kb3ducmV2LnhtbFBLAQIUABQA&#10;AAAIAIdO4kCvY9gwLAIAAFUEAAAOAAAAAAAAAAEAIAAAACQBAABkcnMvZTJvRG9jLnhtbFBLBQYA&#10;AAAABgAGAFkBAADCBQAAAAA=&#10;">
              <v:fill on="f" focussize="0,0"/>
              <v:stroke on="f" weight="0.5pt"/>
              <v:imagedata o:title=""/>
              <o:lock v:ext="edit" aspectratio="f"/>
              <v:textbox inset="0mm,0mm,0mm,0mm" style="mso-fit-shape-to-text:t;">
                <w:txbxContent>
                  <w:p w14:paraId="57C3F4D4">
                    <w:pPr>
                      <w:pStyle w:val="19"/>
                    </w:pPr>
                    <w:r>
                      <w:fldChar w:fldCharType="begin"/>
                    </w:r>
                    <w:r>
                      <w:instrText xml:space="preserve"> PAGE  \* MERGEFORMAT </w:instrText>
                    </w:r>
                    <w:r>
                      <w:fldChar w:fldCharType="separate"/>
                    </w:r>
                    <w:r>
                      <w:t>76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F7F617"/>
    <w:multiLevelType w:val="multilevel"/>
    <w:tmpl w:val="88F7F617"/>
    <w:lvl w:ilvl="0" w:tentative="0">
      <w:start w:val="1"/>
      <w:numFmt w:val="chineseCounting"/>
      <w:suff w:val="nothing"/>
      <w:lvlText w:val="%1、"/>
      <w:lvlJc w:val="center"/>
      <w:pPr>
        <w:tabs>
          <w:tab w:val="left" w:pos="0"/>
        </w:tabs>
        <w:ind w:left="0" w:leftChars="0" w:firstLine="0" w:firstLineChars="0"/>
      </w:pPr>
      <w:rPr>
        <w:rFonts w:hint="eastAsia" w:ascii="Times New Roman" w:hAnsi="Times New Roman" w:eastAsia="宋体" w:cs="宋体"/>
        <w:b/>
        <w:sz w:val="32"/>
      </w:rPr>
    </w:lvl>
    <w:lvl w:ilvl="1" w:tentative="0">
      <w:start w:val="1"/>
      <w:numFmt w:val="decimal"/>
      <w:lvlText w:val="%1.%2."/>
      <w:lvlJc w:val="left"/>
      <w:pPr>
        <w:ind w:left="850" w:hanging="453"/>
      </w:pPr>
      <w:rPr>
        <w:rFonts w:hint="eastAsia"/>
      </w:rPr>
    </w:lvl>
    <w:lvl w:ilvl="2" w:tentative="0">
      <w:start w:val="1"/>
      <w:numFmt w:val="decimal"/>
      <w:lvlText w:val="%1.%2.%3."/>
      <w:lvlJc w:val="left"/>
      <w:pPr>
        <w:ind w:left="1508" w:hanging="708"/>
      </w:pPr>
      <w:rPr>
        <w:rFonts w:hint="eastAsia"/>
      </w:rPr>
    </w:lvl>
    <w:lvl w:ilvl="3" w:tentative="0">
      <w:start w:val="1"/>
      <w:numFmt w:val="decimal"/>
      <w:lvlText w:val="%1.%2.%3.%4."/>
      <w:lvlJc w:val="left"/>
      <w:pPr>
        <w:ind w:left="2053" w:hanging="853"/>
      </w:pPr>
      <w:rPr>
        <w:rFonts w:hint="eastAsia"/>
      </w:rPr>
    </w:lvl>
    <w:lvl w:ilvl="4" w:tentative="0">
      <w:start w:val="1"/>
      <w:numFmt w:val="decimal"/>
      <w:lvlText w:val="%1.%2.%3.%4.%5."/>
      <w:lvlJc w:val="left"/>
      <w:pPr>
        <w:ind w:left="2495" w:hanging="895"/>
      </w:pPr>
      <w:rPr>
        <w:rFonts w:hint="eastAsia"/>
      </w:rPr>
    </w:lvl>
    <w:lvl w:ilvl="5" w:tentative="0">
      <w:start w:val="1"/>
      <w:numFmt w:val="decimal"/>
      <w:lvlText w:val="%1.%2.%3.%4.%5.%6."/>
      <w:lvlJc w:val="left"/>
      <w:pPr>
        <w:ind w:left="3136" w:hanging="1136"/>
      </w:pPr>
      <w:rPr>
        <w:rFonts w:hint="eastAsia"/>
      </w:rPr>
    </w:lvl>
    <w:lvl w:ilvl="6" w:tentative="0">
      <w:start w:val="1"/>
      <w:numFmt w:val="decimal"/>
      <w:lvlText w:val="%1.%2.%3.%4.%5.%6.%7."/>
      <w:lvlJc w:val="left"/>
      <w:pPr>
        <w:ind w:left="3673" w:hanging="1273"/>
      </w:pPr>
      <w:rPr>
        <w:rFonts w:hint="eastAsia"/>
      </w:rPr>
    </w:lvl>
    <w:lvl w:ilvl="7" w:tentative="0">
      <w:start w:val="1"/>
      <w:numFmt w:val="decimal"/>
      <w:lvlRestart w:val="1"/>
      <w:pStyle w:val="116"/>
      <w:isLgl/>
      <w:suff w:val="space"/>
      <w:lvlText w:val="表1-%8"/>
      <w:lvlJc w:val="center"/>
      <w:pPr>
        <w:tabs>
          <w:tab w:val="left" w:pos="0"/>
        </w:tabs>
        <w:ind w:left="0" w:leftChars="0" w:firstLine="0" w:firstLineChars="0"/>
      </w:pPr>
      <w:rPr>
        <w:rFonts w:hint="eastAsia" w:ascii="Times New Roman" w:hAnsi="Times New Roman" w:eastAsia="宋体" w:cs="Times New Roman"/>
        <w:b/>
        <w:bCs/>
        <w:sz w:val="21"/>
        <w:szCs w:val="21"/>
      </w:rPr>
    </w:lvl>
    <w:lvl w:ilvl="8" w:tentative="0">
      <w:start w:val="1"/>
      <w:numFmt w:val="decimal"/>
      <w:lvlText w:val="%1.%2.%3.%4.%5.%6.%7.%8.%9."/>
      <w:lvlJc w:val="left"/>
      <w:pPr>
        <w:ind w:left="4648" w:hanging="1448"/>
      </w:pPr>
      <w:rPr>
        <w:rFonts w:hint="eastAsia"/>
      </w:rPr>
    </w:lvl>
  </w:abstractNum>
  <w:abstractNum w:abstractNumId="1">
    <w:nsid w:val="8BFF9714"/>
    <w:multiLevelType w:val="singleLevel"/>
    <w:tmpl w:val="8BFF9714"/>
    <w:lvl w:ilvl="0" w:tentative="0">
      <w:start w:val="1"/>
      <w:numFmt w:val="decimal"/>
      <w:pStyle w:val="82"/>
      <w:suff w:val="nothing"/>
      <w:lvlText w:val="表1-%1　"/>
      <w:lvlJc w:val="left"/>
      <w:pPr>
        <w:ind w:left="0" w:firstLine="403"/>
      </w:pPr>
      <w:rPr>
        <w:rFonts w:hint="default"/>
      </w:rPr>
    </w:lvl>
  </w:abstractNum>
  <w:abstractNum w:abstractNumId="2">
    <w:nsid w:val="BFE27D4D"/>
    <w:multiLevelType w:val="singleLevel"/>
    <w:tmpl w:val="BFE27D4D"/>
    <w:lvl w:ilvl="0" w:tentative="0">
      <w:start w:val="4"/>
      <w:numFmt w:val="decimal"/>
      <w:suff w:val="nothing"/>
      <w:lvlText w:val="（%1）"/>
      <w:lvlJc w:val="left"/>
    </w:lvl>
  </w:abstractNum>
  <w:abstractNum w:abstractNumId="3">
    <w:nsid w:val="CB5384D7"/>
    <w:multiLevelType w:val="singleLevel"/>
    <w:tmpl w:val="CB5384D7"/>
    <w:lvl w:ilvl="0" w:tentative="0">
      <w:start w:val="1"/>
      <w:numFmt w:val="chineseCounting"/>
      <w:suff w:val="nothing"/>
      <w:lvlText w:val="%1、"/>
      <w:lvlJc w:val="left"/>
      <w:rPr>
        <w:rFonts w:hint="eastAsia"/>
      </w:rPr>
    </w:lvl>
  </w:abstractNum>
  <w:abstractNum w:abstractNumId="4">
    <w:nsid w:val="24E2BE70"/>
    <w:multiLevelType w:val="multilevel"/>
    <w:tmpl w:val="24E2BE70"/>
    <w:lvl w:ilvl="0" w:tentative="0">
      <w:start w:val="1"/>
      <w:numFmt w:val="decimal"/>
      <w:lvlText w:val="%1 "/>
      <w:lvlJc w:val="left"/>
      <w:pPr>
        <w:ind w:left="425" w:hanging="425"/>
      </w:pPr>
      <w:rPr>
        <w:rFonts w:hint="default" w:ascii="Times New Roman" w:hAnsi="Times New Roman" w:eastAsia="宋体" w:cs="宋体"/>
        <w:sz w:val="36"/>
        <w:szCs w:val="36"/>
      </w:rPr>
    </w:lvl>
    <w:lvl w:ilvl="1" w:tentative="0">
      <w:start w:val="1"/>
      <w:numFmt w:val="decimal"/>
      <w:lvlText w:val="%1.%2 "/>
      <w:lvlJc w:val="left"/>
      <w:pPr>
        <w:ind w:left="567" w:hanging="567"/>
      </w:pPr>
      <w:rPr>
        <w:rFonts w:hint="default" w:ascii="Times New Roman" w:hAnsi="Times New Roman" w:eastAsia="宋体" w:cs="宋体"/>
        <w:sz w:val="30"/>
        <w:szCs w:val="30"/>
      </w:rPr>
    </w:lvl>
    <w:lvl w:ilvl="2" w:tentative="0">
      <w:start w:val="1"/>
      <w:numFmt w:val="decimal"/>
      <w:lvlText w:val="%1.%2.%3 "/>
      <w:lvlJc w:val="left"/>
      <w:pPr>
        <w:ind w:left="709" w:hanging="709"/>
      </w:pPr>
      <w:rPr>
        <w:rFonts w:hint="default" w:ascii="Times New Roman" w:hAnsi="Times New Roman" w:eastAsia="宋体" w:cs="Times New Roman"/>
        <w:sz w:val="28"/>
        <w:szCs w:val="28"/>
      </w:rPr>
    </w:lvl>
    <w:lvl w:ilvl="3" w:tentative="0">
      <w:start w:val="1"/>
      <w:numFmt w:val="decimal"/>
      <w:pStyle w:val="4"/>
      <w:lvlText w:val="%1.%2.%3.%4 "/>
      <w:lvlJc w:val="left"/>
      <w:pPr>
        <w:ind w:left="850" w:hanging="850"/>
      </w:pPr>
      <w:rPr>
        <w:rFonts w:hint="default" w:ascii="Times New Roman" w:hAnsi="Times New Roman" w:eastAsia="宋体" w:cs="Times New Roman"/>
        <w:sz w:val="24"/>
        <w:szCs w:val="24"/>
      </w:rPr>
    </w:lvl>
    <w:lvl w:ilvl="4" w:tentative="0">
      <w:start w:val="1"/>
      <w:numFmt w:val="decimal"/>
      <w:lvlRestart w:val="2"/>
      <w:lvlText w:val="表%1.%2-%5 "/>
      <w:lvlJc w:val="left"/>
      <w:pPr>
        <w:ind w:left="991" w:hanging="991"/>
      </w:pPr>
      <w:rPr>
        <w:rFonts w:hint="default" w:ascii="Times New Roman" w:hAnsi="Times New Roman" w:eastAsia="宋体" w:cs="Times New Roman"/>
        <w:sz w:val="24"/>
        <w:szCs w:val="24"/>
      </w:rPr>
    </w:lvl>
    <w:lvl w:ilvl="5" w:tentative="0">
      <w:start w:val="1"/>
      <w:numFmt w:val="decimal"/>
      <w:lvlRestart w:val="2"/>
      <w:lvlText w:val="图%1.%2-%6 "/>
      <w:lvlJc w:val="left"/>
      <w:pPr>
        <w:ind w:left="1134" w:hanging="1134"/>
      </w:pPr>
      <w:rPr>
        <w:rFonts w:hint="default" w:ascii="Times New Roman" w:hAnsi="Times New Roman" w:eastAsia="宋体" w:cs="Times New Roman"/>
        <w:sz w:val="24"/>
        <w:szCs w:val="24"/>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5">
    <w:nsid w:val="2B3B8C58"/>
    <w:multiLevelType w:val="singleLevel"/>
    <w:tmpl w:val="2B3B8C58"/>
    <w:lvl w:ilvl="0" w:tentative="0">
      <w:start w:val="1"/>
      <w:numFmt w:val="decimal"/>
      <w:suff w:val="nothing"/>
      <w:lvlText w:val="（%1）"/>
      <w:lvlJc w:val="left"/>
    </w:lvl>
  </w:abstractNum>
  <w:abstractNum w:abstractNumId="6">
    <w:nsid w:val="3A40385E"/>
    <w:multiLevelType w:val="singleLevel"/>
    <w:tmpl w:val="3A40385E"/>
    <w:lvl w:ilvl="0" w:tentative="0">
      <w:start w:val="6"/>
      <w:numFmt w:val="chineseCounting"/>
      <w:suff w:val="nothing"/>
      <w:lvlText w:val="%1、"/>
      <w:lvlJc w:val="left"/>
      <w:rPr>
        <w:rFonts w:hint="eastAsia"/>
      </w:rPr>
    </w:lvl>
  </w:abstractNum>
  <w:num w:numId="1">
    <w:abstractNumId w:val="4"/>
  </w:num>
  <w:num w:numId="2">
    <w:abstractNumId w:val="1"/>
  </w:num>
  <w:num w:numId="3">
    <w:abstractNumId w:val="0"/>
  </w:num>
  <w:num w:numId="4">
    <w:abstractNumId w:val="2"/>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FmMjQ0OTFlMDRkMjgwZmQ4NGIxMGJkNWRkMzFlNDMifQ=="/>
  </w:docVars>
  <w:rsids>
    <w:rsidRoot w:val="5FD87E86"/>
    <w:rsid w:val="000118A6"/>
    <w:rsid w:val="0012680F"/>
    <w:rsid w:val="001A1E39"/>
    <w:rsid w:val="001A5680"/>
    <w:rsid w:val="00225378"/>
    <w:rsid w:val="002E1F6F"/>
    <w:rsid w:val="002F1B1B"/>
    <w:rsid w:val="004E2611"/>
    <w:rsid w:val="005319D6"/>
    <w:rsid w:val="00537C28"/>
    <w:rsid w:val="005D2854"/>
    <w:rsid w:val="0060410D"/>
    <w:rsid w:val="006140F3"/>
    <w:rsid w:val="0064263E"/>
    <w:rsid w:val="006836D3"/>
    <w:rsid w:val="00692780"/>
    <w:rsid w:val="006C5CAF"/>
    <w:rsid w:val="008F6EB2"/>
    <w:rsid w:val="009C2220"/>
    <w:rsid w:val="009E5D12"/>
    <w:rsid w:val="00B630B3"/>
    <w:rsid w:val="00B95CC7"/>
    <w:rsid w:val="00C0153A"/>
    <w:rsid w:val="00C77BB5"/>
    <w:rsid w:val="00C823C4"/>
    <w:rsid w:val="00C91C98"/>
    <w:rsid w:val="00CA613C"/>
    <w:rsid w:val="00D9637F"/>
    <w:rsid w:val="00E16FE2"/>
    <w:rsid w:val="00E36A59"/>
    <w:rsid w:val="00E91BBD"/>
    <w:rsid w:val="00EC7F25"/>
    <w:rsid w:val="00F43006"/>
    <w:rsid w:val="00F50CDF"/>
    <w:rsid w:val="00F92A87"/>
    <w:rsid w:val="00FD392F"/>
    <w:rsid w:val="010A6538"/>
    <w:rsid w:val="01100DED"/>
    <w:rsid w:val="01102EDD"/>
    <w:rsid w:val="01161381"/>
    <w:rsid w:val="0116604D"/>
    <w:rsid w:val="0141481B"/>
    <w:rsid w:val="014C6B51"/>
    <w:rsid w:val="01610122"/>
    <w:rsid w:val="01714809"/>
    <w:rsid w:val="017442FA"/>
    <w:rsid w:val="017446CD"/>
    <w:rsid w:val="019422A6"/>
    <w:rsid w:val="01A5017B"/>
    <w:rsid w:val="01B20418"/>
    <w:rsid w:val="01C626F2"/>
    <w:rsid w:val="01DA23AF"/>
    <w:rsid w:val="01DB6127"/>
    <w:rsid w:val="01F01BD2"/>
    <w:rsid w:val="02117D9A"/>
    <w:rsid w:val="021A09FD"/>
    <w:rsid w:val="021A27AB"/>
    <w:rsid w:val="022C0730"/>
    <w:rsid w:val="023716BE"/>
    <w:rsid w:val="0240648C"/>
    <w:rsid w:val="02510784"/>
    <w:rsid w:val="027919A1"/>
    <w:rsid w:val="027F761A"/>
    <w:rsid w:val="02807341"/>
    <w:rsid w:val="028916DF"/>
    <w:rsid w:val="028C11CF"/>
    <w:rsid w:val="02955076"/>
    <w:rsid w:val="02BA5D3C"/>
    <w:rsid w:val="02CD2907"/>
    <w:rsid w:val="02DD232F"/>
    <w:rsid w:val="02DF21EF"/>
    <w:rsid w:val="02E37041"/>
    <w:rsid w:val="02F54FC6"/>
    <w:rsid w:val="02FF1990"/>
    <w:rsid w:val="0321400D"/>
    <w:rsid w:val="032301B2"/>
    <w:rsid w:val="032D15FD"/>
    <w:rsid w:val="033F01C2"/>
    <w:rsid w:val="033F3315"/>
    <w:rsid w:val="0340598D"/>
    <w:rsid w:val="034C108A"/>
    <w:rsid w:val="034E4945"/>
    <w:rsid w:val="035E2F5E"/>
    <w:rsid w:val="036B055A"/>
    <w:rsid w:val="036F6B27"/>
    <w:rsid w:val="03710AF1"/>
    <w:rsid w:val="03775241"/>
    <w:rsid w:val="038D16A3"/>
    <w:rsid w:val="03906A9D"/>
    <w:rsid w:val="039C585E"/>
    <w:rsid w:val="03CA28C1"/>
    <w:rsid w:val="03CC21CB"/>
    <w:rsid w:val="03CD1A9F"/>
    <w:rsid w:val="03EC461B"/>
    <w:rsid w:val="03F6739B"/>
    <w:rsid w:val="03F82FC0"/>
    <w:rsid w:val="04067E50"/>
    <w:rsid w:val="0424263C"/>
    <w:rsid w:val="042519BD"/>
    <w:rsid w:val="043A42C4"/>
    <w:rsid w:val="04504BAA"/>
    <w:rsid w:val="04513F37"/>
    <w:rsid w:val="046C46B8"/>
    <w:rsid w:val="04791ED2"/>
    <w:rsid w:val="047C5A9F"/>
    <w:rsid w:val="047D1717"/>
    <w:rsid w:val="048D02BF"/>
    <w:rsid w:val="04926F71"/>
    <w:rsid w:val="04B35139"/>
    <w:rsid w:val="04BF3ADE"/>
    <w:rsid w:val="04CE5ACF"/>
    <w:rsid w:val="04D5688A"/>
    <w:rsid w:val="04D8694E"/>
    <w:rsid w:val="04DA26C6"/>
    <w:rsid w:val="04E70360"/>
    <w:rsid w:val="04EB62B0"/>
    <w:rsid w:val="04F459FA"/>
    <w:rsid w:val="04F5163F"/>
    <w:rsid w:val="04F75942"/>
    <w:rsid w:val="051F2539"/>
    <w:rsid w:val="05250EB7"/>
    <w:rsid w:val="054A78F5"/>
    <w:rsid w:val="05634CE7"/>
    <w:rsid w:val="05656433"/>
    <w:rsid w:val="057513FF"/>
    <w:rsid w:val="05772045"/>
    <w:rsid w:val="05834B0B"/>
    <w:rsid w:val="05856AD5"/>
    <w:rsid w:val="058F525E"/>
    <w:rsid w:val="05901006"/>
    <w:rsid w:val="05955B7C"/>
    <w:rsid w:val="059E1945"/>
    <w:rsid w:val="05A521A5"/>
    <w:rsid w:val="05AA653C"/>
    <w:rsid w:val="05C0366A"/>
    <w:rsid w:val="05CC3724"/>
    <w:rsid w:val="05EA6938"/>
    <w:rsid w:val="06173D21"/>
    <w:rsid w:val="06387C50"/>
    <w:rsid w:val="065B15E4"/>
    <w:rsid w:val="0661309E"/>
    <w:rsid w:val="06616D34"/>
    <w:rsid w:val="06710E08"/>
    <w:rsid w:val="067A1FB1"/>
    <w:rsid w:val="067B57E2"/>
    <w:rsid w:val="0686570A"/>
    <w:rsid w:val="068B03DF"/>
    <w:rsid w:val="068E3768"/>
    <w:rsid w:val="06900936"/>
    <w:rsid w:val="069114AA"/>
    <w:rsid w:val="069468A4"/>
    <w:rsid w:val="06B70F10"/>
    <w:rsid w:val="06B86512"/>
    <w:rsid w:val="06BA630B"/>
    <w:rsid w:val="06BB016A"/>
    <w:rsid w:val="06F253D7"/>
    <w:rsid w:val="06F53179"/>
    <w:rsid w:val="06F85085"/>
    <w:rsid w:val="06FA0DFD"/>
    <w:rsid w:val="07024CB6"/>
    <w:rsid w:val="071C2CAB"/>
    <w:rsid w:val="07233978"/>
    <w:rsid w:val="07293490"/>
    <w:rsid w:val="07397B77"/>
    <w:rsid w:val="075A4C39"/>
    <w:rsid w:val="076D15CF"/>
    <w:rsid w:val="077C1812"/>
    <w:rsid w:val="078862A7"/>
    <w:rsid w:val="07886409"/>
    <w:rsid w:val="07917CAA"/>
    <w:rsid w:val="07932368"/>
    <w:rsid w:val="07961BBB"/>
    <w:rsid w:val="07A0263C"/>
    <w:rsid w:val="07A35216"/>
    <w:rsid w:val="07B62F76"/>
    <w:rsid w:val="07C75183"/>
    <w:rsid w:val="07CC079B"/>
    <w:rsid w:val="07D04824"/>
    <w:rsid w:val="07D55EFD"/>
    <w:rsid w:val="07E31891"/>
    <w:rsid w:val="080C528C"/>
    <w:rsid w:val="081C4DA3"/>
    <w:rsid w:val="081D1247"/>
    <w:rsid w:val="0825512E"/>
    <w:rsid w:val="084E5EFE"/>
    <w:rsid w:val="08624EAC"/>
    <w:rsid w:val="086C5D2B"/>
    <w:rsid w:val="086C77D2"/>
    <w:rsid w:val="08737476"/>
    <w:rsid w:val="08AB6853"/>
    <w:rsid w:val="08BB45BC"/>
    <w:rsid w:val="08BC5B22"/>
    <w:rsid w:val="08C2594B"/>
    <w:rsid w:val="08C46ADC"/>
    <w:rsid w:val="08CC4A1B"/>
    <w:rsid w:val="08D15B8E"/>
    <w:rsid w:val="08FC0E5C"/>
    <w:rsid w:val="09172EF8"/>
    <w:rsid w:val="091A5787"/>
    <w:rsid w:val="092906CB"/>
    <w:rsid w:val="09413E70"/>
    <w:rsid w:val="09594501"/>
    <w:rsid w:val="095A5B83"/>
    <w:rsid w:val="09806D6E"/>
    <w:rsid w:val="09A6701A"/>
    <w:rsid w:val="09AF4121"/>
    <w:rsid w:val="09B74D83"/>
    <w:rsid w:val="09CB082F"/>
    <w:rsid w:val="09D30562"/>
    <w:rsid w:val="09D45935"/>
    <w:rsid w:val="09F47D86"/>
    <w:rsid w:val="0A125676"/>
    <w:rsid w:val="0A172A50"/>
    <w:rsid w:val="0A193C90"/>
    <w:rsid w:val="0A2112E1"/>
    <w:rsid w:val="0A382368"/>
    <w:rsid w:val="0A4725AB"/>
    <w:rsid w:val="0A84735B"/>
    <w:rsid w:val="0A8B6D9E"/>
    <w:rsid w:val="0A8D0149"/>
    <w:rsid w:val="0A943317"/>
    <w:rsid w:val="0AAA550E"/>
    <w:rsid w:val="0ACA0AE6"/>
    <w:rsid w:val="0AD876A7"/>
    <w:rsid w:val="0AED7922"/>
    <w:rsid w:val="0AFC15E8"/>
    <w:rsid w:val="0B0E7656"/>
    <w:rsid w:val="0B212DFC"/>
    <w:rsid w:val="0B244EE8"/>
    <w:rsid w:val="0B2529AE"/>
    <w:rsid w:val="0B304DED"/>
    <w:rsid w:val="0B3111EA"/>
    <w:rsid w:val="0B362B73"/>
    <w:rsid w:val="0B664089"/>
    <w:rsid w:val="0B670BE4"/>
    <w:rsid w:val="0BA8707A"/>
    <w:rsid w:val="0BB87FE9"/>
    <w:rsid w:val="0BC14CD6"/>
    <w:rsid w:val="0BDE2A9B"/>
    <w:rsid w:val="0BE5207C"/>
    <w:rsid w:val="0BF978D5"/>
    <w:rsid w:val="0BFC5617"/>
    <w:rsid w:val="0C3C5A14"/>
    <w:rsid w:val="0C3F7D74"/>
    <w:rsid w:val="0C483CD8"/>
    <w:rsid w:val="0C491A70"/>
    <w:rsid w:val="0C4F74F5"/>
    <w:rsid w:val="0C517711"/>
    <w:rsid w:val="0C540FAF"/>
    <w:rsid w:val="0C5745FC"/>
    <w:rsid w:val="0C594818"/>
    <w:rsid w:val="0C747355"/>
    <w:rsid w:val="0C89170E"/>
    <w:rsid w:val="0C8B187C"/>
    <w:rsid w:val="0C946488"/>
    <w:rsid w:val="0CAA0BCF"/>
    <w:rsid w:val="0CB63A18"/>
    <w:rsid w:val="0CCC48E0"/>
    <w:rsid w:val="0CCF3C66"/>
    <w:rsid w:val="0CD12600"/>
    <w:rsid w:val="0CE916F8"/>
    <w:rsid w:val="0CF22582"/>
    <w:rsid w:val="0CF307C8"/>
    <w:rsid w:val="0D043148"/>
    <w:rsid w:val="0D19047D"/>
    <w:rsid w:val="0D1D3A97"/>
    <w:rsid w:val="0D343977"/>
    <w:rsid w:val="0D3C216F"/>
    <w:rsid w:val="0D4B4161"/>
    <w:rsid w:val="0D4E21F9"/>
    <w:rsid w:val="0D4F31E3"/>
    <w:rsid w:val="0D50069F"/>
    <w:rsid w:val="0D7731A8"/>
    <w:rsid w:val="0D841421"/>
    <w:rsid w:val="0D892EDB"/>
    <w:rsid w:val="0D904269"/>
    <w:rsid w:val="0D907DC5"/>
    <w:rsid w:val="0DB00467"/>
    <w:rsid w:val="0DB53976"/>
    <w:rsid w:val="0DB86FA3"/>
    <w:rsid w:val="0DBA2CB4"/>
    <w:rsid w:val="0DC53E64"/>
    <w:rsid w:val="0DDC74AE"/>
    <w:rsid w:val="0DE13CE3"/>
    <w:rsid w:val="0DEB14A0"/>
    <w:rsid w:val="0DFE49A3"/>
    <w:rsid w:val="0E002DF5"/>
    <w:rsid w:val="0E032C8D"/>
    <w:rsid w:val="0E1C7049"/>
    <w:rsid w:val="0E1D7271"/>
    <w:rsid w:val="0E3634E0"/>
    <w:rsid w:val="0E43308A"/>
    <w:rsid w:val="0E497FFD"/>
    <w:rsid w:val="0E4B13B1"/>
    <w:rsid w:val="0E5B6625"/>
    <w:rsid w:val="0E603C3C"/>
    <w:rsid w:val="0E653000"/>
    <w:rsid w:val="0E690C0B"/>
    <w:rsid w:val="0E8C4A31"/>
    <w:rsid w:val="0E925DBF"/>
    <w:rsid w:val="0EA85425"/>
    <w:rsid w:val="0EB30052"/>
    <w:rsid w:val="0EB55FAD"/>
    <w:rsid w:val="0ECD1618"/>
    <w:rsid w:val="0ED62805"/>
    <w:rsid w:val="0EEA5BFB"/>
    <w:rsid w:val="0EEF3211"/>
    <w:rsid w:val="0F0C4DA8"/>
    <w:rsid w:val="0F1A7835"/>
    <w:rsid w:val="0F1F58A5"/>
    <w:rsid w:val="0F2904D1"/>
    <w:rsid w:val="0F2D772B"/>
    <w:rsid w:val="0F2D7E01"/>
    <w:rsid w:val="0F3020DD"/>
    <w:rsid w:val="0F376CE6"/>
    <w:rsid w:val="0F4C41C0"/>
    <w:rsid w:val="0F5A4B2F"/>
    <w:rsid w:val="0F5B4403"/>
    <w:rsid w:val="0F5C24F2"/>
    <w:rsid w:val="0F69708A"/>
    <w:rsid w:val="0F8D1466"/>
    <w:rsid w:val="0F987405"/>
    <w:rsid w:val="0FBC1346"/>
    <w:rsid w:val="0FBE0227"/>
    <w:rsid w:val="0FC9621F"/>
    <w:rsid w:val="0FCC498E"/>
    <w:rsid w:val="0FD3367C"/>
    <w:rsid w:val="0FDC5544"/>
    <w:rsid w:val="0FE268D2"/>
    <w:rsid w:val="0FEB4EEA"/>
    <w:rsid w:val="10036F74"/>
    <w:rsid w:val="10125409"/>
    <w:rsid w:val="101C1DE4"/>
    <w:rsid w:val="1031756B"/>
    <w:rsid w:val="10466E61"/>
    <w:rsid w:val="105B728F"/>
    <w:rsid w:val="10802373"/>
    <w:rsid w:val="10812216"/>
    <w:rsid w:val="108D506C"/>
    <w:rsid w:val="10C77FA2"/>
    <w:rsid w:val="10D421FF"/>
    <w:rsid w:val="10E11F27"/>
    <w:rsid w:val="10FB5E9E"/>
    <w:rsid w:val="10FE6461"/>
    <w:rsid w:val="11020F53"/>
    <w:rsid w:val="110F7B9B"/>
    <w:rsid w:val="11290C5D"/>
    <w:rsid w:val="1154599C"/>
    <w:rsid w:val="115D26B4"/>
    <w:rsid w:val="11621A79"/>
    <w:rsid w:val="11762537"/>
    <w:rsid w:val="118B5473"/>
    <w:rsid w:val="118D0F83"/>
    <w:rsid w:val="119C7285"/>
    <w:rsid w:val="11A560A2"/>
    <w:rsid w:val="11BC7BEB"/>
    <w:rsid w:val="11C75D80"/>
    <w:rsid w:val="11CB3AC2"/>
    <w:rsid w:val="11D5049D"/>
    <w:rsid w:val="11D96D2F"/>
    <w:rsid w:val="11EB6DF4"/>
    <w:rsid w:val="11F12DFD"/>
    <w:rsid w:val="12490E8B"/>
    <w:rsid w:val="12505591"/>
    <w:rsid w:val="125207BB"/>
    <w:rsid w:val="125C1A7D"/>
    <w:rsid w:val="12635AA8"/>
    <w:rsid w:val="12647A72"/>
    <w:rsid w:val="12662D3D"/>
    <w:rsid w:val="126637EB"/>
    <w:rsid w:val="12724255"/>
    <w:rsid w:val="128073C2"/>
    <w:rsid w:val="12816876"/>
    <w:rsid w:val="128A63ED"/>
    <w:rsid w:val="128C3251"/>
    <w:rsid w:val="12CA1FCB"/>
    <w:rsid w:val="12CE4E68"/>
    <w:rsid w:val="12E624A0"/>
    <w:rsid w:val="12EA441C"/>
    <w:rsid w:val="12F92A37"/>
    <w:rsid w:val="130059ED"/>
    <w:rsid w:val="13074FAD"/>
    <w:rsid w:val="130B65A9"/>
    <w:rsid w:val="130D347A"/>
    <w:rsid w:val="130F3E82"/>
    <w:rsid w:val="13165211"/>
    <w:rsid w:val="131C20FB"/>
    <w:rsid w:val="132966A1"/>
    <w:rsid w:val="132F62D2"/>
    <w:rsid w:val="1340228E"/>
    <w:rsid w:val="13420EB1"/>
    <w:rsid w:val="134D5AF3"/>
    <w:rsid w:val="136E2957"/>
    <w:rsid w:val="13853F6B"/>
    <w:rsid w:val="138630FC"/>
    <w:rsid w:val="13AD7482"/>
    <w:rsid w:val="13B2095E"/>
    <w:rsid w:val="13EE3A98"/>
    <w:rsid w:val="14131750"/>
    <w:rsid w:val="141E0463"/>
    <w:rsid w:val="142474B9"/>
    <w:rsid w:val="143F0797"/>
    <w:rsid w:val="14542808"/>
    <w:rsid w:val="147541B9"/>
    <w:rsid w:val="14795A57"/>
    <w:rsid w:val="147B758D"/>
    <w:rsid w:val="14902DA1"/>
    <w:rsid w:val="14914009"/>
    <w:rsid w:val="14956609"/>
    <w:rsid w:val="14BD0C50"/>
    <w:rsid w:val="14C60571"/>
    <w:rsid w:val="14C91E0F"/>
    <w:rsid w:val="14F0383F"/>
    <w:rsid w:val="15023C9F"/>
    <w:rsid w:val="15086DDB"/>
    <w:rsid w:val="150F3CC6"/>
    <w:rsid w:val="151439D2"/>
    <w:rsid w:val="153C6A85"/>
    <w:rsid w:val="154851A5"/>
    <w:rsid w:val="157D7E57"/>
    <w:rsid w:val="157E2D45"/>
    <w:rsid w:val="159E5049"/>
    <w:rsid w:val="15B11221"/>
    <w:rsid w:val="15B42F43"/>
    <w:rsid w:val="15CA1EBA"/>
    <w:rsid w:val="15D66FEB"/>
    <w:rsid w:val="15D8055B"/>
    <w:rsid w:val="15FE26CC"/>
    <w:rsid w:val="160752E5"/>
    <w:rsid w:val="16267FDD"/>
    <w:rsid w:val="16481115"/>
    <w:rsid w:val="16504AAA"/>
    <w:rsid w:val="165322D8"/>
    <w:rsid w:val="16582624"/>
    <w:rsid w:val="16640041"/>
    <w:rsid w:val="16657EF0"/>
    <w:rsid w:val="166B2E95"/>
    <w:rsid w:val="167069E6"/>
    <w:rsid w:val="1683498D"/>
    <w:rsid w:val="16872A06"/>
    <w:rsid w:val="169052DA"/>
    <w:rsid w:val="16B5271D"/>
    <w:rsid w:val="16C87773"/>
    <w:rsid w:val="16D25783"/>
    <w:rsid w:val="16E318AE"/>
    <w:rsid w:val="1703785A"/>
    <w:rsid w:val="17051824"/>
    <w:rsid w:val="170D063B"/>
    <w:rsid w:val="17127A9D"/>
    <w:rsid w:val="17174E4F"/>
    <w:rsid w:val="1732013F"/>
    <w:rsid w:val="173F7F67"/>
    <w:rsid w:val="174C540D"/>
    <w:rsid w:val="17550823"/>
    <w:rsid w:val="17681DB3"/>
    <w:rsid w:val="17820514"/>
    <w:rsid w:val="179F0160"/>
    <w:rsid w:val="17AE3C6A"/>
    <w:rsid w:val="17AE59FC"/>
    <w:rsid w:val="17CA685E"/>
    <w:rsid w:val="17D328DB"/>
    <w:rsid w:val="17D82A95"/>
    <w:rsid w:val="17E20348"/>
    <w:rsid w:val="17F77304"/>
    <w:rsid w:val="18084DE2"/>
    <w:rsid w:val="181150D2"/>
    <w:rsid w:val="18147845"/>
    <w:rsid w:val="18363C5F"/>
    <w:rsid w:val="18381785"/>
    <w:rsid w:val="18461C09"/>
    <w:rsid w:val="184C57E9"/>
    <w:rsid w:val="18550589"/>
    <w:rsid w:val="18552337"/>
    <w:rsid w:val="185D2F9A"/>
    <w:rsid w:val="18711A77"/>
    <w:rsid w:val="18932590"/>
    <w:rsid w:val="189866C8"/>
    <w:rsid w:val="189D02AC"/>
    <w:rsid w:val="18A94431"/>
    <w:rsid w:val="18B90B18"/>
    <w:rsid w:val="18BF4EE5"/>
    <w:rsid w:val="18D6100E"/>
    <w:rsid w:val="18E32AAE"/>
    <w:rsid w:val="18F64569"/>
    <w:rsid w:val="18FA4C8D"/>
    <w:rsid w:val="18FE29CF"/>
    <w:rsid w:val="19047787"/>
    <w:rsid w:val="190B50EC"/>
    <w:rsid w:val="191952E8"/>
    <w:rsid w:val="191E07B4"/>
    <w:rsid w:val="192E75F5"/>
    <w:rsid w:val="19326B82"/>
    <w:rsid w:val="19450938"/>
    <w:rsid w:val="19505997"/>
    <w:rsid w:val="195D2F10"/>
    <w:rsid w:val="196613E1"/>
    <w:rsid w:val="196A785A"/>
    <w:rsid w:val="197E58BE"/>
    <w:rsid w:val="199724DC"/>
    <w:rsid w:val="199A59BC"/>
    <w:rsid w:val="19A5788C"/>
    <w:rsid w:val="19DB686C"/>
    <w:rsid w:val="19DD0836"/>
    <w:rsid w:val="1A1A7644"/>
    <w:rsid w:val="1A206975"/>
    <w:rsid w:val="1A53412E"/>
    <w:rsid w:val="1A560079"/>
    <w:rsid w:val="1A5B79AD"/>
    <w:rsid w:val="1A606D71"/>
    <w:rsid w:val="1A665D54"/>
    <w:rsid w:val="1A696F97"/>
    <w:rsid w:val="1A7F4784"/>
    <w:rsid w:val="1A816C6F"/>
    <w:rsid w:val="1A9B5FFB"/>
    <w:rsid w:val="1A9D45F0"/>
    <w:rsid w:val="1A9F5AEC"/>
    <w:rsid w:val="1AA50C28"/>
    <w:rsid w:val="1AAC1FB7"/>
    <w:rsid w:val="1AAC66D5"/>
    <w:rsid w:val="1AB71087"/>
    <w:rsid w:val="1AD82D2F"/>
    <w:rsid w:val="1AE87493"/>
    <w:rsid w:val="1AF000F5"/>
    <w:rsid w:val="1AF058B0"/>
    <w:rsid w:val="1AF35E37"/>
    <w:rsid w:val="1AF36857"/>
    <w:rsid w:val="1AF37BE5"/>
    <w:rsid w:val="1B0561F9"/>
    <w:rsid w:val="1B063DBD"/>
    <w:rsid w:val="1B06750C"/>
    <w:rsid w:val="1B1177A6"/>
    <w:rsid w:val="1B1262BE"/>
    <w:rsid w:val="1B1C6F45"/>
    <w:rsid w:val="1B3B1CB8"/>
    <w:rsid w:val="1B572A50"/>
    <w:rsid w:val="1B6D1746"/>
    <w:rsid w:val="1B6F7643"/>
    <w:rsid w:val="1B760182"/>
    <w:rsid w:val="1B882A24"/>
    <w:rsid w:val="1B8B6070"/>
    <w:rsid w:val="1B9118D8"/>
    <w:rsid w:val="1BCC2910"/>
    <w:rsid w:val="1BE0460E"/>
    <w:rsid w:val="1BE1722A"/>
    <w:rsid w:val="1C00080C"/>
    <w:rsid w:val="1C027F53"/>
    <w:rsid w:val="1C113C73"/>
    <w:rsid w:val="1C197B20"/>
    <w:rsid w:val="1C2A138C"/>
    <w:rsid w:val="1C4C75BF"/>
    <w:rsid w:val="1C4F60A6"/>
    <w:rsid w:val="1C8E0291"/>
    <w:rsid w:val="1C9D0939"/>
    <w:rsid w:val="1CA05B4B"/>
    <w:rsid w:val="1CA613B3"/>
    <w:rsid w:val="1CAE4C96"/>
    <w:rsid w:val="1CB735C0"/>
    <w:rsid w:val="1CD852E5"/>
    <w:rsid w:val="1CEB7241"/>
    <w:rsid w:val="1CF1538A"/>
    <w:rsid w:val="1CF540E9"/>
    <w:rsid w:val="1D0600A4"/>
    <w:rsid w:val="1D0D1432"/>
    <w:rsid w:val="1D1578C6"/>
    <w:rsid w:val="1D164B2F"/>
    <w:rsid w:val="1D175E0D"/>
    <w:rsid w:val="1D4666F2"/>
    <w:rsid w:val="1D517704"/>
    <w:rsid w:val="1D5232E9"/>
    <w:rsid w:val="1D5803D0"/>
    <w:rsid w:val="1D5E52E4"/>
    <w:rsid w:val="1D6152DA"/>
    <w:rsid w:val="1D6C2C6F"/>
    <w:rsid w:val="1D6E17A5"/>
    <w:rsid w:val="1D7A5A02"/>
    <w:rsid w:val="1D80785C"/>
    <w:rsid w:val="1D8316F5"/>
    <w:rsid w:val="1D8C6DFA"/>
    <w:rsid w:val="1D95178A"/>
    <w:rsid w:val="1D995324"/>
    <w:rsid w:val="1D9B4C90"/>
    <w:rsid w:val="1D9C3F6B"/>
    <w:rsid w:val="1D9C4564"/>
    <w:rsid w:val="1D9E208B"/>
    <w:rsid w:val="1DAA4ED3"/>
    <w:rsid w:val="1DB55626"/>
    <w:rsid w:val="1DC31AF1"/>
    <w:rsid w:val="1DC8425E"/>
    <w:rsid w:val="1DC97EE6"/>
    <w:rsid w:val="1DD1568E"/>
    <w:rsid w:val="1DDE3571"/>
    <w:rsid w:val="1DEC54EC"/>
    <w:rsid w:val="1DED1FB5"/>
    <w:rsid w:val="1DF83E91"/>
    <w:rsid w:val="1DFC5003"/>
    <w:rsid w:val="1E0345E3"/>
    <w:rsid w:val="1E067C30"/>
    <w:rsid w:val="1E1F6BB6"/>
    <w:rsid w:val="1E210886"/>
    <w:rsid w:val="1E224141"/>
    <w:rsid w:val="1E266884"/>
    <w:rsid w:val="1E37428D"/>
    <w:rsid w:val="1E48649A"/>
    <w:rsid w:val="1E4C5F8A"/>
    <w:rsid w:val="1E4D0381"/>
    <w:rsid w:val="1E6C4DFA"/>
    <w:rsid w:val="1E952326"/>
    <w:rsid w:val="1EA449B1"/>
    <w:rsid w:val="1EBE4E7B"/>
    <w:rsid w:val="1EC958A3"/>
    <w:rsid w:val="1EE2069D"/>
    <w:rsid w:val="1F264A2D"/>
    <w:rsid w:val="1F2760B0"/>
    <w:rsid w:val="1F2F587E"/>
    <w:rsid w:val="1F3F164B"/>
    <w:rsid w:val="1F42113B"/>
    <w:rsid w:val="1F4B23BD"/>
    <w:rsid w:val="1F4F1BB6"/>
    <w:rsid w:val="1F520AA7"/>
    <w:rsid w:val="1F5844BB"/>
    <w:rsid w:val="1F5937C6"/>
    <w:rsid w:val="1F680BA2"/>
    <w:rsid w:val="1F6D2F17"/>
    <w:rsid w:val="1F7E769F"/>
    <w:rsid w:val="1F8110BF"/>
    <w:rsid w:val="1F95570F"/>
    <w:rsid w:val="1FA603BC"/>
    <w:rsid w:val="1FB52896"/>
    <w:rsid w:val="1FBB1431"/>
    <w:rsid w:val="1FBB33C8"/>
    <w:rsid w:val="1FCF6E73"/>
    <w:rsid w:val="1FEA5A5B"/>
    <w:rsid w:val="1FF12436"/>
    <w:rsid w:val="2004225C"/>
    <w:rsid w:val="200D34F7"/>
    <w:rsid w:val="20237570"/>
    <w:rsid w:val="202B1BD0"/>
    <w:rsid w:val="202F16C0"/>
    <w:rsid w:val="20337402"/>
    <w:rsid w:val="204C2272"/>
    <w:rsid w:val="20515ADA"/>
    <w:rsid w:val="20557672"/>
    <w:rsid w:val="205B0707"/>
    <w:rsid w:val="206A7390"/>
    <w:rsid w:val="2079293B"/>
    <w:rsid w:val="207B66B3"/>
    <w:rsid w:val="20857532"/>
    <w:rsid w:val="208C0D8C"/>
    <w:rsid w:val="20A2189C"/>
    <w:rsid w:val="20A57BD4"/>
    <w:rsid w:val="20AA343C"/>
    <w:rsid w:val="20AC38DE"/>
    <w:rsid w:val="20D504B9"/>
    <w:rsid w:val="20E26732"/>
    <w:rsid w:val="20E34258"/>
    <w:rsid w:val="20E71F9A"/>
    <w:rsid w:val="20F841A8"/>
    <w:rsid w:val="20FF72E4"/>
    <w:rsid w:val="210466A8"/>
    <w:rsid w:val="21155162"/>
    <w:rsid w:val="214011FC"/>
    <w:rsid w:val="21442F49"/>
    <w:rsid w:val="214B7880"/>
    <w:rsid w:val="21843817"/>
    <w:rsid w:val="21863561"/>
    <w:rsid w:val="218872DA"/>
    <w:rsid w:val="219043E0"/>
    <w:rsid w:val="219A0DBB"/>
    <w:rsid w:val="21A659B2"/>
    <w:rsid w:val="21C1459A"/>
    <w:rsid w:val="21CD1190"/>
    <w:rsid w:val="21D3730A"/>
    <w:rsid w:val="21D62C50"/>
    <w:rsid w:val="21F20ED3"/>
    <w:rsid w:val="220A5F40"/>
    <w:rsid w:val="220B1CB9"/>
    <w:rsid w:val="22124DF5"/>
    <w:rsid w:val="221300CD"/>
    <w:rsid w:val="221E17DE"/>
    <w:rsid w:val="2235500A"/>
    <w:rsid w:val="22432FD4"/>
    <w:rsid w:val="229413DF"/>
    <w:rsid w:val="229D6610"/>
    <w:rsid w:val="22C02AA3"/>
    <w:rsid w:val="22CE51C0"/>
    <w:rsid w:val="22D401B1"/>
    <w:rsid w:val="22D7265F"/>
    <w:rsid w:val="22ED777C"/>
    <w:rsid w:val="22F5590A"/>
    <w:rsid w:val="230E1A60"/>
    <w:rsid w:val="23100023"/>
    <w:rsid w:val="23103A2A"/>
    <w:rsid w:val="23130100"/>
    <w:rsid w:val="231B23CF"/>
    <w:rsid w:val="23212A2B"/>
    <w:rsid w:val="23307C29"/>
    <w:rsid w:val="233479B6"/>
    <w:rsid w:val="234C67A9"/>
    <w:rsid w:val="23754D76"/>
    <w:rsid w:val="237D2742"/>
    <w:rsid w:val="237F470C"/>
    <w:rsid w:val="23902475"/>
    <w:rsid w:val="23906918"/>
    <w:rsid w:val="23B75C54"/>
    <w:rsid w:val="23BA1BE8"/>
    <w:rsid w:val="23BC0E86"/>
    <w:rsid w:val="23D22A8E"/>
    <w:rsid w:val="23E629DD"/>
    <w:rsid w:val="23EB6880"/>
    <w:rsid w:val="23F46EA8"/>
    <w:rsid w:val="2406098A"/>
    <w:rsid w:val="240F3CE2"/>
    <w:rsid w:val="24275D17"/>
    <w:rsid w:val="2432256A"/>
    <w:rsid w:val="24342862"/>
    <w:rsid w:val="24350515"/>
    <w:rsid w:val="24374FE7"/>
    <w:rsid w:val="243F5C4A"/>
    <w:rsid w:val="2443398C"/>
    <w:rsid w:val="244F0582"/>
    <w:rsid w:val="245973D0"/>
    <w:rsid w:val="245C4A4D"/>
    <w:rsid w:val="246102B6"/>
    <w:rsid w:val="24906144"/>
    <w:rsid w:val="24A77F65"/>
    <w:rsid w:val="24B35C75"/>
    <w:rsid w:val="24B82363"/>
    <w:rsid w:val="24B86128"/>
    <w:rsid w:val="24C11276"/>
    <w:rsid w:val="24D22F21"/>
    <w:rsid w:val="24ED38F7"/>
    <w:rsid w:val="24FD3B3B"/>
    <w:rsid w:val="25002214"/>
    <w:rsid w:val="25010D91"/>
    <w:rsid w:val="250110FD"/>
    <w:rsid w:val="250E4686"/>
    <w:rsid w:val="25315EDA"/>
    <w:rsid w:val="25357778"/>
    <w:rsid w:val="254362AF"/>
    <w:rsid w:val="255C003A"/>
    <w:rsid w:val="256C0CC0"/>
    <w:rsid w:val="25706A02"/>
    <w:rsid w:val="25741A11"/>
    <w:rsid w:val="257F6C45"/>
    <w:rsid w:val="258126A5"/>
    <w:rsid w:val="2584425C"/>
    <w:rsid w:val="258C1362"/>
    <w:rsid w:val="25902DB7"/>
    <w:rsid w:val="2593624D"/>
    <w:rsid w:val="259C15A5"/>
    <w:rsid w:val="25A033C0"/>
    <w:rsid w:val="25A14E0E"/>
    <w:rsid w:val="25A77F4A"/>
    <w:rsid w:val="25BE7872"/>
    <w:rsid w:val="25C02779"/>
    <w:rsid w:val="25CB331D"/>
    <w:rsid w:val="25CD5F91"/>
    <w:rsid w:val="25E1520A"/>
    <w:rsid w:val="25F14416"/>
    <w:rsid w:val="25F5515A"/>
    <w:rsid w:val="25FE1783"/>
    <w:rsid w:val="25FF2CBA"/>
    <w:rsid w:val="261D2079"/>
    <w:rsid w:val="261D2C2E"/>
    <w:rsid w:val="262B0B7B"/>
    <w:rsid w:val="263E440B"/>
    <w:rsid w:val="263F63D5"/>
    <w:rsid w:val="26413D08"/>
    <w:rsid w:val="264F4FDA"/>
    <w:rsid w:val="265D741A"/>
    <w:rsid w:val="266A3452"/>
    <w:rsid w:val="26924756"/>
    <w:rsid w:val="26961EDB"/>
    <w:rsid w:val="26986C56"/>
    <w:rsid w:val="26B7240F"/>
    <w:rsid w:val="26B92ED0"/>
    <w:rsid w:val="26BB5A5B"/>
    <w:rsid w:val="26BD7FAC"/>
    <w:rsid w:val="26C2212C"/>
    <w:rsid w:val="26C72429"/>
    <w:rsid w:val="26CB2994"/>
    <w:rsid w:val="26DD00C8"/>
    <w:rsid w:val="26E21F9D"/>
    <w:rsid w:val="26E52AD8"/>
    <w:rsid w:val="270218DC"/>
    <w:rsid w:val="2714160F"/>
    <w:rsid w:val="272D22D9"/>
    <w:rsid w:val="2734580E"/>
    <w:rsid w:val="273477E1"/>
    <w:rsid w:val="274C2B57"/>
    <w:rsid w:val="27541717"/>
    <w:rsid w:val="27542056"/>
    <w:rsid w:val="275A2614"/>
    <w:rsid w:val="27736336"/>
    <w:rsid w:val="27767BD4"/>
    <w:rsid w:val="277A5916"/>
    <w:rsid w:val="277E2D39"/>
    <w:rsid w:val="278247CB"/>
    <w:rsid w:val="278E4F1E"/>
    <w:rsid w:val="27906EE8"/>
    <w:rsid w:val="27910EB2"/>
    <w:rsid w:val="279544FE"/>
    <w:rsid w:val="279664C8"/>
    <w:rsid w:val="279E140F"/>
    <w:rsid w:val="27A504B9"/>
    <w:rsid w:val="27A612D3"/>
    <w:rsid w:val="27B54BA0"/>
    <w:rsid w:val="27BC453B"/>
    <w:rsid w:val="27C70430"/>
    <w:rsid w:val="27D76283"/>
    <w:rsid w:val="27D843EB"/>
    <w:rsid w:val="27DF39CB"/>
    <w:rsid w:val="27E40FE2"/>
    <w:rsid w:val="27E67E69"/>
    <w:rsid w:val="27F54F9D"/>
    <w:rsid w:val="280D678A"/>
    <w:rsid w:val="281C077C"/>
    <w:rsid w:val="28293D1C"/>
    <w:rsid w:val="28341F69"/>
    <w:rsid w:val="283830DC"/>
    <w:rsid w:val="284321AC"/>
    <w:rsid w:val="284F7C7B"/>
    <w:rsid w:val="285B2715"/>
    <w:rsid w:val="286F2FA1"/>
    <w:rsid w:val="287A4275"/>
    <w:rsid w:val="287E1436"/>
    <w:rsid w:val="288602EB"/>
    <w:rsid w:val="289528A1"/>
    <w:rsid w:val="28976054"/>
    <w:rsid w:val="2897693C"/>
    <w:rsid w:val="289E3292"/>
    <w:rsid w:val="289E5635"/>
    <w:rsid w:val="28A644E9"/>
    <w:rsid w:val="28AA3FD9"/>
    <w:rsid w:val="28B05368"/>
    <w:rsid w:val="28B9246E"/>
    <w:rsid w:val="28BB780E"/>
    <w:rsid w:val="28C80903"/>
    <w:rsid w:val="28CD081B"/>
    <w:rsid w:val="28D63020"/>
    <w:rsid w:val="28DB23E5"/>
    <w:rsid w:val="28DB6370"/>
    <w:rsid w:val="28ED20EA"/>
    <w:rsid w:val="28F17E5A"/>
    <w:rsid w:val="28F45255"/>
    <w:rsid w:val="28F72F97"/>
    <w:rsid w:val="28F811E9"/>
    <w:rsid w:val="28F96D0F"/>
    <w:rsid w:val="291252A5"/>
    <w:rsid w:val="292024ED"/>
    <w:rsid w:val="29273B7F"/>
    <w:rsid w:val="29345F99"/>
    <w:rsid w:val="29355A84"/>
    <w:rsid w:val="2936702E"/>
    <w:rsid w:val="294C5FC6"/>
    <w:rsid w:val="295B4171"/>
    <w:rsid w:val="29986528"/>
    <w:rsid w:val="29996E7D"/>
    <w:rsid w:val="29C01E46"/>
    <w:rsid w:val="29D0195B"/>
    <w:rsid w:val="29D532D8"/>
    <w:rsid w:val="29E028C3"/>
    <w:rsid w:val="29F3375E"/>
    <w:rsid w:val="2A0D18E3"/>
    <w:rsid w:val="2A1A6F3D"/>
    <w:rsid w:val="2A247DBB"/>
    <w:rsid w:val="2A2C4B8E"/>
    <w:rsid w:val="2A2E5413"/>
    <w:rsid w:val="2A3049B2"/>
    <w:rsid w:val="2A376DB0"/>
    <w:rsid w:val="2A377AEF"/>
    <w:rsid w:val="2A44045E"/>
    <w:rsid w:val="2A4C4377"/>
    <w:rsid w:val="2A790107"/>
    <w:rsid w:val="2A856BE0"/>
    <w:rsid w:val="2A8E16D9"/>
    <w:rsid w:val="2A9343D5"/>
    <w:rsid w:val="2A9F3AC3"/>
    <w:rsid w:val="2A9F7442"/>
    <w:rsid w:val="2ACE4132"/>
    <w:rsid w:val="2AD254D3"/>
    <w:rsid w:val="2AD43590"/>
    <w:rsid w:val="2ADE6D9C"/>
    <w:rsid w:val="2AEF3F25"/>
    <w:rsid w:val="2B011EAB"/>
    <w:rsid w:val="2B1225A2"/>
    <w:rsid w:val="2B163BA8"/>
    <w:rsid w:val="2B1B2F6C"/>
    <w:rsid w:val="2B1E480B"/>
    <w:rsid w:val="2B27423B"/>
    <w:rsid w:val="2B313B53"/>
    <w:rsid w:val="2B331202"/>
    <w:rsid w:val="2B350611"/>
    <w:rsid w:val="2B354832"/>
    <w:rsid w:val="2B456FC2"/>
    <w:rsid w:val="2B473D61"/>
    <w:rsid w:val="2B4E46A4"/>
    <w:rsid w:val="2B552424"/>
    <w:rsid w:val="2B7060E0"/>
    <w:rsid w:val="2B7E09BD"/>
    <w:rsid w:val="2B7E34FB"/>
    <w:rsid w:val="2B8054C5"/>
    <w:rsid w:val="2B822FEC"/>
    <w:rsid w:val="2B836D64"/>
    <w:rsid w:val="2B852ADC"/>
    <w:rsid w:val="2B9E5140"/>
    <w:rsid w:val="2BAA0794"/>
    <w:rsid w:val="2BC44ED9"/>
    <w:rsid w:val="2BCC4267"/>
    <w:rsid w:val="2BF043F9"/>
    <w:rsid w:val="2C077995"/>
    <w:rsid w:val="2C17634B"/>
    <w:rsid w:val="2C22657D"/>
    <w:rsid w:val="2C2B5641"/>
    <w:rsid w:val="2C3D5164"/>
    <w:rsid w:val="2C3D6F12"/>
    <w:rsid w:val="2C45082A"/>
    <w:rsid w:val="2C463234"/>
    <w:rsid w:val="2C4B2AA0"/>
    <w:rsid w:val="2C55425C"/>
    <w:rsid w:val="2C575892"/>
    <w:rsid w:val="2C602C01"/>
    <w:rsid w:val="2C63728C"/>
    <w:rsid w:val="2C6C5774"/>
    <w:rsid w:val="2C70553A"/>
    <w:rsid w:val="2C7E271D"/>
    <w:rsid w:val="2CA803F5"/>
    <w:rsid w:val="2CA945A8"/>
    <w:rsid w:val="2CB52E8B"/>
    <w:rsid w:val="2CBA4A07"/>
    <w:rsid w:val="2CC338BC"/>
    <w:rsid w:val="2CC43190"/>
    <w:rsid w:val="2CC476A5"/>
    <w:rsid w:val="2CCF1FA2"/>
    <w:rsid w:val="2CD45AC9"/>
    <w:rsid w:val="2CDA29B3"/>
    <w:rsid w:val="2CDC497D"/>
    <w:rsid w:val="2CFB12A7"/>
    <w:rsid w:val="2CFC3539"/>
    <w:rsid w:val="2D06199A"/>
    <w:rsid w:val="2D0A13DA"/>
    <w:rsid w:val="2D2325AC"/>
    <w:rsid w:val="2D454806"/>
    <w:rsid w:val="2D6A05F9"/>
    <w:rsid w:val="2D834DF9"/>
    <w:rsid w:val="2D8D3ECA"/>
    <w:rsid w:val="2D9B2143"/>
    <w:rsid w:val="2DA60F3A"/>
    <w:rsid w:val="2DB43204"/>
    <w:rsid w:val="2DB90642"/>
    <w:rsid w:val="2DCA0E43"/>
    <w:rsid w:val="2DDF2977"/>
    <w:rsid w:val="2DEC299E"/>
    <w:rsid w:val="2E150147"/>
    <w:rsid w:val="2E1A39AF"/>
    <w:rsid w:val="2E312AA7"/>
    <w:rsid w:val="2E352597"/>
    <w:rsid w:val="2E3F3416"/>
    <w:rsid w:val="2E4375F4"/>
    <w:rsid w:val="2E4C5A62"/>
    <w:rsid w:val="2E565881"/>
    <w:rsid w:val="2E6115DE"/>
    <w:rsid w:val="2E6A121C"/>
    <w:rsid w:val="2E6A2D37"/>
    <w:rsid w:val="2E701821"/>
    <w:rsid w:val="2E894691"/>
    <w:rsid w:val="2E9313CD"/>
    <w:rsid w:val="2EC36B83"/>
    <w:rsid w:val="2ED60E9D"/>
    <w:rsid w:val="2EE267B1"/>
    <w:rsid w:val="2EFF2EDF"/>
    <w:rsid w:val="2F077651"/>
    <w:rsid w:val="2F0D5F48"/>
    <w:rsid w:val="2F166679"/>
    <w:rsid w:val="2F2B74F6"/>
    <w:rsid w:val="2F2D203F"/>
    <w:rsid w:val="2F300FB0"/>
    <w:rsid w:val="2F320885"/>
    <w:rsid w:val="2F3955ED"/>
    <w:rsid w:val="2F3F0E6B"/>
    <w:rsid w:val="2F4F651E"/>
    <w:rsid w:val="2F5838AD"/>
    <w:rsid w:val="2F7F05A9"/>
    <w:rsid w:val="2FA009F8"/>
    <w:rsid w:val="2FA5374C"/>
    <w:rsid w:val="2FA8676C"/>
    <w:rsid w:val="2FAF6379"/>
    <w:rsid w:val="2FB0531E"/>
    <w:rsid w:val="2FCC2A87"/>
    <w:rsid w:val="2FDA733C"/>
    <w:rsid w:val="2FEC3129"/>
    <w:rsid w:val="301B57BD"/>
    <w:rsid w:val="303643A5"/>
    <w:rsid w:val="30372F27"/>
    <w:rsid w:val="304765B2"/>
    <w:rsid w:val="30515682"/>
    <w:rsid w:val="305F38FB"/>
    <w:rsid w:val="30706368"/>
    <w:rsid w:val="30736D2E"/>
    <w:rsid w:val="307E174C"/>
    <w:rsid w:val="30850E88"/>
    <w:rsid w:val="30970232"/>
    <w:rsid w:val="309B06AC"/>
    <w:rsid w:val="309C1849"/>
    <w:rsid w:val="309C1A0D"/>
    <w:rsid w:val="30C35438"/>
    <w:rsid w:val="30DD22D8"/>
    <w:rsid w:val="30E164F9"/>
    <w:rsid w:val="30E94989"/>
    <w:rsid w:val="30ED2830"/>
    <w:rsid w:val="310C40C4"/>
    <w:rsid w:val="3111714B"/>
    <w:rsid w:val="31326631"/>
    <w:rsid w:val="314407FC"/>
    <w:rsid w:val="315661F1"/>
    <w:rsid w:val="3163741B"/>
    <w:rsid w:val="31772EC7"/>
    <w:rsid w:val="317C672F"/>
    <w:rsid w:val="317E0299"/>
    <w:rsid w:val="317F1D7B"/>
    <w:rsid w:val="318A44FC"/>
    <w:rsid w:val="318F2126"/>
    <w:rsid w:val="319F5B6E"/>
    <w:rsid w:val="31A022B0"/>
    <w:rsid w:val="31BA266A"/>
    <w:rsid w:val="31C0486E"/>
    <w:rsid w:val="31DC4F6F"/>
    <w:rsid w:val="31E51A96"/>
    <w:rsid w:val="31F14A11"/>
    <w:rsid w:val="31F74F57"/>
    <w:rsid w:val="31F77B64"/>
    <w:rsid w:val="31FE0EF2"/>
    <w:rsid w:val="320D55D9"/>
    <w:rsid w:val="320F1351"/>
    <w:rsid w:val="32136CF0"/>
    <w:rsid w:val="321666F9"/>
    <w:rsid w:val="321B7CF6"/>
    <w:rsid w:val="322C0750"/>
    <w:rsid w:val="32313FA5"/>
    <w:rsid w:val="324B12DD"/>
    <w:rsid w:val="326351F9"/>
    <w:rsid w:val="32734AB3"/>
    <w:rsid w:val="32852EE6"/>
    <w:rsid w:val="328559D5"/>
    <w:rsid w:val="328C29A2"/>
    <w:rsid w:val="32930874"/>
    <w:rsid w:val="32935A2E"/>
    <w:rsid w:val="32C92627"/>
    <w:rsid w:val="32CB171C"/>
    <w:rsid w:val="32E13616"/>
    <w:rsid w:val="32E54EAD"/>
    <w:rsid w:val="32E75E2A"/>
    <w:rsid w:val="32EB591A"/>
    <w:rsid w:val="32F10A57"/>
    <w:rsid w:val="330D3AE3"/>
    <w:rsid w:val="3328091C"/>
    <w:rsid w:val="333948D8"/>
    <w:rsid w:val="333A3C58"/>
    <w:rsid w:val="33492641"/>
    <w:rsid w:val="3351554F"/>
    <w:rsid w:val="335A65FC"/>
    <w:rsid w:val="33AC3853"/>
    <w:rsid w:val="33B34CF1"/>
    <w:rsid w:val="33B41A31"/>
    <w:rsid w:val="33BB353F"/>
    <w:rsid w:val="33CB2F86"/>
    <w:rsid w:val="33DE722D"/>
    <w:rsid w:val="33E91C6D"/>
    <w:rsid w:val="33F24A86"/>
    <w:rsid w:val="33F71FCF"/>
    <w:rsid w:val="340A5C62"/>
    <w:rsid w:val="340D25AE"/>
    <w:rsid w:val="34115F71"/>
    <w:rsid w:val="34272982"/>
    <w:rsid w:val="34274F3C"/>
    <w:rsid w:val="342A2472"/>
    <w:rsid w:val="34377754"/>
    <w:rsid w:val="343A0557"/>
    <w:rsid w:val="343E7497"/>
    <w:rsid w:val="34496D9C"/>
    <w:rsid w:val="346B00A7"/>
    <w:rsid w:val="347B2CCE"/>
    <w:rsid w:val="34945B3E"/>
    <w:rsid w:val="349B3370"/>
    <w:rsid w:val="34A16C46"/>
    <w:rsid w:val="34A2025B"/>
    <w:rsid w:val="34A4000C"/>
    <w:rsid w:val="34A44C0C"/>
    <w:rsid w:val="34C00A0D"/>
    <w:rsid w:val="34C12DD7"/>
    <w:rsid w:val="34F547BB"/>
    <w:rsid w:val="34F75D34"/>
    <w:rsid w:val="351B1DBB"/>
    <w:rsid w:val="352769B2"/>
    <w:rsid w:val="35301E28"/>
    <w:rsid w:val="35577297"/>
    <w:rsid w:val="356309A6"/>
    <w:rsid w:val="357A11D7"/>
    <w:rsid w:val="357C6CFE"/>
    <w:rsid w:val="357E2A76"/>
    <w:rsid w:val="357F69C9"/>
    <w:rsid w:val="35845BB2"/>
    <w:rsid w:val="358B0CEF"/>
    <w:rsid w:val="35AE6A30"/>
    <w:rsid w:val="35B446E9"/>
    <w:rsid w:val="35BE7DBB"/>
    <w:rsid w:val="35C95A29"/>
    <w:rsid w:val="35F4111D"/>
    <w:rsid w:val="35F5229C"/>
    <w:rsid w:val="35F5260C"/>
    <w:rsid w:val="360311CD"/>
    <w:rsid w:val="36080591"/>
    <w:rsid w:val="361B6516"/>
    <w:rsid w:val="36237B0B"/>
    <w:rsid w:val="36641DB2"/>
    <w:rsid w:val="366A4DA8"/>
    <w:rsid w:val="368E76EE"/>
    <w:rsid w:val="369B1405"/>
    <w:rsid w:val="36AC3612"/>
    <w:rsid w:val="36B424C7"/>
    <w:rsid w:val="36B6208C"/>
    <w:rsid w:val="36B85B13"/>
    <w:rsid w:val="36BA09DA"/>
    <w:rsid w:val="36BA628E"/>
    <w:rsid w:val="36BD034F"/>
    <w:rsid w:val="36BE54AF"/>
    <w:rsid w:val="36D84407"/>
    <w:rsid w:val="36DD557A"/>
    <w:rsid w:val="36E249C3"/>
    <w:rsid w:val="36EF585E"/>
    <w:rsid w:val="36F47456"/>
    <w:rsid w:val="36FC6348"/>
    <w:rsid w:val="36FF7BE6"/>
    <w:rsid w:val="37022153"/>
    <w:rsid w:val="37160A8C"/>
    <w:rsid w:val="37321D6A"/>
    <w:rsid w:val="37353608"/>
    <w:rsid w:val="37364124"/>
    <w:rsid w:val="37503F9E"/>
    <w:rsid w:val="37566CBB"/>
    <w:rsid w:val="3764057D"/>
    <w:rsid w:val="37647620"/>
    <w:rsid w:val="37865C12"/>
    <w:rsid w:val="37977E1F"/>
    <w:rsid w:val="37A8202C"/>
    <w:rsid w:val="37A95DA4"/>
    <w:rsid w:val="37C0682F"/>
    <w:rsid w:val="37DF3574"/>
    <w:rsid w:val="3801798E"/>
    <w:rsid w:val="38062087"/>
    <w:rsid w:val="380D6333"/>
    <w:rsid w:val="38160281"/>
    <w:rsid w:val="382E3037"/>
    <w:rsid w:val="38392A20"/>
    <w:rsid w:val="3844411C"/>
    <w:rsid w:val="385201EA"/>
    <w:rsid w:val="388C0398"/>
    <w:rsid w:val="389F3AB0"/>
    <w:rsid w:val="38A50319"/>
    <w:rsid w:val="38B961E3"/>
    <w:rsid w:val="38C61560"/>
    <w:rsid w:val="38C76FD4"/>
    <w:rsid w:val="38DD3F57"/>
    <w:rsid w:val="38E726E0"/>
    <w:rsid w:val="38FB618B"/>
    <w:rsid w:val="38FD19CE"/>
    <w:rsid w:val="390B503B"/>
    <w:rsid w:val="39186D3D"/>
    <w:rsid w:val="39241B86"/>
    <w:rsid w:val="392E47B3"/>
    <w:rsid w:val="3958538C"/>
    <w:rsid w:val="39745863"/>
    <w:rsid w:val="39782B34"/>
    <w:rsid w:val="397B72CC"/>
    <w:rsid w:val="39827598"/>
    <w:rsid w:val="39897C3B"/>
    <w:rsid w:val="398B750F"/>
    <w:rsid w:val="39981C2C"/>
    <w:rsid w:val="399A7CBE"/>
    <w:rsid w:val="39A53C50"/>
    <w:rsid w:val="39A75C2D"/>
    <w:rsid w:val="39AD3929"/>
    <w:rsid w:val="39AE6D96"/>
    <w:rsid w:val="39B27192"/>
    <w:rsid w:val="39CB2002"/>
    <w:rsid w:val="39CC413E"/>
    <w:rsid w:val="39D00049"/>
    <w:rsid w:val="39D32C64"/>
    <w:rsid w:val="39E90113"/>
    <w:rsid w:val="39ED1E87"/>
    <w:rsid w:val="39F27DA1"/>
    <w:rsid w:val="3A137DCB"/>
    <w:rsid w:val="3A240A4F"/>
    <w:rsid w:val="3A25106C"/>
    <w:rsid w:val="3A266C45"/>
    <w:rsid w:val="3A2A31CC"/>
    <w:rsid w:val="3A335D0B"/>
    <w:rsid w:val="3A3B7187"/>
    <w:rsid w:val="3A4122C4"/>
    <w:rsid w:val="3A566BED"/>
    <w:rsid w:val="3A576E47"/>
    <w:rsid w:val="3A766411"/>
    <w:rsid w:val="3A797CAF"/>
    <w:rsid w:val="3A7C5B6F"/>
    <w:rsid w:val="3A8A3A4F"/>
    <w:rsid w:val="3A900B55"/>
    <w:rsid w:val="3A997B93"/>
    <w:rsid w:val="3A9A717E"/>
    <w:rsid w:val="3AA54601"/>
    <w:rsid w:val="3AAE2C6C"/>
    <w:rsid w:val="3AB50656"/>
    <w:rsid w:val="3AD44EE6"/>
    <w:rsid w:val="3AF03C57"/>
    <w:rsid w:val="3AF77A81"/>
    <w:rsid w:val="3B037579"/>
    <w:rsid w:val="3B12079A"/>
    <w:rsid w:val="3B343464"/>
    <w:rsid w:val="3B392F9B"/>
    <w:rsid w:val="3B3F4A55"/>
    <w:rsid w:val="3B44206B"/>
    <w:rsid w:val="3B443E1A"/>
    <w:rsid w:val="3B52400F"/>
    <w:rsid w:val="3B551DDF"/>
    <w:rsid w:val="3B590554"/>
    <w:rsid w:val="3B626996"/>
    <w:rsid w:val="3B7F2749"/>
    <w:rsid w:val="3B7F49DE"/>
    <w:rsid w:val="3B837F8F"/>
    <w:rsid w:val="3B8B1A48"/>
    <w:rsid w:val="3B93150B"/>
    <w:rsid w:val="3BA65DDB"/>
    <w:rsid w:val="3BD827B4"/>
    <w:rsid w:val="3BDF1D94"/>
    <w:rsid w:val="3BED44B1"/>
    <w:rsid w:val="3BEE1FD7"/>
    <w:rsid w:val="3BF03FA1"/>
    <w:rsid w:val="3BF75330"/>
    <w:rsid w:val="3C067321"/>
    <w:rsid w:val="3C067E6D"/>
    <w:rsid w:val="3C0D75EE"/>
    <w:rsid w:val="3C260672"/>
    <w:rsid w:val="3C3245BA"/>
    <w:rsid w:val="3C3D079B"/>
    <w:rsid w:val="3C3E2F5F"/>
    <w:rsid w:val="3C5738CA"/>
    <w:rsid w:val="3C5B6911"/>
    <w:rsid w:val="3C6B187A"/>
    <w:rsid w:val="3C756C45"/>
    <w:rsid w:val="3C7A1ABD"/>
    <w:rsid w:val="3C87442D"/>
    <w:rsid w:val="3C877D4A"/>
    <w:rsid w:val="3C8C0DEF"/>
    <w:rsid w:val="3C8C1F1C"/>
    <w:rsid w:val="3CA95D53"/>
    <w:rsid w:val="3CB90837"/>
    <w:rsid w:val="3CBF5605"/>
    <w:rsid w:val="3CCE5088"/>
    <w:rsid w:val="3CD2234F"/>
    <w:rsid w:val="3CD63B18"/>
    <w:rsid w:val="3CE37662"/>
    <w:rsid w:val="3CED04E1"/>
    <w:rsid w:val="3CF278A5"/>
    <w:rsid w:val="3D07115F"/>
    <w:rsid w:val="3D1D51DD"/>
    <w:rsid w:val="3D2F28A7"/>
    <w:rsid w:val="3D3A1978"/>
    <w:rsid w:val="3D4445A5"/>
    <w:rsid w:val="3D5A3DC8"/>
    <w:rsid w:val="3D695DB9"/>
    <w:rsid w:val="3D7D4325"/>
    <w:rsid w:val="3D8C1AA8"/>
    <w:rsid w:val="3D971276"/>
    <w:rsid w:val="3D9F76BF"/>
    <w:rsid w:val="3DA76E67"/>
    <w:rsid w:val="3DB07338"/>
    <w:rsid w:val="3DBF1263"/>
    <w:rsid w:val="3DEC5488"/>
    <w:rsid w:val="3E0E070F"/>
    <w:rsid w:val="3E1026D9"/>
    <w:rsid w:val="3E1201FF"/>
    <w:rsid w:val="3E160FCF"/>
    <w:rsid w:val="3E1A1B29"/>
    <w:rsid w:val="3E1A7695"/>
    <w:rsid w:val="3E3035D7"/>
    <w:rsid w:val="3E383286"/>
    <w:rsid w:val="3E395558"/>
    <w:rsid w:val="3E3E2676"/>
    <w:rsid w:val="3E4B1963"/>
    <w:rsid w:val="3E4C5869"/>
    <w:rsid w:val="3E4C7CC4"/>
    <w:rsid w:val="3E4F4FD7"/>
    <w:rsid w:val="3E530817"/>
    <w:rsid w:val="3E5500EC"/>
    <w:rsid w:val="3E6C43FB"/>
    <w:rsid w:val="3E7762B4"/>
    <w:rsid w:val="3E8E35FE"/>
    <w:rsid w:val="3EB968CD"/>
    <w:rsid w:val="3EC040FF"/>
    <w:rsid w:val="3EC84D62"/>
    <w:rsid w:val="3ED70A51"/>
    <w:rsid w:val="3EE17BD1"/>
    <w:rsid w:val="3EE85404"/>
    <w:rsid w:val="3F0D6C18"/>
    <w:rsid w:val="3F2327BB"/>
    <w:rsid w:val="3F2F4DE1"/>
    <w:rsid w:val="3F3F14BF"/>
    <w:rsid w:val="3F43088C"/>
    <w:rsid w:val="3F4F7231"/>
    <w:rsid w:val="3F7171A7"/>
    <w:rsid w:val="3F7C4554"/>
    <w:rsid w:val="3F811BAE"/>
    <w:rsid w:val="3F8B74A4"/>
    <w:rsid w:val="3F965ED3"/>
    <w:rsid w:val="3F975DED"/>
    <w:rsid w:val="3F9818BC"/>
    <w:rsid w:val="3FAF475D"/>
    <w:rsid w:val="3FB3156E"/>
    <w:rsid w:val="3FDC10F7"/>
    <w:rsid w:val="3FE67B95"/>
    <w:rsid w:val="3FF553AE"/>
    <w:rsid w:val="3FF616FF"/>
    <w:rsid w:val="3FF65854"/>
    <w:rsid w:val="40030E56"/>
    <w:rsid w:val="40112738"/>
    <w:rsid w:val="402565B8"/>
    <w:rsid w:val="405014B2"/>
    <w:rsid w:val="40512D68"/>
    <w:rsid w:val="405A5E8D"/>
    <w:rsid w:val="40612BE2"/>
    <w:rsid w:val="40633332"/>
    <w:rsid w:val="40634AD7"/>
    <w:rsid w:val="40754A75"/>
    <w:rsid w:val="40B51316"/>
    <w:rsid w:val="40BA4B7E"/>
    <w:rsid w:val="40DB643C"/>
    <w:rsid w:val="40DC2D46"/>
    <w:rsid w:val="40E83499"/>
    <w:rsid w:val="41286718"/>
    <w:rsid w:val="412E64E5"/>
    <w:rsid w:val="41452699"/>
    <w:rsid w:val="41553EE0"/>
    <w:rsid w:val="41843348"/>
    <w:rsid w:val="4185761F"/>
    <w:rsid w:val="41906F8B"/>
    <w:rsid w:val="419A4D11"/>
    <w:rsid w:val="41A809D9"/>
    <w:rsid w:val="41AF045B"/>
    <w:rsid w:val="41B1600A"/>
    <w:rsid w:val="41C37A62"/>
    <w:rsid w:val="41CF7517"/>
    <w:rsid w:val="41DB6DDA"/>
    <w:rsid w:val="41FD11C6"/>
    <w:rsid w:val="42220C2D"/>
    <w:rsid w:val="42440B8F"/>
    <w:rsid w:val="425A2175"/>
    <w:rsid w:val="42666D6B"/>
    <w:rsid w:val="42672A3B"/>
    <w:rsid w:val="426C3C56"/>
    <w:rsid w:val="426E68BC"/>
    <w:rsid w:val="42731488"/>
    <w:rsid w:val="42870A90"/>
    <w:rsid w:val="428D254A"/>
    <w:rsid w:val="42952374"/>
    <w:rsid w:val="42AC04F6"/>
    <w:rsid w:val="42B14D1A"/>
    <w:rsid w:val="42B555FD"/>
    <w:rsid w:val="42B70F03"/>
    <w:rsid w:val="42C41CE4"/>
    <w:rsid w:val="42F316B6"/>
    <w:rsid w:val="42F61E56"/>
    <w:rsid w:val="43003AC9"/>
    <w:rsid w:val="430F539D"/>
    <w:rsid w:val="43282273"/>
    <w:rsid w:val="4330184D"/>
    <w:rsid w:val="433A5366"/>
    <w:rsid w:val="43477938"/>
    <w:rsid w:val="435412BA"/>
    <w:rsid w:val="43543068"/>
    <w:rsid w:val="436C03B1"/>
    <w:rsid w:val="43937B75"/>
    <w:rsid w:val="43965C7B"/>
    <w:rsid w:val="43BB30E7"/>
    <w:rsid w:val="43BF2BFE"/>
    <w:rsid w:val="43C43133"/>
    <w:rsid w:val="43CE261E"/>
    <w:rsid w:val="43EF0FE2"/>
    <w:rsid w:val="43FB2CD2"/>
    <w:rsid w:val="43FF57C3"/>
    <w:rsid w:val="44071E88"/>
    <w:rsid w:val="44231C3A"/>
    <w:rsid w:val="443D361B"/>
    <w:rsid w:val="44726954"/>
    <w:rsid w:val="44780FD8"/>
    <w:rsid w:val="4488746D"/>
    <w:rsid w:val="448F37D6"/>
    <w:rsid w:val="449776B0"/>
    <w:rsid w:val="44A309D8"/>
    <w:rsid w:val="44A57A74"/>
    <w:rsid w:val="44C152BA"/>
    <w:rsid w:val="44C834BD"/>
    <w:rsid w:val="44D37FBC"/>
    <w:rsid w:val="44D93DC8"/>
    <w:rsid w:val="44DF4BB3"/>
    <w:rsid w:val="44F00B6E"/>
    <w:rsid w:val="44F10DC2"/>
    <w:rsid w:val="44FA4601"/>
    <w:rsid w:val="45145405"/>
    <w:rsid w:val="451E1B7F"/>
    <w:rsid w:val="452F78E8"/>
    <w:rsid w:val="45316114"/>
    <w:rsid w:val="45433394"/>
    <w:rsid w:val="455410FD"/>
    <w:rsid w:val="455455A1"/>
    <w:rsid w:val="455B621C"/>
    <w:rsid w:val="45812B1B"/>
    <w:rsid w:val="45A06EFF"/>
    <w:rsid w:val="45BE6BF8"/>
    <w:rsid w:val="45C02C36"/>
    <w:rsid w:val="45C269AF"/>
    <w:rsid w:val="45DE130F"/>
    <w:rsid w:val="45E13CAC"/>
    <w:rsid w:val="45E87A97"/>
    <w:rsid w:val="45EA27BB"/>
    <w:rsid w:val="460277EF"/>
    <w:rsid w:val="460F771A"/>
    <w:rsid w:val="462211FB"/>
    <w:rsid w:val="463902F3"/>
    <w:rsid w:val="463C0B6C"/>
    <w:rsid w:val="464E7B4F"/>
    <w:rsid w:val="46580867"/>
    <w:rsid w:val="466C2476"/>
    <w:rsid w:val="467150EA"/>
    <w:rsid w:val="468034B7"/>
    <w:rsid w:val="46820C35"/>
    <w:rsid w:val="468B4FF2"/>
    <w:rsid w:val="46A3775F"/>
    <w:rsid w:val="46C16C66"/>
    <w:rsid w:val="46C36358"/>
    <w:rsid w:val="46DA3884"/>
    <w:rsid w:val="46FA73EB"/>
    <w:rsid w:val="47013FF5"/>
    <w:rsid w:val="47066E73"/>
    <w:rsid w:val="47084895"/>
    <w:rsid w:val="4709011B"/>
    <w:rsid w:val="473236C0"/>
    <w:rsid w:val="47356F09"/>
    <w:rsid w:val="47456494"/>
    <w:rsid w:val="47460F19"/>
    <w:rsid w:val="47482EE3"/>
    <w:rsid w:val="474D4056"/>
    <w:rsid w:val="474F47DA"/>
    <w:rsid w:val="475C698F"/>
    <w:rsid w:val="476E221E"/>
    <w:rsid w:val="476F5AB7"/>
    <w:rsid w:val="477041E8"/>
    <w:rsid w:val="47966329"/>
    <w:rsid w:val="479E48B1"/>
    <w:rsid w:val="47AF2F63"/>
    <w:rsid w:val="47BE31A6"/>
    <w:rsid w:val="47D324F0"/>
    <w:rsid w:val="47D74267"/>
    <w:rsid w:val="47E81FD1"/>
    <w:rsid w:val="48044449"/>
    <w:rsid w:val="48104AFC"/>
    <w:rsid w:val="4832149E"/>
    <w:rsid w:val="48336A7E"/>
    <w:rsid w:val="48337309"/>
    <w:rsid w:val="483C43D0"/>
    <w:rsid w:val="483D7ABE"/>
    <w:rsid w:val="484336AB"/>
    <w:rsid w:val="484E462E"/>
    <w:rsid w:val="485673C8"/>
    <w:rsid w:val="48917998"/>
    <w:rsid w:val="489772F0"/>
    <w:rsid w:val="489D2DBB"/>
    <w:rsid w:val="48AC74A2"/>
    <w:rsid w:val="48CA6254"/>
    <w:rsid w:val="48D2515B"/>
    <w:rsid w:val="48DA400F"/>
    <w:rsid w:val="48E409EA"/>
    <w:rsid w:val="48E64762"/>
    <w:rsid w:val="48F350D1"/>
    <w:rsid w:val="490177EE"/>
    <w:rsid w:val="490E59BA"/>
    <w:rsid w:val="491D3EFC"/>
    <w:rsid w:val="49260E70"/>
    <w:rsid w:val="49292A5E"/>
    <w:rsid w:val="493C6A78"/>
    <w:rsid w:val="493E1E3B"/>
    <w:rsid w:val="494024AD"/>
    <w:rsid w:val="49403578"/>
    <w:rsid w:val="495518E8"/>
    <w:rsid w:val="496E4757"/>
    <w:rsid w:val="49765A93"/>
    <w:rsid w:val="497C0C22"/>
    <w:rsid w:val="49836455"/>
    <w:rsid w:val="49853A41"/>
    <w:rsid w:val="498B2DA7"/>
    <w:rsid w:val="49956188"/>
    <w:rsid w:val="499878B5"/>
    <w:rsid w:val="49A14B2D"/>
    <w:rsid w:val="49A36FB3"/>
    <w:rsid w:val="49B40201"/>
    <w:rsid w:val="49BE56DF"/>
    <w:rsid w:val="49D11F1A"/>
    <w:rsid w:val="49D21641"/>
    <w:rsid w:val="49DF3E3C"/>
    <w:rsid w:val="49E32F45"/>
    <w:rsid w:val="49E9307C"/>
    <w:rsid w:val="49F54A99"/>
    <w:rsid w:val="49F83D29"/>
    <w:rsid w:val="49FD1143"/>
    <w:rsid w:val="4A0A26D2"/>
    <w:rsid w:val="4A116ED5"/>
    <w:rsid w:val="4A1C2E8C"/>
    <w:rsid w:val="4A2F2139"/>
    <w:rsid w:val="4A301A0D"/>
    <w:rsid w:val="4A4C0CA0"/>
    <w:rsid w:val="4A595408"/>
    <w:rsid w:val="4A6B78A3"/>
    <w:rsid w:val="4A6C513B"/>
    <w:rsid w:val="4A6F0787"/>
    <w:rsid w:val="4A8054A3"/>
    <w:rsid w:val="4AA5064D"/>
    <w:rsid w:val="4AB663B6"/>
    <w:rsid w:val="4AC24D5B"/>
    <w:rsid w:val="4AC97E97"/>
    <w:rsid w:val="4AD43451"/>
    <w:rsid w:val="4AEC1DD8"/>
    <w:rsid w:val="4AEE031F"/>
    <w:rsid w:val="4AF76490"/>
    <w:rsid w:val="4B144614"/>
    <w:rsid w:val="4B157580"/>
    <w:rsid w:val="4B172015"/>
    <w:rsid w:val="4B1A06F3"/>
    <w:rsid w:val="4B1E169B"/>
    <w:rsid w:val="4B2477C4"/>
    <w:rsid w:val="4B29302C"/>
    <w:rsid w:val="4B4F797D"/>
    <w:rsid w:val="4B756271"/>
    <w:rsid w:val="4B906C07"/>
    <w:rsid w:val="4B9A5CD8"/>
    <w:rsid w:val="4BAD3B9E"/>
    <w:rsid w:val="4BC43A57"/>
    <w:rsid w:val="4BE352D4"/>
    <w:rsid w:val="4BE73050"/>
    <w:rsid w:val="4BED22AB"/>
    <w:rsid w:val="4BFC24EE"/>
    <w:rsid w:val="4C035691"/>
    <w:rsid w:val="4C0373D9"/>
    <w:rsid w:val="4C0D71D1"/>
    <w:rsid w:val="4C2C4B82"/>
    <w:rsid w:val="4C334CC4"/>
    <w:rsid w:val="4C365C86"/>
    <w:rsid w:val="4C3E6663"/>
    <w:rsid w:val="4C4C6FD2"/>
    <w:rsid w:val="4C59524B"/>
    <w:rsid w:val="4C5C4D3B"/>
    <w:rsid w:val="4C5E497C"/>
    <w:rsid w:val="4C626E3A"/>
    <w:rsid w:val="4C6753F2"/>
    <w:rsid w:val="4C76404F"/>
    <w:rsid w:val="4C96654C"/>
    <w:rsid w:val="4C9C4528"/>
    <w:rsid w:val="4CA23096"/>
    <w:rsid w:val="4CA35D08"/>
    <w:rsid w:val="4CAC01DB"/>
    <w:rsid w:val="4CB22BAD"/>
    <w:rsid w:val="4CC76658"/>
    <w:rsid w:val="4CD12125"/>
    <w:rsid w:val="4CDF26F1"/>
    <w:rsid w:val="4CEA7E6E"/>
    <w:rsid w:val="4CEE1E37"/>
    <w:rsid w:val="4CF42CA5"/>
    <w:rsid w:val="4CF65727"/>
    <w:rsid w:val="4D13189E"/>
    <w:rsid w:val="4D153868"/>
    <w:rsid w:val="4D1B0752"/>
    <w:rsid w:val="4D1D0480"/>
    <w:rsid w:val="4D201F03"/>
    <w:rsid w:val="4D335DAF"/>
    <w:rsid w:val="4D3A1520"/>
    <w:rsid w:val="4D3B2BA3"/>
    <w:rsid w:val="4D3D667A"/>
    <w:rsid w:val="4D4802EE"/>
    <w:rsid w:val="4D553C64"/>
    <w:rsid w:val="4D810EFD"/>
    <w:rsid w:val="4D8A0104"/>
    <w:rsid w:val="4DA01957"/>
    <w:rsid w:val="4DBD267D"/>
    <w:rsid w:val="4DC4528E"/>
    <w:rsid w:val="4DC713E4"/>
    <w:rsid w:val="4DCA7BC1"/>
    <w:rsid w:val="4DD51249"/>
    <w:rsid w:val="4DDA16C7"/>
    <w:rsid w:val="4DDC25D7"/>
    <w:rsid w:val="4DE61D60"/>
    <w:rsid w:val="4DED0341"/>
    <w:rsid w:val="4DF01BDF"/>
    <w:rsid w:val="4E00408D"/>
    <w:rsid w:val="4E0833CC"/>
    <w:rsid w:val="4E1B3100"/>
    <w:rsid w:val="4E1E499E"/>
    <w:rsid w:val="4E2234FC"/>
    <w:rsid w:val="4E255D2C"/>
    <w:rsid w:val="4E5C0847"/>
    <w:rsid w:val="4E5E0B5E"/>
    <w:rsid w:val="4E6349A4"/>
    <w:rsid w:val="4E810A89"/>
    <w:rsid w:val="4E964534"/>
    <w:rsid w:val="4EC15329"/>
    <w:rsid w:val="4ECA2430"/>
    <w:rsid w:val="4EE07EA5"/>
    <w:rsid w:val="4EFD2805"/>
    <w:rsid w:val="4EFD45B3"/>
    <w:rsid w:val="4F0A4F22"/>
    <w:rsid w:val="4F12257D"/>
    <w:rsid w:val="4F2539B2"/>
    <w:rsid w:val="4F363F69"/>
    <w:rsid w:val="4F381A8F"/>
    <w:rsid w:val="4F3B7FEB"/>
    <w:rsid w:val="4F602D94"/>
    <w:rsid w:val="4F660BCF"/>
    <w:rsid w:val="4F6E595E"/>
    <w:rsid w:val="4F8151E4"/>
    <w:rsid w:val="4F871635"/>
    <w:rsid w:val="4F894ADD"/>
    <w:rsid w:val="4F897533"/>
    <w:rsid w:val="4F8E5B53"/>
    <w:rsid w:val="4FAC0CFF"/>
    <w:rsid w:val="4FBC446F"/>
    <w:rsid w:val="4FC7765E"/>
    <w:rsid w:val="4FCD4EC6"/>
    <w:rsid w:val="4FD87D0C"/>
    <w:rsid w:val="4FDE5278"/>
    <w:rsid w:val="4FFC0D0F"/>
    <w:rsid w:val="501C6CBB"/>
    <w:rsid w:val="502C325A"/>
    <w:rsid w:val="50533A4F"/>
    <w:rsid w:val="50720FD1"/>
    <w:rsid w:val="50726A1D"/>
    <w:rsid w:val="5075328B"/>
    <w:rsid w:val="50923421"/>
    <w:rsid w:val="509E6E33"/>
    <w:rsid w:val="50A21AC0"/>
    <w:rsid w:val="50AA076B"/>
    <w:rsid w:val="50AA5E4C"/>
    <w:rsid w:val="50BB5B00"/>
    <w:rsid w:val="50C01D3C"/>
    <w:rsid w:val="50C05939"/>
    <w:rsid w:val="50CA7DE7"/>
    <w:rsid w:val="50D347EC"/>
    <w:rsid w:val="50D43A3A"/>
    <w:rsid w:val="50DD19BA"/>
    <w:rsid w:val="50E023DF"/>
    <w:rsid w:val="50E24598"/>
    <w:rsid w:val="50EC4197"/>
    <w:rsid w:val="50F11EF6"/>
    <w:rsid w:val="5107796B"/>
    <w:rsid w:val="510908C5"/>
    <w:rsid w:val="51244C3C"/>
    <w:rsid w:val="512C1180"/>
    <w:rsid w:val="514F4E6E"/>
    <w:rsid w:val="5156444F"/>
    <w:rsid w:val="516A3A56"/>
    <w:rsid w:val="51733EAB"/>
    <w:rsid w:val="517F7502"/>
    <w:rsid w:val="51A21442"/>
    <w:rsid w:val="51A74CAA"/>
    <w:rsid w:val="51B432A9"/>
    <w:rsid w:val="51CB2747"/>
    <w:rsid w:val="51CE0489"/>
    <w:rsid w:val="51D27F79"/>
    <w:rsid w:val="51D57A6A"/>
    <w:rsid w:val="51D75590"/>
    <w:rsid w:val="51E333FD"/>
    <w:rsid w:val="51E63A25"/>
    <w:rsid w:val="51F15F26"/>
    <w:rsid w:val="51FE7C02"/>
    <w:rsid w:val="52107E9A"/>
    <w:rsid w:val="52481FEA"/>
    <w:rsid w:val="52666914"/>
    <w:rsid w:val="526768C2"/>
    <w:rsid w:val="526B5CD8"/>
    <w:rsid w:val="52724B2C"/>
    <w:rsid w:val="52741030"/>
    <w:rsid w:val="527728CF"/>
    <w:rsid w:val="527C1C93"/>
    <w:rsid w:val="5285323E"/>
    <w:rsid w:val="528648C0"/>
    <w:rsid w:val="5290466E"/>
    <w:rsid w:val="52920B25"/>
    <w:rsid w:val="52AA7000"/>
    <w:rsid w:val="52B70F1D"/>
    <w:rsid w:val="52C87073"/>
    <w:rsid w:val="52CA5887"/>
    <w:rsid w:val="52D970E6"/>
    <w:rsid w:val="52E141EC"/>
    <w:rsid w:val="52E77071"/>
    <w:rsid w:val="52EC506B"/>
    <w:rsid w:val="52EE5F49"/>
    <w:rsid w:val="530323B4"/>
    <w:rsid w:val="532145E9"/>
    <w:rsid w:val="532A7941"/>
    <w:rsid w:val="532C5467"/>
    <w:rsid w:val="532E5683"/>
    <w:rsid w:val="53407165"/>
    <w:rsid w:val="5345477B"/>
    <w:rsid w:val="535C07E6"/>
    <w:rsid w:val="538434F5"/>
    <w:rsid w:val="53A8326F"/>
    <w:rsid w:val="53AB5AC3"/>
    <w:rsid w:val="53AF03AA"/>
    <w:rsid w:val="53B4545D"/>
    <w:rsid w:val="53BF0089"/>
    <w:rsid w:val="53DF193C"/>
    <w:rsid w:val="53E43F94"/>
    <w:rsid w:val="53FE1D7E"/>
    <w:rsid w:val="54065CB8"/>
    <w:rsid w:val="54372316"/>
    <w:rsid w:val="543D36A4"/>
    <w:rsid w:val="54505185"/>
    <w:rsid w:val="54576514"/>
    <w:rsid w:val="54737DE2"/>
    <w:rsid w:val="547C2B7F"/>
    <w:rsid w:val="54921C42"/>
    <w:rsid w:val="54BF14C8"/>
    <w:rsid w:val="54D65DCA"/>
    <w:rsid w:val="54D97871"/>
    <w:rsid w:val="54E1224C"/>
    <w:rsid w:val="54E87019"/>
    <w:rsid w:val="54FC530D"/>
    <w:rsid w:val="550B5550"/>
    <w:rsid w:val="552B174F"/>
    <w:rsid w:val="552D3719"/>
    <w:rsid w:val="5533135C"/>
    <w:rsid w:val="554F368F"/>
    <w:rsid w:val="55590643"/>
    <w:rsid w:val="556B4485"/>
    <w:rsid w:val="55A82D9F"/>
    <w:rsid w:val="55AA2FBB"/>
    <w:rsid w:val="55B23C34"/>
    <w:rsid w:val="55CC4CE0"/>
    <w:rsid w:val="55D911AB"/>
    <w:rsid w:val="55DA73FC"/>
    <w:rsid w:val="55DC7137"/>
    <w:rsid w:val="55DE6954"/>
    <w:rsid w:val="55E0078B"/>
    <w:rsid w:val="55EE4C56"/>
    <w:rsid w:val="55FC7EA8"/>
    <w:rsid w:val="5601605D"/>
    <w:rsid w:val="56075D18"/>
    <w:rsid w:val="5617739C"/>
    <w:rsid w:val="561B17C3"/>
    <w:rsid w:val="564156CE"/>
    <w:rsid w:val="564927D4"/>
    <w:rsid w:val="564E5C56"/>
    <w:rsid w:val="565D1DDC"/>
    <w:rsid w:val="565D6A37"/>
    <w:rsid w:val="56692FD1"/>
    <w:rsid w:val="56744631"/>
    <w:rsid w:val="567C03D1"/>
    <w:rsid w:val="569972B8"/>
    <w:rsid w:val="569C2904"/>
    <w:rsid w:val="569D5B3C"/>
    <w:rsid w:val="569F5263"/>
    <w:rsid w:val="56B83BCC"/>
    <w:rsid w:val="56C14D15"/>
    <w:rsid w:val="56C757FC"/>
    <w:rsid w:val="56DD7347"/>
    <w:rsid w:val="56DE0DB9"/>
    <w:rsid w:val="56F97D56"/>
    <w:rsid w:val="56FB055D"/>
    <w:rsid w:val="570606C5"/>
    <w:rsid w:val="571415D5"/>
    <w:rsid w:val="571D1301"/>
    <w:rsid w:val="571F6D7F"/>
    <w:rsid w:val="572F5526"/>
    <w:rsid w:val="573214BA"/>
    <w:rsid w:val="57405985"/>
    <w:rsid w:val="57480A98"/>
    <w:rsid w:val="574D3BFE"/>
    <w:rsid w:val="57536AE2"/>
    <w:rsid w:val="57686C8A"/>
    <w:rsid w:val="576A08DA"/>
    <w:rsid w:val="576C0072"/>
    <w:rsid w:val="578735B4"/>
    <w:rsid w:val="57CE7EFE"/>
    <w:rsid w:val="57D12A81"/>
    <w:rsid w:val="57D810AF"/>
    <w:rsid w:val="57DE3609"/>
    <w:rsid w:val="57EA769F"/>
    <w:rsid w:val="57F02E5B"/>
    <w:rsid w:val="58163930"/>
    <w:rsid w:val="58346B6C"/>
    <w:rsid w:val="583628E4"/>
    <w:rsid w:val="58367F9A"/>
    <w:rsid w:val="5853793A"/>
    <w:rsid w:val="58682C37"/>
    <w:rsid w:val="587B479B"/>
    <w:rsid w:val="587F428B"/>
    <w:rsid w:val="58810003"/>
    <w:rsid w:val="58985B3E"/>
    <w:rsid w:val="589B52A1"/>
    <w:rsid w:val="58A75590"/>
    <w:rsid w:val="58A9755A"/>
    <w:rsid w:val="58AA3053"/>
    <w:rsid w:val="58B06B3A"/>
    <w:rsid w:val="58B31A8B"/>
    <w:rsid w:val="58B814B7"/>
    <w:rsid w:val="59253085"/>
    <w:rsid w:val="59301A29"/>
    <w:rsid w:val="5933751B"/>
    <w:rsid w:val="59407EBE"/>
    <w:rsid w:val="59444A7D"/>
    <w:rsid w:val="594518F8"/>
    <w:rsid w:val="594C474E"/>
    <w:rsid w:val="595E0345"/>
    <w:rsid w:val="59611BE3"/>
    <w:rsid w:val="596F4300"/>
    <w:rsid w:val="598D0C2A"/>
    <w:rsid w:val="5999312B"/>
    <w:rsid w:val="59C12681"/>
    <w:rsid w:val="59C83A10"/>
    <w:rsid w:val="59CD7278"/>
    <w:rsid w:val="59D71624"/>
    <w:rsid w:val="59DF76D7"/>
    <w:rsid w:val="59E52814"/>
    <w:rsid w:val="59EC6032"/>
    <w:rsid w:val="59F12F67"/>
    <w:rsid w:val="5A04713E"/>
    <w:rsid w:val="5A0D3375"/>
    <w:rsid w:val="5A1B7FE4"/>
    <w:rsid w:val="5A261430"/>
    <w:rsid w:val="5A2C0443"/>
    <w:rsid w:val="5A3317D1"/>
    <w:rsid w:val="5A3A490E"/>
    <w:rsid w:val="5A3B2434"/>
    <w:rsid w:val="5A3E6328"/>
    <w:rsid w:val="5A47702B"/>
    <w:rsid w:val="5A67147B"/>
    <w:rsid w:val="5A6C6A91"/>
    <w:rsid w:val="5A6D6C90"/>
    <w:rsid w:val="5A754FD7"/>
    <w:rsid w:val="5A7B0A82"/>
    <w:rsid w:val="5AA601F5"/>
    <w:rsid w:val="5AC97A40"/>
    <w:rsid w:val="5ACD1A01"/>
    <w:rsid w:val="5ACE005D"/>
    <w:rsid w:val="5AE64A95"/>
    <w:rsid w:val="5B0B4203"/>
    <w:rsid w:val="5B0D3DD0"/>
    <w:rsid w:val="5B1C04B7"/>
    <w:rsid w:val="5B324BCF"/>
    <w:rsid w:val="5B402790"/>
    <w:rsid w:val="5B465534"/>
    <w:rsid w:val="5B726F99"/>
    <w:rsid w:val="5B730143"/>
    <w:rsid w:val="5BB16E51"/>
    <w:rsid w:val="5BD90156"/>
    <w:rsid w:val="5BDD0946"/>
    <w:rsid w:val="5BFB1E7B"/>
    <w:rsid w:val="5BFF15A3"/>
    <w:rsid w:val="5C201C66"/>
    <w:rsid w:val="5C2F421A"/>
    <w:rsid w:val="5C367357"/>
    <w:rsid w:val="5C3A25B5"/>
    <w:rsid w:val="5C403D31"/>
    <w:rsid w:val="5C422500"/>
    <w:rsid w:val="5C441A74"/>
    <w:rsid w:val="5C533A65"/>
    <w:rsid w:val="5C693288"/>
    <w:rsid w:val="5C6F122F"/>
    <w:rsid w:val="5C7B0409"/>
    <w:rsid w:val="5C817AB3"/>
    <w:rsid w:val="5C8207EE"/>
    <w:rsid w:val="5CA442C0"/>
    <w:rsid w:val="5CBC1B3E"/>
    <w:rsid w:val="5CEE7C31"/>
    <w:rsid w:val="5CFC234E"/>
    <w:rsid w:val="5D02548B"/>
    <w:rsid w:val="5D027239"/>
    <w:rsid w:val="5D062AC6"/>
    <w:rsid w:val="5D137698"/>
    <w:rsid w:val="5D151EA5"/>
    <w:rsid w:val="5D4D2BAA"/>
    <w:rsid w:val="5D5061F6"/>
    <w:rsid w:val="5D6275E6"/>
    <w:rsid w:val="5D6E4AE7"/>
    <w:rsid w:val="5D752101"/>
    <w:rsid w:val="5D791381"/>
    <w:rsid w:val="5D7A3273"/>
    <w:rsid w:val="5D8365CC"/>
    <w:rsid w:val="5D8B36D2"/>
    <w:rsid w:val="5D8C23FB"/>
    <w:rsid w:val="5D9702C9"/>
    <w:rsid w:val="5D9B3A1D"/>
    <w:rsid w:val="5DA54794"/>
    <w:rsid w:val="5DB76275"/>
    <w:rsid w:val="5E086B97"/>
    <w:rsid w:val="5E1216FE"/>
    <w:rsid w:val="5E167440"/>
    <w:rsid w:val="5E1B6804"/>
    <w:rsid w:val="5E273738"/>
    <w:rsid w:val="5E2751A9"/>
    <w:rsid w:val="5E2E05EB"/>
    <w:rsid w:val="5E361890"/>
    <w:rsid w:val="5E45329D"/>
    <w:rsid w:val="5E482FBE"/>
    <w:rsid w:val="5E541D16"/>
    <w:rsid w:val="5E7B72A3"/>
    <w:rsid w:val="5E806DB9"/>
    <w:rsid w:val="5E873DAB"/>
    <w:rsid w:val="5E914D18"/>
    <w:rsid w:val="5EAA52DB"/>
    <w:rsid w:val="5EC91914"/>
    <w:rsid w:val="5ECA774B"/>
    <w:rsid w:val="5EE854FB"/>
    <w:rsid w:val="5F10773B"/>
    <w:rsid w:val="5F1F2B8D"/>
    <w:rsid w:val="5F204709"/>
    <w:rsid w:val="5F2E2567"/>
    <w:rsid w:val="5F6E5059"/>
    <w:rsid w:val="5F757F76"/>
    <w:rsid w:val="5F8E3006"/>
    <w:rsid w:val="5F944AC0"/>
    <w:rsid w:val="5F9A7BFD"/>
    <w:rsid w:val="5F9C5723"/>
    <w:rsid w:val="5FC44C79"/>
    <w:rsid w:val="5FD87E86"/>
    <w:rsid w:val="5FE200F0"/>
    <w:rsid w:val="5FE64BF0"/>
    <w:rsid w:val="5FEA2932"/>
    <w:rsid w:val="5FFA43AD"/>
    <w:rsid w:val="5FFC1512"/>
    <w:rsid w:val="5FFC2665"/>
    <w:rsid w:val="5FFE2959"/>
    <w:rsid w:val="6009588A"/>
    <w:rsid w:val="600A6B30"/>
    <w:rsid w:val="600D2A18"/>
    <w:rsid w:val="600D6620"/>
    <w:rsid w:val="601E082E"/>
    <w:rsid w:val="601E25DC"/>
    <w:rsid w:val="604005D6"/>
    <w:rsid w:val="604364E6"/>
    <w:rsid w:val="6046598D"/>
    <w:rsid w:val="604E1113"/>
    <w:rsid w:val="605026B2"/>
    <w:rsid w:val="605061C3"/>
    <w:rsid w:val="60583D40"/>
    <w:rsid w:val="60681AA9"/>
    <w:rsid w:val="60732F23"/>
    <w:rsid w:val="60736193"/>
    <w:rsid w:val="608C6A38"/>
    <w:rsid w:val="609038AC"/>
    <w:rsid w:val="60A52CFD"/>
    <w:rsid w:val="60AE7E03"/>
    <w:rsid w:val="60B46A9C"/>
    <w:rsid w:val="60BB2ED0"/>
    <w:rsid w:val="60C73B44"/>
    <w:rsid w:val="60F715A3"/>
    <w:rsid w:val="60F877AE"/>
    <w:rsid w:val="610A00F6"/>
    <w:rsid w:val="610A2B60"/>
    <w:rsid w:val="61183150"/>
    <w:rsid w:val="611A2DA3"/>
    <w:rsid w:val="61286B5F"/>
    <w:rsid w:val="613025C6"/>
    <w:rsid w:val="61354C5C"/>
    <w:rsid w:val="61371BA7"/>
    <w:rsid w:val="613D1187"/>
    <w:rsid w:val="61477910"/>
    <w:rsid w:val="6148108C"/>
    <w:rsid w:val="61507F42"/>
    <w:rsid w:val="61572E28"/>
    <w:rsid w:val="615D7134"/>
    <w:rsid w:val="61646714"/>
    <w:rsid w:val="61681C4A"/>
    <w:rsid w:val="616B35FF"/>
    <w:rsid w:val="616D10D7"/>
    <w:rsid w:val="617A5F38"/>
    <w:rsid w:val="6181336C"/>
    <w:rsid w:val="61946FF9"/>
    <w:rsid w:val="61A25092"/>
    <w:rsid w:val="61A40AB9"/>
    <w:rsid w:val="61A60ADB"/>
    <w:rsid w:val="61AC4725"/>
    <w:rsid w:val="61B15DEC"/>
    <w:rsid w:val="61B50D1E"/>
    <w:rsid w:val="61D02E91"/>
    <w:rsid w:val="61D45648"/>
    <w:rsid w:val="61D4645A"/>
    <w:rsid w:val="61DC274E"/>
    <w:rsid w:val="61DF1A53"/>
    <w:rsid w:val="61E810F3"/>
    <w:rsid w:val="61E868C4"/>
    <w:rsid w:val="62004B9F"/>
    <w:rsid w:val="621517BC"/>
    <w:rsid w:val="62164C6B"/>
    <w:rsid w:val="62297E0B"/>
    <w:rsid w:val="62361E5F"/>
    <w:rsid w:val="623C4F9B"/>
    <w:rsid w:val="62482421"/>
    <w:rsid w:val="62511347"/>
    <w:rsid w:val="62652744"/>
    <w:rsid w:val="62773DC1"/>
    <w:rsid w:val="627836EA"/>
    <w:rsid w:val="627B237A"/>
    <w:rsid w:val="627B3D15"/>
    <w:rsid w:val="629848C7"/>
    <w:rsid w:val="629B7F14"/>
    <w:rsid w:val="629E17B2"/>
    <w:rsid w:val="62A664CF"/>
    <w:rsid w:val="62AA63A9"/>
    <w:rsid w:val="62BE0525"/>
    <w:rsid w:val="62EC74BF"/>
    <w:rsid w:val="63080088"/>
    <w:rsid w:val="6320666B"/>
    <w:rsid w:val="632C14B3"/>
    <w:rsid w:val="63422A85"/>
    <w:rsid w:val="63424EE2"/>
    <w:rsid w:val="6364112D"/>
    <w:rsid w:val="6377272F"/>
    <w:rsid w:val="637A221F"/>
    <w:rsid w:val="638135AD"/>
    <w:rsid w:val="639C2195"/>
    <w:rsid w:val="639E6C63"/>
    <w:rsid w:val="63AD6150"/>
    <w:rsid w:val="63B23767"/>
    <w:rsid w:val="63B35731"/>
    <w:rsid w:val="63C17E4E"/>
    <w:rsid w:val="63C85CBC"/>
    <w:rsid w:val="63CB0543"/>
    <w:rsid w:val="63CB2A7A"/>
    <w:rsid w:val="63D82B5A"/>
    <w:rsid w:val="63D87DD5"/>
    <w:rsid w:val="63DD455C"/>
    <w:rsid w:val="63EB6C79"/>
    <w:rsid w:val="63EC529B"/>
    <w:rsid w:val="641E704E"/>
    <w:rsid w:val="642665BA"/>
    <w:rsid w:val="64372A64"/>
    <w:rsid w:val="643B2AF7"/>
    <w:rsid w:val="645273AA"/>
    <w:rsid w:val="64541E2E"/>
    <w:rsid w:val="645F7CC5"/>
    <w:rsid w:val="64624038"/>
    <w:rsid w:val="64680FC0"/>
    <w:rsid w:val="646B2464"/>
    <w:rsid w:val="647A0DC4"/>
    <w:rsid w:val="64801309"/>
    <w:rsid w:val="648F5856"/>
    <w:rsid w:val="649D4417"/>
    <w:rsid w:val="64A77044"/>
    <w:rsid w:val="64BD579A"/>
    <w:rsid w:val="64C03C61"/>
    <w:rsid w:val="64D23995"/>
    <w:rsid w:val="64EE5A59"/>
    <w:rsid w:val="65000502"/>
    <w:rsid w:val="65134704"/>
    <w:rsid w:val="651915C4"/>
    <w:rsid w:val="651D5558"/>
    <w:rsid w:val="6526661E"/>
    <w:rsid w:val="652A3F0B"/>
    <w:rsid w:val="654C7BEB"/>
    <w:rsid w:val="654D7168"/>
    <w:rsid w:val="654F11A7"/>
    <w:rsid w:val="65530F79"/>
    <w:rsid w:val="658E2661"/>
    <w:rsid w:val="65BB0B51"/>
    <w:rsid w:val="65C3307E"/>
    <w:rsid w:val="65CE1B16"/>
    <w:rsid w:val="65D8104C"/>
    <w:rsid w:val="65E81941"/>
    <w:rsid w:val="65FA31A3"/>
    <w:rsid w:val="660109D5"/>
    <w:rsid w:val="660E7E3A"/>
    <w:rsid w:val="661029C7"/>
    <w:rsid w:val="66107265"/>
    <w:rsid w:val="661F0E5C"/>
    <w:rsid w:val="6626043C"/>
    <w:rsid w:val="66384703"/>
    <w:rsid w:val="663E5786"/>
    <w:rsid w:val="66506635"/>
    <w:rsid w:val="66551E8A"/>
    <w:rsid w:val="66613222"/>
    <w:rsid w:val="6666770B"/>
    <w:rsid w:val="666E44D5"/>
    <w:rsid w:val="66770C98"/>
    <w:rsid w:val="667C62AE"/>
    <w:rsid w:val="669E42B5"/>
    <w:rsid w:val="66AA6977"/>
    <w:rsid w:val="66B970C6"/>
    <w:rsid w:val="66C0263F"/>
    <w:rsid w:val="66C7577B"/>
    <w:rsid w:val="66CD05F6"/>
    <w:rsid w:val="66D02156"/>
    <w:rsid w:val="66ED3F8F"/>
    <w:rsid w:val="66ED4AB6"/>
    <w:rsid w:val="66F7159B"/>
    <w:rsid w:val="67044F7F"/>
    <w:rsid w:val="67191D4F"/>
    <w:rsid w:val="671B4595"/>
    <w:rsid w:val="67216F35"/>
    <w:rsid w:val="67242BCD"/>
    <w:rsid w:val="672901E4"/>
    <w:rsid w:val="672A3F5C"/>
    <w:rsid w:val="672E57FA"/>
    <w:rsid w:val="67346B89"/>
    <w:rsid w:val="674461C7"/>
    <w:rsid w:val="674C151B"/>
    <w:rsid w:val="67513297"/>
    <w:rsid w:val="676A25AA"/>
    <w:rsid w:val="677B0314"/>
    <w:rsid w:val="678418BE"/>
    <w:rsid w:val="67846BDF"/>
    <w:rsid w:val="67900263"/>
    <w:rsid w:val="67A96C2F"/>
    <w:rsid w:val="67AC2BC3"/>
    <w:rsid w:val="67B11DFD"/>
    <w:rsid w:val="67C16124"/>
    <w:rsid w:val="67C938CC"/>
    <w:rsid w:val="67D0240D"/>
    <w:rsid w:val="67D25B98"/>
    <w:rsid w:val="67D5211A"/>
    <w:rsid w:val="67D839B8"/>
    <w:rsid w:val="67DB7004"/>
    <w:rsid w:val="67E60A18"/>
    <w:rsid w:val="67FD341E"/>
    <w:rsid w:val="68060D49"/>
    <w:rsid w:val="68142C42"/>
    <w:rsid w:val="68166515"/>
    <w:rsid w:val="682D4335"/>
    <w:rsid w:val="68352BB8"/>
    <w:rsid w:val="685A261F"/>
    <w:rsid w:val="68701E42"/>
    <w:rsid w:val="687306F3"/>
    <w:rsid w:val="688D47A2"/>
    <w:rsid w:val="68901DFF"/>
    <w:rsid w:val="68C84CF7"/>
    <w:rsid w:val="68CD2DF1"/>
    <w:rsid w:val="68E86BFA"/>
    <w:rsid w:val="68F0088D"/>
    <w:rsid w:val="68F55EA4"/>
    <w:rsid w:val="68F81298"/>
    <w:rsid w:val="68FC76B2"/>
    <w:rsid w:val="68FD5B87"/>
    <w:rsid w:val="69004F74"/>
    <w:rsid w:val="692D459A"/>
    <w:rsid w:val="693410C2"/>
    <w:rsid w:val="693E784B"/>
    <w:rsid w:val="6942153C"/>
    <w:rsid w:val="694F536C"/>
    <w:rsid w:val="695D4175"/>
    <w:rsid w:val="6965127B"/>
    <w:rsid w:val="697B0A9F"/>
    <w:rsid w:val="698414AB"/>
    <w:rsid w:val="6994393A"/>
    <w:rsid w:val="69B04D9E"/>
    <w:rsid w:val="69B0699A"/>
    <w:rsid w:val="69B33D95"/>
    <w:rsid w:val="69BE5D18"/>
    <w:rsid w:val="69C43C55"/>
    <w:rsid w:val="69C52D24"/>
    <w:rsid w:val="69C6217D"/>
    <w:rsid w:val="69F015BA"/>
    <w:rsid w:val="69F525FF"/>
    <w:rsid w:val="69F66377"/>
    <w:rsid w:val="69FD14D7"/>
    <w:rsid w:val="69FD7706"/>
    <w:rsid w:val="6A0154E3"/>
    <w:rsid w:val="6A06480C"/>
    <w:rsid w:val="6A086DE1"/>
    <w:rsid w:val="6A092093"/>
    <w:rsid w:val="6A0D3C0C"/>
    <w:rsid w:val="6A107439"/>
    <w:rsid w:val="6A174F25"/>
    <w:rsid w:val="6A1F58CE"/>
    <w:rsid w:val="6A246634"/>
    <w:rsid w:val="6A253BE6"/>
    <w:rsid w:val="6A2D7FEB"/>
    <w:rsid w:val="6A33233D"/>
    <w:rsid w:val="6A335EA2"/>
    <w:rsid w:val="6A611A43"/>
    <w:rsid w:val="6A617C95"/>
    <w:rsid w:val="6A6D03E7"/>
    <w:rsid w:val="6A7F5B5C"/>
    <w:rsid w:val="6A941E18"/>
    <w:rsid w:val="6A975464"/>
    <w:rsid w:val="6AC63F9C"/>
    <w:rsid w:val="6AD246EE"/>
    <w:rsid w:val="6ADC65C6"/>
    <w:rsid w:val="6AE0505D"/>
    <w:rsid w:val="6AE13F6B"/>
    <w:rsid w:val="6AEA1A38"/>
    <w:rsid w:val="6AEF52A0"/>
    <w:rsid w:val="6AFF300A"/>
    <w:rsid w:val="6B0770B2"/>
    <w:rsid w:val="6B136FFE"/>
    <w:rsid w:val="6B1765A5"/>
    <w:rsid w:val="6B361121"/>
    <w:rsid w:val="6B432AA4"/>
    <w:rsid w:val="6B56531F"/>
    <w:rsid w:val="6B5B1C40"/>
    <w:rsid w:val="6B5C220A"/>
    <w:rsid w:val="6B6C4B43"/>
    <w:rsid w:val="6B712159"/>
    <w:rsid w:val="6B956C6B"/>
    <w:rsid w:val="6BA22313"/>
    <w:rsid w:val="6BB169FA"/>
    <w:rsid w:val="6BCF1B32"/>
    <w:rsid w:val="6BE446D9"/>
    <w:rsid w:val="6BE70117"/>
    <w:rsid w:val="6BE73CEE"/>
    <w:rsid w:val="6BE86C3C"/>
    <w:rsid w:val="6BEE37AA"/>
    <w:rsid w:val="6BF07BC9"/>
    <w:rsid w:val="6C07382E"/>
    <w:rsid w:val="6C0D6CD2"/>
    <w:rsid w:val="6C205A22"/>
    <w:rsid w:val="6C2348F6"/>
    <w:rsid w:val="6C2471CC"/>
    <w:rsid w:val="6C296590"/>
    <w:rsid w:val="6C3F4006"/>
    <w:rsid w:val="6C465F32"/>
    <w:rsid w:val="6C537AB1"/>
    <w:rsid w:val="6C567534"/>
    <w:rsid w:val="6C5A0E3F"/>
    <w:rsid w:val="6C5B6D25"/>
    <w:rsid w:val="6C613F7C"/>
    <w:rsid w:val="6C68355C"/>
    <w:rsid w:val="6C904861"/>
    <w:rsid w:val="6C9158BE"/>
    <w:rsid w:val="6C975B62"/>
    <w:rsid w:val="6CA32A49"/>
    <w:rsid w:val="6CAE2F39"/>
    <w:rsid w:val="6CB542C8"/>
    <w:rsid w:val="6CBF5146"/>
    <w:rsid w:val="6CC56A5C"/>
    <w:rsid w:val="6CD10152"/>
    <w:rsid w:val="6CE54BAD"/>
    <w:rsid w:val="6CE76C07"/>
    <w:rsid w:val="6D050DAB"/>
    <w:rsid w:val="6D1A53CE"/>
    <w:rsid w:val="6D2D20B0"/>
    <w:rsid w:val="6D321474"/>
    <w:rsid w:val="6D36133C"/>
    <w:rsid w:val="6D4A2C62"/>
    <w:rsid w:val="6D505D9E"/>
    <w:rsid w:val="6D59295E"/>
    <w:rsid w:val="6D601880"/>
    <w:rsid w:val="6D6A6E60"/>
    <w:rsid w:val="6D742357"/>
    <w:rsid w:val="6D8048D6"/>
    <w:rsid w:val="6D872D9D"/>
    <w:rsid w:val="6D9739CD"/>
    <w:rsid w:val="6D9C0FE4"/>
    <w:rsid w:val="6DB225B5"/>
    <w:rsid w:val="6DB4457F"/>
    <w:rsid w:val="6DC55024"/>
    <w:rsid w:val="6DCC26A4"/>
    <w:rsid w:val="6DCC3677"/>
    <w:rsid w:val="6DCF319C"/>
    <w:rsid w:val="6DDA2238"/>
    <w:rsid w:val="6DE9247B"/>
    <w:rsid w:val="6DFB3F5C"/>
    <w:rsid w:val="6E22773B"/>
    <w:rsid w:val="6E2A4841"/>
    <w:rsid w:val="6E2B180C"/>
    <w:rsid w:val="6E49630A"/>
    <w:rsid w:val="6E4C2A0A"/>
    <w:rsid w:val="6E565636"/>
    <w:rsid w:val="6E5F0316"/>
    <w:rsid w:val="6E751F61"/>
    <w:rsid w:val="6E804461"/>
    <w:rsid w:val="6E8E184A"/>
    <w:rsid w:val="6EC46A44"/>
    <w:rsid w:val="6EE14432"/>
    <w:rsid w:val="6EE3336E"/>
    <w:rsid w:val="6EE36ECA"/>
    <w:rsid w:val="6F15104E"/>
    <w:rsid w:val="6F2C587C"/>
    <w:rsid w:val="6F2D45E9"/>
    <w:rsid w:val="6F375468"/>
    <w:rsid w:val="6F40256E"/>
    <w:rsid w:val="6F4F026E"/>
    <w:rsid w:val="6F4F4560"/>
    <w:rsid w:val="6F51166F"/>
    <w:rsid w:val="6F5E0C47"/>
    <w:rsid w:val="6F614293"/>
    <w:rsid w:val="6F7B35A7"/>
    <w:rsid w:val="6F9401C4"/>
    <w:rsid w:val="6FA952BF"/>
    <w:rsid w:val="6FBE63A8"/>
    <w:rsid w:val="6FC211D5"/>
    <w:rsid w:val="6FC62348"/>
    <w:rsid w:val="6FCB7D7F"/>
    <w:rsid w:val="6FCC795E"/>
    <w:rsid w:val="6FDB7847"/>
    <w:rsid w:val="6FE0340A"/>
    <w:rsid w:val="6FE078AE"/>
    <w:rsid w:val="6FE46EF6"/>
    <w:rsid w:val="6FF13869"/>
    <w:rsid w:val="700C64C3"/>
    <w:rsid w:val="7033685E"/>
    <w:rsid w:val="70357BF9"/>
    <w:rsid w:val="70437F34"/>
    <w:rsid w:val="705362D1"/>
    <w:rsid w:val="7054594E"/>
    <w:rsid w:val="70626515"/>
    <w:rsid w:val="70661C56"/>
    <w:rsid w:val="706F58D6"/>
    <w:rsid w:val="70820965"/>
    <w:rsid w:val="708B5A6B"/>
    <w:rsid w:val="709A5CAE"/>
    <w:rsid w:val="70A64653"/>
    <w:rsid w:val="70B050B0"/>
    <w:rsid w:val="70BA2940"/>
    <w:rsid w:val="70CE7706"/>
    <w:rsid w:val="70F01D72"/>
    <w:rsid w:val="71144811"/>
    <w:rsid w:val="711E068D"/>
    <w:rsid w:val="712831B2"/>
    <w:rsid w:val="713316EB"/>
    <w:rsid w:val="713A2FED"/>
    <w:rsid w:val="715440AF"/>
    <w:rsid w:val="715539EA"/>
    <w:rsid w:val="716772A9"/>
    <w:rsid w:val="71706A0F"/>
    <w:rsid w:val="718214E0"/>
    <w:rsid w:val="71883D59"/>
    <w:rsid w:val="71954DDE"/>
    <w:rsid w:val="719F3623"/>
    <w:rsid w:val="719F708C"/>
    <w:rsid w:val="71A566B9"/>
    <w:rsid w:val="71A7599C"/>
    <w:rsid w:val="71B903B6"/>
    <w:rsid w:val="71B96608"/>
    <w:rsid w:val="71CF1988"/>
    <w:rsid w:val="71CF3736"/>
    <w:rsid w:val="71D84CE0"/>
    <w:rsid w:val="71FB4EB1"/>
    <w:rsid w:val="72097D3F"/>
    <w:rsid w:val="720F7FD6"/>
    <w:rsid w:val="72140991"/>
    <w:rsid w:val="72200435"/>
    <w:rsid w:val="725012EF"/>
    <w:rsid w:val="727D22A9"/>
    <w:rsid w:val="728A58AF"/>
    <w:rsid w:val="729D1A86"/>
    <w:rsid w:val="72A66B8C"/>
    <w:rsid w:val="72AA2D09"/>
    <w:rsid w:val="72AB41A3"/>
    <w:rsid w:val="72CB65F3"/>
    <w:rsid w:val="72E61148"/>
    <w:rsid w:val="72EE22E1"/>
    <w:rsid w:val="72EE408F"/>
    <w:rsid w:val="72F21DD2"/>
    <w:rsid w:val="73143A88"/>
    <w:rsid w:val="731D3F85"/>
    <w:rsid w:val="73397A01"/>
    <w:rsid w:val="734B7734"/>
    <w:rsid w:val="735946D6"/>
    <w:rsid w:val="735F4F8D"/>
    <w:rsid w:val="73600A73"/>
    <w:rsid w:val="73685BF0"/>
    <w:rsid w:val="736D3206"/>
    <w:rsid w:val="73753300"/>
    <w:rsid w:val="737E5413"/>
    <w:rsid w:val="73913344"/>
    <w:rsid w:val="739764D5"/>
    <w:rsid w:val="739D4FEC"/>
    <w:rsid w:val="73A1022B"/>
    <w:rsid w:val="73A413F0"/>
    <w:rsid w:val="73A55905"/>
    <w:rsid w:val="73B01345"/>
    <w:rsid w:val="73CA68AB"/>
    <w:rsid w:val="73D019E7"/>
    <w:rsid w:val="73D13110"/>
    <w:rsid w:val="73DC65DE"/>
    <w:rsid w:val="73DF0290"/>
    <w:rsid w:val="74024296"/>
    <w:rsid w:val="740B2A1F"/>
    <w:rsid w:val="740E2F75"/>
    <w:rsid w:val="7414565D"/>
    <w:rsid w:val="7419513C"/>
    <w:rsid w:val="74277859"/>
    <w:rsid w:val="7431692A"/>
    <w:rsid w:val="74367A9C"/>
    <w:rsid w:val="744C7EB7"/>
    <w:rsid w:val="744E419D"/>
    <w:rsid w:val="744F6DB0"/>
    <w:rsid w:val="74561EEC"/>
    <w:rsid w:val="746578A2"/>
    <w:rsid w:val="746740F9"/>
    <w:rsid w:val="74681C20"/>
    <w:rsid w:val="747E57F8"/>
    <w:rsid w:val="748C1DB2"/>
    <w:rsid w:val="74956EB9"/>
    <w:rsid w:val="749632ED"/>
    <w:rsid w:val="74AA47AA"/>
    <w:rsid w:val="74B07F86"/>
    <w:rsid w:val="74BA691F"/>
    <w:rsid w:val="74C72F0F"/>
    <w:rsid w:val="74D13C69"/>
    <w:rsid w:val="74D92804"/>
    <w:rsid w:val="74DB0643"/>
    <w:rsid w:val="74E7457B"/>
    <w:rsid w:val="74EA0887"/>
    <w:rsid w:val="74F160B9"/>
    <w:rsid w:val="74F55139"/>
    <w:rsid w:val="74FA31C0"/>
    <w:rsid w:val="750B0F29"/>
    <w:rsid w:val="752A665F"/>
    <w:rsid w:val="753541F8"/>
    <w:rsid w:val="75372F91"/>
    <w:rsid w:val="754206C3"/>
    <w:rsid w:val="75502DDF"/>
    <w:rsid w:val="75575F1C"/>
    <w:rsid w:val="75616D9B"/>
    <w:rsid w:val="75622B13"/>
    <w:rsid w:val="75731E4D"/>
    <w:rsid w:val="75D94B83"/>
    <w:rsid w:val="75F4087F"/>
    <w:rsid w:val="75F776FF"/>
    <w:rsid w:val="760268A8"/>
    <w:rsid w:val="761337BF"/>
    <w:rsid w:val="762027B2"/>
    <w:rsid w:val="76285B0A"/>
    <w:rsid w:val="76294A9E"/>
    <w:rsid w:val="76326989"/>
    <w:rsid w:val="764346F2"/>
    <w:rsid w:val="764B11D4"/>
    <w:rsid w:val="764F753B"/>
    <w:rsid w:val="76500BBD"/>
    <w:rsid w:val="766A1E62"/>
    <w:rsid w:val="76780840"/>
    <w:rsid w:val="768E1E11"/>
    <w:rsid w:val="76992564"/>
    <w:rsid w:val="769F6178"/>
    <w:rsid w:val="76A96179"/>
    <w:rsid w:val="76AA59A5"/>
    <w:rsid w:val="76B64EC4"/>
    <w:rsid w:val="76B94680"/>
    <w:rsid w:val="76C23869"/>
    <w:rsid w:val="76C94E50"/>
    <w:rsid w:val="76D25A20"/>
    <w:rsid w:val="76D279B6"/>
    <w:rsid w:val="770C0F88"/>
    <w:rsid w:val="77277D4B"/>
    <w:rsid w:val="772D3F49"/>
    <w:rsid w:val="773F7120"/>
    <w:rsid w:val="77400C32"/>
    <w:rsid w:val="77453DA3"/>
    <w:rsid w:val="77470212"/>
    <w:rsid w:val="774D0F6E"/>
    <w:rsid w:val="775C3CBE"/>
    <w:rsid w:val="77660698"/>
    <w:rsid w:val="77866F8C"/>
    <w:rsid w:val="77884CF6"/>
    <w:rsid w:val="77995379"/>
    <w:rsid w:val="779C67B0"/>
    <w:rsid w:val="77A04C0E"/>
    <w:rsid w:val="77A13DC6"/>
    <w:rsid w:val="77C35AEB"/>
    <w:rsid w:val="77D726AA"/>
    <w:rsid w:val="77DA1086"/>
    <w:rsid w:val="77F27EAB"/>
    <w:rsid w:val="77F9775E"/>
    <w:rsid w:val="780954C8"/>
    <w:rsid w:val="781812F2"/>
    <w:rsid w:val="78202F3D"/>
    <w:rsid w:val="782642CC"/>
    <w:rsid w:val="782C26F1"/>
    <w:rsid w:val="78360B95"/>
    <w:rsid w:val="78570929"/>
    <w:rsid w:val="78615304"/>
    <w:rsid w:val="78686692"/>
    <w:rsid w:val="787231A9"/>
    <w:rsid w:val="7877282E"/>
    <w:rsid w:val="7879264D"/>
    <w:rsid w:val="788039DC"/>
    <w:rsid w:val="78827754"/>
    <w:rsid w:val="78872FBC"/>
    <w:rsid w:val="78A03A93"/>
    <w:rsid w:val="78A05E2C"/>
    <w:rsid w:val="78A07BDA"/>
    <w:rsid w:val="78A147E4"/>
    <w:rsid w:val="78BD078C"/>
    <w:rsid w:val="78C252D0"/>
    <w:rsid w:val="78C37D6C"/>
    <w:rsid w:val="78C7785D"/>
    <w:rsid w:val="78C95383"/>
    <w:rsid w:val="78DB6E64"/>
    <w:rsid w:val="78E026CC"/>
    <w:rsid w:val="78E90790"/>
    <w:rsid w:val="790A599B"/>
    <w:rsid w:val="790E2D96"/>
    <w:rsid w:val="790F516B"/>
    <w:rsid w:val="7931117A"/>
    <w:rsid w:val="794964C4"/>
    <w:rsid w:val="796706F8"/>
    <w:rsid w:val="7967694A"/>
    <w:rsid w:val="796E1A86"/>
    <w:rsid w:val="79745C04"/>
    <w:rsid w:val="79833549"/>
    <w:rsid w:val="798B520C"/>
    <w:rsid w:val="79982FA7"/>
    <w:rsid w:val="799F4335"/>
    <w:rsid w:val="79A656C4"/>
    <w:rsid w:val="79AB4A88"/>
    <w:rsid w:val="79BD47BC"/>
    <w:rsid w:val="79C45B4A"/>
    <w:rsid w:val="79DC08AE"/>
    <w:rsid w:val="79E109F4"/>
    <w:rsid w:val="79EF748B"/>
    <w:rsid w:val="79FC52E4"/>
    <w:rsid w:val="7A0731EE"/>
    <w:rsid w:val="7A0B19CB"/>
    <w:rsid w:val="7A141AFC"/>
    <w:rsid w:val="7A1B0853"/>
    <w:rsid w:val="7A1E34AC"/>
    <w:rsid w:val="7A37631C"/>
    <w:rsid w:val="7A3852EC"/>
    <w:rsid w:val="7A3C7DD6"/>
    <w:rsid w:val="7A3E07D4"/>
    <w:rsid w:val="7A4333D7"/>
    <w:rsid w:val="7A476A87"/>
    <w:rsid w:val="7A47723D"/>
    <w:rsid w:val="7A4C2D4A"/>
    <w:rsid w:val="7A516B6B"/>
    <w:rsid w:val="7A543372"/>
    <w:rsid w:val="7A545120"/>
    <w:rsid w:val="7A552C46"/>
    <w:rsid w:val="7A5B5C6A"/>
    <w:rsid w:val="7A7A445B"/>
    <w:rsid w:val="7A8157E9"/>
    <w:rsid w:val="7A902A2C"/>
    <w:rsid w:val="7A990D85"/>
    <w:rsid w:val="7AA627A4"/>
    <w:rsid w:val="7AAB101F"/>
    <w:rsid w:val="7AB91427"/>
    <w:rsid w:val="7AD149C3"/>
    <w:rsid w:val="7AD9394D"/>
    <w:rsid w:val="7ADC37E3"/>
    <w:rsid w:val="7AF44B79"/>
    <w:rsid w:val="7AFD02D5"/>
    <w:rsid w:val="7B256ABC"/>
    <w:rsid w:val="7B2A297D"/>
    <w:rsid w:val="7B2E3BC3"/>
    <w:rsid w:val="7B2F3497"/>
    <w:rsid w:val="7B475992"/>
    <w:rsid w:val="7B4A02D1"/>
    <w:rsid w:val="7B551150"/>
    <w:rsid w:val="7B5C32EC"/>
    <w:rsid w:val="7B8657AD"/>
    <w:rsid w:val="7B964991"/>
    <w:rsid w:val="7BB3231A"/>
    <w:rsid w:val="7BC934AC"/>
    <w:rsid w:val="7BD32074"/>
    <w:rsid w:val="7BDD2EF3"/>
    <w:rsid w:val="7BDF338E"/>
    <w:rsid w:val="7BE1612F"/>
    <w:rsid w:val="7BEB4002"/>
    <w:rsid w:val="7C097FED"/>
    <w:rsid w:val="7C120DEF"/>
    <w:rsid w:val="7C267368"/>
    <w:rsid w:val="7C352D2F"/>
    <w:rsid w:val="7C374CF9"/>
    <w:rsid w:val="7C3B575E"/>
    <w:rsid w:val="7C5533D1"/>
    <w:rsid w:val="7C594C70"/>
    <w:rsid w:val="7C653614"/>
    <w:rsid w:val="7C6B6751"/>
    <w:rsid w:val="7C746D11"/>
    <w:rsid w:val="7C8768B4"/>
    <w:rsid w:val="7C975798"/>
    <w:rsid w:val="7CA01288"/>
    <w:rsid w:val="7CA0289E"/>
    <w:rsid w:val="7CB65C1E"/>
    <w:rsid w:val="7CCB71F0"/>
    <w:rsid w:val="7CD67231"/>
    <w:rsid w:val="7CE330CD"/>
    <w:rsid w:val="7CF25824"/>
    <w:rsid w:val="7CF404F4"/>
    <w:rsid w:val="7D0050EB"/>
    <w:rsid w:val="7D0E6527"/>
    <w:rsid w:val="7D146DE8"/>
    <w:rsid w:val="7D292894"/>
    <w:rsid w:val="7D342FE7"/>
    <w:rsid w:val="7D360B0D"/>
    <w:rsid w:val="7D367638"/>
    <w:rsid w:val="7D3A1C0A"/>
    <w:rsid w:val="7D5F6345"/>
    <w:rsid w:val="7D621902"/>
    <w:rsid w:val="7D7D498E"/>
    <w:rsid w:val="7D87580C"/>
    <w:rsid w:val="7D8E1CB3"/>
    <w:rsid w:val="7D9B4E14"/>
    <w:rsid w:val="7D9F2B56"/>
    <w:rsid w:val="7DA72BF2"/>
    <w:rsid w:val="7DB303AF"/>
    <w:rsid w:val="7DBF5B65"/>
    <w:rsid w:val="7DC205F3"/>
    <w:rsid w:val="7DCB29F1"/>
    <w:rsid w:val="7E0B7A90"/>
    <w:rsid w:val="7E1C1010"/>
    <w:rsid w:val="7E364F74"/>
    <w:rsid w:val="7E424D5F"/>
    <w:rsid w:val="7E563232"/>
    <w:rsid w:val="7E6E2528"/>
    <w:rsid w:val="7E7D71DF"/>
    <w:rsid w:val="7E896AD1"/>
    <w:rsid w:val="7E977CD1"/>
    <w:rsid w:val="7E9C2E61"/>
    <w:rsid w:val="7EAA17B2"/>
    <w:rsid w:val="7EBF4B32"/>
    <w:rsid w:val="7ED25849"/>
    <w:rsid w:val="7ED56104"/>
    <w:rsid w:val="7EE155EF"/>
    <w:rsid w:val="7EE66563"/>
    <w:rsid w:val="7EF152F5"/>
    <w:rsid w:val="7EFC1C0D"/>
    <w:rsid w:val="7F032D9C"/>
    <w:rsid w:val="7F0B6FA0"/>
    <w:rsid w:val="7F17671C"/>
    <w:rsid w:val="7F340493"/>
    <w:rsid w:val="7F347A31"/>
    <w:rsid w:val="7F3E014D"/>
    <w:rsid w:val="7F45772D"/>
    <w:rsid w:val="7F4F3952"/>
    <w:rsid w:val="7F5160D2"/>
    <w:rsid w:val="7F78540D"/>
    <w:rsid w:val="7F8042C1"/>
    <w:rsid w:val="7F86771E"/>
    <w:rsid w:val="7F924D14"/>
    <w:rsid w:val="7F9B10FB"/>
    <w:rsid w:val="7FA06540"/>
    <w:rsid w:val="7FAC48D8"/>
    <w:rsid w:val="7FBA3C77"/>
    <w:rsid w:val="7FBC4499"/>
    <w:rsid w:val="7FC248DA"/>
    <w:rsid w:val="7FC92566"/>
    <w:rsid w:val="7FCE327F"/>
    <w:rsid w:val="7FF58A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9"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3"/>
    <w:basedOn w:val="1"/>
    <w:next w:val="1"/>
    <w:qFormat/>
    <w:uiPriority w:val="9"/>
    <w:pPr>
      <w:keepNext/>
      <w:keepLines/>
      <w:spacing w:before="260" w:after="260" w:line="416" w:lineRule="auto"/>
      <w:outlineLvl w:val="2"/>
    </w:pPr>
    <w:rPr>
      <w:b/>
      <w:bCs/>
      <w:sz w:val="32"/>
      <w:szCs w:val="32"/>
    </w:rPr>
  </w:style>
  <w:style w:type="paragraph" w:styleId="4">
    <w:name w:val="heading 4"/>
    <w:basedOn w:val="1"/>
    <w:next w:val="5"/>
    <w:unhideWhenUsed/>
    <w:qFormat/>
    <w:uiPriority w:val="0"/>
    <w:pPr>
      <w:keepNext/>
      <w:keepLines/>
      <w:numPr>
        <w:ilvl w:val="3"/>
        <w:numId w:val="1"/>
      </w:numPr>
      <w:spacing w:line="360" w:lineRule="auto"/>
      <w:outlineLvl w:val="3"/>
    </w:pPr>
    <w:rPr>
      <w:b/>
    </w:rPr>
  </w:style>
  <w:style w:type="paragraph" w:styleId="6">
    <w:name w:val="heading 5"/>
    <w:basedOn w:val="1"/>
    <w:next w:val="1"/>
    <w:unhideWhenUsed/>
    <w:qFormat/>
    <w:uiPriority w:val="0"/>
    <w:pPr>
      <w:widowControl/>
      <w:outlineLvl w:val="4"/>
    </w:pPr>
    <w:rPr>
      <w:sz w:val="1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4"/>
    <w:unhideWhenUsed/>
    <w:qFormat/>
    <w:uiPriority w:val="0"/>
    <w:pPr>
      <w:spacing w:line="360" w:lineRule="auto"/>
      <w:ind w:firstLine="420" w:firstLineChars="200"/>
    </w:pPr>
    <w:rPr>
      <w:sz w:val="24"/>
    </w:rPr>
  </w:style>
  <w:style w:type="paragraph" w:styleId="7">
    <w:name w:val="List 3"/>
    <w:basedOn w:val="1"/>
    <w:qFormat/>
    <w:uiPriority w:val="0"/>
    <w:pPr>
      <w:autoSpaceDE w:val="0"/>
      <w:autoSpaceDN w:val="0"/>
      <w:adjustRightInd w:val="0"/>
      <w:spacing w:line="288" w:lineRule="auto"/>
      <w:ind w:left="1260" w:hanging="420"/>
      <w:jc w:val="left"/>
      <w:textAlignment w:val="baseline"/>
    </w:pPr>
    <w:rPr>
      <w:kern w:val="0"/>
      <w:sz w:val="24"/>
      <w:szCs w:val="20"/>
    </w:rPr>
  </w:style>
  <w:style w:type="paragraph" w:styleId="8">
    <w:name w:val="E-mail Signature"/>
    <w:basedOn w:val="1"/>
    <w:next w:val="9"/>
    <w:qFormat/>
    <w:uiPriority w:val="0"/>
  </w:style>
  <w:style w:type="paragraph" w:customStyle="1" w:styleId="9">
    <w:name w:val="文章"/>
    <w:next w:val="10"/>
    <w:semiHidden/>
    <w:qFormat/>
    <w:uiPriority w:val="0"/>
    <w:pPr>
      <w:widowControl w:val="0"/>
      <w:spacing w:beforeLines="50" w:after="120" w:afterLines="50" w:line="360" w:lineRule="auto"/>
      <w:ind w:left="420" w:leftChars="200" w:firstLine="480" w:firstLineChars="200"/>
      <w:jc w:val="both"/>
    </w:pPr>
    <w:rPr>
      <w:rFonts w:ascii="Times New Roman" w:hAnsi="Times New Roman" w:eastAsia="宋体" w:cs="Times New Roman"/>
      <w:sz w:val="24"/>
      <w:lang w:val="en-US" w:eastAsia="zh-CN" w:bidi="ar-SA"/>
    </w:rPr>
  </w:style>
  <w:style w:type="paragraph" w:styleId="10">
    <w:name w:val="List"/>
    <w:basedOn w:val="1"/>
    <w:qFormat/>
    <w:uiPriority w:val="0"/>
    <w:pPr>
      <w:ind w:left="200" w:hanging="200" w:hangingChars="200"/>
    </w:pPr>
    <w:rPr>
      <w:szCs w:val="20"/>
    </w:rPr>
  </w:style>
  <w:style w:type="paragraph" w:styleId="11">
    <w:name w:val="caption"/>
    <w:basedOn w:val="1"/>
    <w:next w:val="1"/>
    <w:qFormat/>
    <w:uiPriority w:val="0"/>
    <w:rPr>
      <w:rFonts w:ascii="Arial" w:hAnsi="Arial" w:eastAsia="黑体"/>
      <w:sz w:val="20"/>
      <w:szCs w:val="20"/>
    </w:rPr>
  </w:style>
  <w:style w:type="paragraph" w:styleId="12">
    <w:name w:val="annotation text"/>
    <w:basedOn w:val="1"/>
    <w:link w:val="100"/>
    <w:semiHidden/>
    <w:qFormat/>
    <w:uiPriority w:val="0"/>
    <w:pPr>
      <w:jc w:val="left"/>
    </w:pPr>
    <w:rPr>
      <w:kern w:val="0"/>
      <w:sz w:val="24"/>
      <w:szCs w:val="20"/>
    </w:rPr>
  </w:style>
  <w:style w:type="paragraph" w:styleId="13">
    <w:name w:val="Body Text"/>
    <w:basedOn w:val="1"/>
    <w:next w:val="1"/>
    <w:qFormat/>
    <w:uiPriority w:val="0"/>
    <w:pPr>
      <w:widowControl/>
      <w:snapToGrid w:val="0"/>
      <w:spacing w:before="60" w:after="160" w:line="259" w:lineRule="auto"/>
      <w:ind w:right="113"/>
    </w:pPr>
    <w:rPr>
      <w:kern w:val="0"/>
      <w:sz w:val="18"/>
      <w:szCs w:val="20"/>
    </w:rPr>
  </w:style>
  <w:style w:type="paragraph" w:styleId="14">
    <w:name w:val="Body Text Indent"/>
    <w:basedOn w:val="1"/>
    <w:next w:val="1"/>
    <w:qFormat/>
    <w:uiPriority w:val="0"/>
    <w:pPr>
      <w:spacing w:after="120"/>
      <w:ind w:left="420" w:leftChars="200"/>
    </w:pPr>
    <w:rPr>
      <w:kern w:val="0"/>
      <w:sz w:val="24"/>
      <w:szCs w:val="20"/>
    </w:rPr>
  </w:style>
  <w:style w:type="paragraph" w:styleId="15">
    <w:name w:val="toc 3"/>
    <w:basedOn w:val="1"/>
    <w:next w:val="1"/>
    <w:qFormat/>
    <w:uiPriority w:val="39"/>
    <w:pPr>
      <w:ind w:left="840" w:leftChars="400"/>
    </w:pPr>
  </w:style>
  <w:style w:type="paragraph" w:styleId="16">
    <w:name w:val="Plain Text"/>
    <w:basedOn w:val="1"/>
    <w:next w:val="5"/>
    <w:link w:val="84"/>
    <w:qFormat/>
    <w:uiPriority w:val="0"/>
    <w:rPr>
      <w:rFonts w:ascii="宋体" w:hAnsi="Courier New"/>
      <w:szCs w:val="20"/>
    </w:rPr>
  </w:style>
  <w:style w:type="paragraph" w:styleId="17">
    <w:name w:val="Body Text Indent 2"/>
    <w:basedOn w:val="1"/>
    <w:next w:val="18"/>
    <w:qFormat/>
    <w:uiPriority w:val="0"/>
    <w:pPr>
      <w:adjustRightInd w:val="0"/>
      <w:snapToGrid w:val="0"/>
      <w:spacing w:line="336" w:lineRule="auto"/>
      <w:ind w:firstLine="480" w:firstLineChars="200"/>
    </w:pPr>
    <w:rPr>
      <w:rFonts w:ascii="宋体"/>
      <w:sz w:val="24"/>
    </w:rPr>
  </w:style>
  <w:style w:type="paragraph" w:styleId="18">
    <w:name w:val="Body Text First Indent 2"/>
    <w:basedOn w:val="14"/>
    <w:next w:val="1"/>
    <w:unhideWhenUsed/>
    <w:qFormat/>
    <w:uiPriority w:val="99"/>
    <w:pPr>
      <w:tabs>
        <w:tab w:val="left" w:pos="2040"/>
      </w:tabs>
      <w:adjustRightInd w:val="0"/>
      <w:spacing w:line="312" w:lineRule="atLeast"/>
      <w:ind w:left="0" w:leftChars="0"/>
      <w:jc w:val="center"/>
      <w:textAlignment w:val="baseline"/>
    </w:pPr>
    <w:rPr>
      <w:rFonts w:ascii="宋体"/>
      <w:b/>
      <w:bCs/>
      <w:sz w:val="21"/>
    </w:rPr>
  </w:style>
  <w:style w:type="paragraph" w:styleId="19">
    <w:name w:val="footer"/>
    <w:basedOn w:val="1"/>
    <w:qFormat/>
    <w:uiPriority w:val="99"/>
    <w:pPr>
      <w:tabs>
        <w:tab w:val="center" w:pos="4153"/>
        <w:tab w:val="right" w:pos="8306"/>
      </w:tabs>
      <w:snapToGrid w:val="0"/>
      <w:jc w:val="left"/>
    </w:pPr>
    <w:rPr>
      <w:kern w:val="0"/>
      <w:sz w:val="18"/>
      <w:szCs w:val="20"/>
    </w:rPr>
  </w:style>
  <w:style w:type="paragraph" w:styleId="20">
    <w:name w:val="header"/>
    <w:basedOn w:val="1"/>
    <w:next w:val="2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21">
    <w:name w:val="样式5"/>
    <w:basedOn w:val="22"/>
    <w:qFormat/>
    <w:uiPriority w:val="0"/>
    <w:pPr>
      <w:autoSpaceDE w:val="0"/>
      <w:autoSpaceDN w:val="0"/>
      <w:adjustRightInd w:val="0"/>
      <w:spacing w:line="340" w:lineRule="exact"/>
      <w:jc w:val="center"/>
    </w:pPr>
    <w:rPr>
      <w:rFonts w:ascii="Times New Roman" w:hAnsi="Times New Roman"/>
      <w:bCs/>
      <w:kern w:val="0"/>
      <w:sz w:val="24"/>
      <w:szCs w:val="20"/>
    </w:rPr>
  </w:style>
  <w:style w:type="paragraph" w:customStyle="1" w:styleId="22">
    <w:name w:val="font5"/>
    <w:basedOn w:val="1"/>
    <w:qFormat/>
    <w:uiPriority w:val="0"/>
    <w:pPr>
      <w:widowControl/>
      <w:adjustRightInd w:val="0"/>
      <w:snapToGrid w:val="0"/>
      <w:spacing w:before="100" w:beforeAutospacing="1" w:after="100" w:afterAutospacing="1" w:line="520" w:lineRule="atLeast"/>
      <w:jc w:val="left"/>
    </w:pPr>
    <w:rPr>
      <w:rFonts w:hint="eastAsia" w:ascii="宋体" w:hAnsi="宋体" w:cs="Arial Unicode MS"/>
      <w:kern w:val="0"/>
      <w:sz w:val="18"/>
      <w:szCs w:val="18"/>
    </w:rPr>
  </w:style>
  <w:style w:type="paragraph" w:styleId="23">
    <w:name w:val="toc 2"/>
    <w:basedOn w:val="1"/>
    <w:next w:val="8"/>
    <w:unhideWhenUsed/>
    <w:qFormat/>
    <w:uiPriority w:val="39"/>
    <w:pPr>
      <w:ind w:left="420" w:leftChars="200"/>
    </w:pPr>
  </w:style>
  <w:style w:type="paragraph" w:styleId="24">
    <w:name w:val="Normal (Web)"/>
    <w:basedOn w:val="1"/>
    <w:next w:val="25"/>
    <w:qFormat/>
    <w:uiPriority w:val="0"/>
    <w:pPr>
      <w:widowControl/>
      <w:spacing w:before="100" w:beforeAutospacing="1" w:after="100" w:afterAutospacing="1"/>
      <w:jc w:val="left"/>
    </w:pPr>
    <w:rPr>
      <w:rFonts w:ascii="宋体" w:hAnsi="宋体"/>
      <w:kern w:val="0"/>
      <w:sz w:val="24"/>
      <w:szCs w:val="20"/>
    </w:rPr>
  </w:style>
  <w:style w:type="paragraph" w:customStyle="1" w:styleId="25">
    <w:name w:val="toc 84"/>
    <w:next w:val="1"/>
    <w:qFormat/>
    <w:uiPriority w:val="99"/>
    <w:pPr>
      <w:wordWrap w:val="0"/>
      <w:ind w:left="2975"/>
      <w:jc w:val="both"/>
    </w:pPr>
    <w:rPr>
      <w:rFonts w:ascii="Times New Roman" w:hAnsi="Times New Roman" w:eastAsia="宋体" w:cs="Times New Roman"/>
      <w:sz w:val="21"/>
      <w:szCs w:val="22"/>
      <w:lang w:val="en-US" w:eastAsia="zh-CN" w:bidi="ar-SA"/>
    </w:rPr>
  </w:style>
  <w:style w:type="paragraph" w:styleId="26">
    <w:name w:val="annotation subject"/>
    <w:basedOn w:val="12"/>
    <w:next w:val="12"/>
    <w:link w:val="101"/>
    <w:qFormat/>
    <w:uiPriority w:val="0"/>
    <w:rPr>
      <w:b/>
      <w:bCs/>
      <w:kern w:val="2"/>
      <w:sz w:val="21"/>
      <w:szCs w:val="24"/>
    </w:rPr>
  </w:style>
  <w:style w:type="paragraph" w:styleId="27">
    <w:name w:val="Body Text First Indent"/>
    <w:basedOn w:val="13"/>
    <w:next w:val="1"/>
    <w:unhideWhenUsed/>
    <w:qFormat/>
    <w:uiPriority w:val="99"/>
    <w:pPr>
      <w:overflowPunct w:val="0"/>
      <w:autoSpaceDE w:val="0"/>
      <w:autoSpaceDN w:val="0"/>
      <w:adjustRightInd w:val="0"/>
      <w:spacing w:line="360" w:lineRule="auto"/>
      <w:ind w:firstLine="539"/>
    </w:pPr>
    <w:rPr>
      <w:sz w:val="28"/>
    </w:rPr>
  </w:style>
  <w:style w:type="table" w:styleId="29">
    <w:name w:val="Table Grid"/>
    <w:basedOn w:val="2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qFormat/>
    <w:uiPriority w:val="0"/>
    <w:rPr>
      <w:b/>
    </w:rPr>
  </w:style>
  <w:style w:type="character" w:styleId="32">
    <w:name w:val="page number"/>
    <w:basedOn w:val="30"/>
    <w:qFormat/>
    <w:uiPriority w:val="0"/>
  </w:style>
  <w:style w:type="character" w:styleId="33">
    <w:name w:val="Hyperlink"/>
    <w:basedOn w:val="30"/>
    <w:qFormat/>
    <w:uiPriority w:val="0"/>
    <w:rPr>
      <w:color w:val="0000FF"/>
      <w:u w:val="single"/>
    </w:rPr>
  </w:style>
  <w:style w:type="character" w:styleId="34">
    <w:name w:val="annotation reference"/>
    <w:semiHidden/>
    <w:qFormat/>
    <w:uiPriority w:val="0"/>
    <w:rPr>
      <w:sz w:val="21"/>
    </w:rPr>
  </w:style>
  <w:style w:type="paragraph" w:customStyle="1" w:styleId="35">
    <w:name w:val="Default1"/>
    <w:basedOn w:val="36"/>
    <w:next w:val="1"/>
    <w:qFormat/>
    <w:uiPriority w:val="0"/>
    <w:pPr>
      <w:widowControl w:val="0"/>
      <w:autoSpaceDE w:val="0"/>
      <w:autoSpaceDN w:val="0"/>
      <w:adjustRightInd w:val="0"/>
    </w:pPr>
    <w:rPr>
      <w:rFonts w:ascii="宋体" w:eastAsia="宋体" w:cs="宋体"/>
      <w:color w:val="000000"/>
      <w:sz w:val="24"/>
      <w:szCs w:val="24"/>
      <w:lang w:val="en-US" w:eastAsia="zh-CN"/>
    </w:rPr>
  </w:style>
  <w:style w:type="paragraph" w:customStyle="1" w:styleId="36">
    <w:name w:val="Normal_14_0"/>
    <w:qFormat/>
    <w:uiPriority w:val="0"/>
    <w:pPr>
      <w:spacing w:before="120" w:after="240"/>
      <w:jc w:val="both"/>
    </w:pPr>
    <w:rPr>
      <w:rFonts w:ascii="Calibri" w:hAnsi="Calibri" w:eastAsia="Calibri" w:cs="Times New Roman"/>
      <w:sz w:val="22"/>
      <w:szCs w:val="22"/>
      <w:lang w:val="ru-RU" w:eastAsia="en-US" w:bidi="ar-SA"/>
    </w:rPr>
  </w:style>
  <w:style w:type="paragraph" w:customStyle="1" w:styleId="37">
    <w:name w:val="xl27"/>
    <w:basedOn w:val="1"/>
    <w:qFormat/>
    <w:uiPriority w:val="0"/>
    <w:pPr>
      <w:widowControl/>
      <w:pBdr>
        <w:bottom w:val="single" w:color="auto" w:sz="4" w:space="0"/>
        <w:right w:val="single" w:color="auto" w:sz="4" w:space="0"/>
      </w:pBdr>
      <w:spacing w:before="100" w:beforeAutospacing="1" w:after="100" w:afterAutospacing="1"/>
      <w:jc w:val="center"/>
    </w:pPr>
    <w:rPr>
      <w:kern w:val="0"/>
      <w:szCs w:val="21"/>
    </w:rPr>
  </w:style>
  <w:style w:type="paragraph" w:customStyle="1" w:styleId="38">
    <w:name w:val="Default"/>
    <w:basedOn w:val="39"/>
    <w:next w:val="18"/>
    <w:qFormat/>
    <w:uiPriority w:val="0"/>
    <w:pPr>
      <w:autoSpaceDE w:val="0"/>
      <w:autoSpaceDN w:val="0"/>
      <w:spacing w:line="360" w:lineRule="auto"/>
      <w:jc w:val="center"/>
    </w:pPr>
    <w:rPr>
      <w:rFonts w:cs="宋体"/>
      <w:sz w:val="24"/>
    </w:rPr>
  </w:style>
  <w:style w:type="paragraph" w:customStyle="1" w:styleId="39">
    <w:name w:val="纯文本1"/>
    <w:basedOn w:val="1"/>
    <w:qFormat/>
    <w:uiPriority w:val="0"/>
    <w:pPr>
      <w:adjustRightInd w:val="0"/>
    </w:pPr>
    <w:rPr>
      <w:rFonts w:ascii="宋体" w:hAnsi="Courier New"/>
      <w:szCs w:val="20"/>
    </w:rPr>
  </w:style>
  <w:style w:type="paragraph" w:customStyle="1" w:styleId="40">
    <w:name w:val="批注文字1"/>
    <w:qFormat/>
    <w:uiPriority w:val="0"/>
    <w:pPr>
      <w:widowControl w:val="0"/>
    </w:pPr>
    <w:rPr>
      <w:rFonts w:ascii="Times New Roman" w:hAnsi="Times New Roman" w:eastAsia="Times New Roman" w:cs="Times New Roman"/>
      <w:color w:val="000000"/>
      <w:kern w:val="2"/>
      <w:sz w:val="21"/>
      <w:szCs w:val="24"/>
      <w:lang w:val="en-US" w:eastAsia="zh-CN" w:bidi="ar-SA"/>
    </w:rPr>
  </w:style>
  <w:style w:type="paragraph" w:customStyle="1" w:styleId="41">
    <w:name w:val="样式 正文文本缩进 + 行距: 1.5 倍行距"/>
    <w:basedOn w:val="14"/>
    <w:qFormat/>
    <w:uiPriority w:val="0"/>
    <w:pPr>
      <w:spacing w:line="360" w:lineRule="auto"/>
      <w:ind w:left="90" w:leftChars="32" w:firstLine="560" w:firstLineChars="200"/>
    </w:pPr>
    <w:rPr>
      <w:rFonts w:cs="宋体"/>
    </w:rPr>
  </w:style>
  <w:style w:type="paragraph" w:customStyle="1" w:styleId="42">
    <w:name w:val="样式 标题 1一级标题 + 段前: 0.5 行 段后: 0.5 行"/>
    <w:basedOn w:val="2"/>
    <w:qFormat/>
    <w:uiPriority w:val="99"/>
    <w:pPr>
      <w:spacing w:line="320" w:lineRule="exact"/>
      <w:outlineLvl w:val="9"/>
    </w:pPr>
    <w:rPr>
      <w:spacing w:val="-6"/>
      <w:sz w:val="21"/>
      <w:szCs w:val="21"/>
    </w:rPr>
  </w:style>
  <w:style w:type="paragraph" w:customStyle="1" w:styleId="43">
    <w:name w:val="表格"/>
    <w:basedOn w:val="44"/>
    <w:next w:val="1"/>
    <w:qFormat/>
    <w:uiPriority w:val="0"/>
    <w:pPr>
      <w:tabs>
        <w:tab w:val="left" w:pos="860"/>
        <w:tab w:val="left" w:pos="1075"/>
      </w:tabs>
      <w:adjustRightInd w:val="0"/>
      <w:snapToGrid w:val="0"/>
      <w:spacing w:beforeLines="10" w:afterLines="10" w:line="259" w:lineRule="auto"/>
      <w:jc w:val="center"/>
    </w:pPr>
    <w:rPr>
      <w:kern w:val="0"/>
    </w:rPr>
  </w:style>
  <w:style w:type="paragraph" w:customStyle="1" w:styleId="44">
    <w:name w:val="表格内表格正文"/>
    <w:basedOn w:val="1"/>
    <w:qFormat/>
    <w:uiPriority w:val="0"/>
    <w:pPr>
      <w:jc w:val="center"/>
    </w:pPr>
    <w:rPr>
      <w:szCs w:val="21"/>
    </w:rPr>
  </w:style>
  <w:style w:type="paragraph" w:customStyle="1" w:styleId="45">
    <w:name w:val="表头"/>
    <w:basedOn w:val="11"/>
    <w:qFormat/>
    <w:uiPriority w:val="0"/>
    <w:pPr>
      <w:tabs>
        <w:tab w:val="left" w:pos="860"/>
        <w:tab w:val="left" w:pos="1075"/>
      </w:tabs>
      <w:spacing w:before="100" w:beforeAutospacing="1"/>
      <w:outlineLvl w:val="0"/>
    </w:pPr>
    <w:rPr>
      <w:rFonts w:ascii="宋体"/>
      <w:b/>
      <w:spacing w:val="2"/>
      <w:sz w:val="24"/>
    </w:rPr>
  </w:style>
  <w:style w:type="paragraph" w:customStyle="1" w:styleId="46">
    <w:name w:val="样式 方正仿宋_GBK 三号 行距: 固定值 28 磅"/>
    <w:basedOn w:val="1"/>
    <w:qFormat/>
    <w:uiPriority w:val="0"/>
    <w:pPr>
      <w:spacing w:line="360" w:lineRule="auto"/>
      <w:ind w:firstLine="200" w:firstLineChars="200"/>
      <w:jc w:val="left"/>
    </w:pPr>
    <w:rPr>
      <w:rFonts w:ascii="方正仿宋_GBK" w:hAnsi="方正仿宋_GBK" w:cs="宋体"/>
      <w:bCs/>
      <w:sz w:val="28"/>
      <w:szCs w:val="20"/>
    </w:rPr>
  </w:style>
  <w:style w:type="paragraph" w:customStyle="1" w:styleId="47">
    <w:name w:val="00表格内容"/>
    <w:basedOn w:val="1"/>
    <w:qFormat/>
    <w:uiPriority w:val="0"/>
    <w:pPr>
      <w:jc w:val="center"/>
    </w:pPr>
  </w:style>
  <w:style w:type="table" w:customStyle="1" w:styleId="48">
    <w:name w:val="Table Normal"/>
    <w:semiHidden/>
    <w:unhideWhenUsed/>
    <w:qFormat/>
    <w:uiPriority w:val="0"/>
    <w:tblPr>
      <w:tblCellMar>
        <w:top w:w="0" w:type="dxa"/>
        <w:left w:w="0" w:type="dxa"/>
        <w:bottom w:w="0" w:type="dxa"/>
        <w:right w:w="0" w:type="dxa"/>
      </w:tblCellMar>
    </w:tblPr>
  </w:style>
  <w:style w:type="paragraph" w:customStyle="1" w:styleId="49">
    <w:name w:val="B正文"/>
    <w:basedOn w:val="1"/>
    <w:qFormat/>
    <w:uiPriority w:val="0"/>
    <w:pPr>
      <w:spacing w:line="360" w:lineRule="auto"/>
      <w:ind w:firstLine="200" w:firstLineChars="200"/>
    </w:pPr>
    <w:rPr>
      <w:kern w:val="0"/>
      <w:sz w:val="24"/>
    </w:rPr>
  </w:style>
  <w:style w:type="paragraph" w:customStyle="1" w:styleId="50">
    <w:name w:val="B表内"/>
    <w:basedOn w:val="49"/>
    <w:qFormat/>
    <w:uiPriority w:val="0"/>
    <w:pPr>
      <w:wordWrap w:val="0"/>
      <w:spacing w:line="240" w:lineRule="auto"/>
      <w:ind w:firstLine="0" w:firstLineChars="0"/>
      <w:jc w:val="center"/>
      <w:textAlignment w:val="center"/>
    </w:pPr>
    <w:rPr>
      <w:rFonts w:cs="宋体"/>
      <w:sz w:val="21"/>
      <w:szCs w:val="20"/>
    </w:rPr>
  </w:style>
  <w:style w:type="paragraph" w:customStyle="1" w:styleId="51">
    <w:name w:val="R22表格"/>
    <w:basedOn w:val="1"/>
    <w:qFormat/>
    <w:uiPriority w:val="99"/>
    <w:pPr>
      <w:autoSpaceDE w:val="0"/>
      <w:autoSpaceDN w:val="0"/>
      <w:adjustRightInd w:val="0"/>
      <w:spacing w:line="360" w:lineRule="exact"/>
      <w:jc w:val="center"/>
    </w:pPr>
    <w:rPr>
      <w:color w:val="000000"/>
      <w:kern w:val="0"/>
      <w:szCs w:val="21"/>
    </w:rPr>
  </w:style>
  <w:style w:type="paragraph" w:customStyle="1" w:styleId="52">
    <w:name w:val="正文(首行缩进)"/>
    <w:basedOn w:val="1"/>
    <w:qFormat/>
    <w:uiPriority w:val="0"/>
    <w:pPr>
      <w:spacing w:line="360" w:lineRule="auto"/>
      <w:ind w:firstLine="510"/>
    </w:pPr>
    <w:rPr>
      <w:rFonts w:ascii="宋体" w:hAnsi="宋体"/>
      <w:kern w:val="0"/>
      <w:sz w:val="24"/>
      <w:szCs w:val="20"/>
    </w:rPr>
  </w:style>
  <w:style w:type="paragraph" w:customStyle="1" w:styleId="53">
    <w:name w:val="楷体"/>
    <w:basedOn w:val="1"/>
    <w:qFormat/>
    <w:uiPriority w:val="0"/>
    <w:pPr>
      <w:adjustRightInd w:val="0"/>
      <w:spacing w:line="360" w:lineRule="auto"/>
      <w:ind w:firstLine="640" w:firstLineChars="200"/>
      <w:textAlignment w:val="baseline"/>
    </w:pPr>
    <w:rPr>
      <w:rFonts w:eastAsia="楷体"/>
      <w:kern w:val="0"/>
      <w:sz w:val="24"/>
    </w:rPr>
  </w:style>
  <w:style w:type="paragraph" w:customStyle="1" w:styleId="54">
    <w:name w:val="0表格内容"/>
    <w:basedOn w:val="1"/>
    <w:qFormat/>
    <w:uiPriority w:val="0"/>
    <w:pPr>
      <w:adjustRightInd w:val="0"/>
      <w:snapToGrid w:val="0"/>
      <w:jc w:val="center"/>
    </w:pPr>
    <w:rPr>
      <w:kern w:val="0"/>
      <w:szCs w:val="21"/>
    </w:rPr>
  </w:style>
  <w:style w:type="paragraph" w:customStyle="1" w:styleId="55">
    <w:name w:val="表文字"/>
    <w:basedOn w:val="1"/>
    <w:qFormat/>
    <w:uiPriority w:val="0"/>
    <w:pPr>
      <w:tabs>
        <w:tab w:val="left" w:pos="945"/>
        <w:tab w:val="right" w:leader="dot" w:pos="1155"/>
        <w:tab w:val="left" w:pos="8715"/>
      </w:tabs>
      <w:adjustRightInd w:val="0"/>
      <w:snapToGrid w:val="0"/>
      <w:spacing w:before="46" w:beforeLines="15" w:after="46" w:afterLines="15" w:line="360" w:lineRule="auto"/>
      <w:jc w:val="center"/>
      <w:textAlignment w:val="baseline"/>
    </w:pPr>
    <w:rPr>
      <w:rFonts w:ascii="宋体" w:hAnsi="宋体"/>
      <w:snapToGrid w:val="0"/>
      <w:color w:val="000000"/>
      <w:kern w:val="0"/>
      <w:szCs w:val="9"/>
    </w:rPr>
  </w:style>
  <w:style w:type="paragraph" w:customStyle="1" w:styleId="56">
    <w:name w:val="A0正文"/>
    <w:basedOn w:val="1"/>
    <w:qFormat/>
    <w:uiPriority w:val="0"/>
    <w:pPr>
      <w:spacing w:line="560" w:lineRule="exact"/>
      <w:ind w:firstLine="200" w:firstLineChars="200"/>
    </w:pPr>
    <w:rPr>
      <w:rFonts w:cs="宋体"/>
      <w:sz w:val="24"/>
      <w:szCs w:val="20"/>
      <w:lang w:val="zh-CN"/>
    </w:rPr>
  </w:style>
  <w:style w:type="paragraph" w:customStyle="1" w:styleId="57">
    <w:name w:val="正本文字0705"/>
    <w:basedOn w:val="1"/>
    <w:qFormat/>
    <w:uiPriority w:val="0"/>
    <w:pPr>
      <w:adjustRightInd w:val="0"/>
      <w:snapToGrid w:val="0"/>
      <w:spacing w:line="360" w:lineRule="auto"/>
      <w:ind w:firstLine="200" w:firstLineChars="200"/>
      <w:textAlignment w:val="baseline"/>
    </w:pPr>
    <w:rPr>
      <w:rFonts w:cs="宋体"/>
      <w:color w:val="000000"/>
      <w:kern w:val="18"/>
      <w:szCs w:val="20"/>
    </w:rPr>
  </w:style>
  <w:style w:type="paragraph" w:customStyle="1" w:styleId="58">
    <w:name w:val="xl26"/>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59">
    <w:name w:val="正文样式"/>
    <w:basedOn w:val="1"/>
    <w:qFormat/>
    <w:uiPriority w:val="0"/>
    <w:pPr>
      <w:spacing w:line="360" w:lineRule="auto"/>
      <w:ind w:firstLine="824" w:firstLineChars="200"/>
    </w:pPr>
    <w:rPr>
      <w:kern w:val="0"/>
      <w:sz w:val="24"/>
      <w:szCs w:val="20"/>
    </w:rPr>
  </w:style>
  <w:style w:type="paragraph" w:customStyle="1" w:styleId="60">
    <w:name w:val="D正文"/>
    <w:basedOn w:val="61"/>
    <w:qFormat/>
    <w:uiPriority w:val="0"/>
    <w:pPr>
      <w:ind w:firstLine="200" w:firstLineChars="200"/>
    </w:pPr>
    <w:rPr>
      <w:rFonts w:hAnsi="Tms Rmn" w:cs="Times New Roman"/>
      <w:spacing w:val="4"/>
    </w:rPr>
  </w:style>
  <w:style w:type="paragraph" w:customStyle="1" w:styleId="61">
    <w:name w:val="正文对的"/>
    <w:basedOn w:val="16"/>
    <w:qFormat/>
    <w:uiPriority w:val="0"/>
    <w:pPr>
      <w:spacing w:line="360" w:lineRule="auto"/>
      <w:ind w:firstLine="480"/>
    </w:pPr>
    <w:rPr>
      <w:rFonts w:cs="宋体"/>
      <w:sz w:val="24"/>
    </w:rPr>
  </w:style>
  <w:style w:type="paragraph" w:customStyle="1" w:styleId="62">
    <w:name w:val="00正文加粗"/>
    <w:basedOn w:val="1"/>
    <w:qFormat/>
    <w:uiPriority w:val="0"/>
    <w:pPr>
      <w:adjustRightInd w:val="0"/>
      <w:snapToGrid w:val="0"/>
      <w:spacing w:line="360" w:lineRule="auto"/>
      <w:ind w:firstLine="482" w:firstLineChars="200"/>
    </w:pPr>
    <w:rPr>
      <w:rFonts w:eastAsia="Times New Roman" w:cs="Arial"/>
      <w:sz w:val="24"/>
    </w:rPr>
  </w:style>
  <w:style w:type="paragraph" w:styleId="63">
    <w:name w:val="List Paragraph"/>
    <w:basedOn w:val="1"/>
    <w:qFormat/>
    <w:uiPriority w:val="0"/>
    <w:pPr>
      <w:spacing w:line="360" w:lineRule="auto"/>
      <w:ind w:firstLine="420"/>
    </w:pPr>
    <w:rPr>
      <w:rFonts w:ascii="Arial" w:hAnsi="Arial"/>
      <w:sz w:val="24"/>
      <w:szCs w:val="22"/>
    </w:rPr>
  </w:style>
  <w:style w:type="paragraph" w:customStyle="1" w:styleId="64">
    <w:name w:val="111111111111111111111111"/>
    <w:basedOn w:val="65"/>
    <w:qFormat/>
    <w:uiPriority w:val="0"/>
    <w:pPr>
      <w:spacing w:before="50" w:beforeLines="50"/>
      <w:jc w:val="center"/>
    </w:pPr>
    <w:rPr>
      <w:rFonts w:cs="宋体"/>
      <w:b/>
    </w:rPr>
  </w:style>
  <w:style w:type="paragraph" w:customStyle="1" w:styleId="65">
    <w:name w:val="正本文字"/>
    <w:basedOn w:val="1"/>
    <w:qFormat/>
    <w:uiPriority w:val="0"/>
    <w:pPr>
      <w:adjustRightInd w:val="0"/>
      <w:snapToGrid w:val="0"/>
      <w:spacing w:line="360" w:lineRule="auto"/>
      <w:ind w:firstLine="480" w:firstLineChars="200"/>
      <w:jc w:val="left"/>
    </w:pPr>
    <w:rPr>
      <w:rFonts w:ascii="Calibri" w:hAnsi="Calibri"/>
      <w:kern w:val="18"/>
      <w:sz w:val="24"/>
    </w:rPr>
  </w:style>
  <w:style w:type="paragraph" w:customStyle="1" w:styleId="66">
    <w:name w:val="2222222222"/>
    <w:qFormat/>
    <w:uiPriority w:val="0"/>
    <w:pPr>
      <w:widowControl w:val="0"/>
      <w:jc w:val="center"/>
    </w:pPr>
    <w:rPr>
      <w:rFonts w:ascii="Calibri" w:hAnsi="Calibri" w:eastAsia="宋体" w:cs="Times New Roman"/>
      <w:kern w:val="2"/>
      <w:sz w:val="21"/>
      <w:szCs w:val="21"/>
      <w:lang w:val="en-US" w:eastAsia="zh-CN" w:bidi="ar-SA"/>
    </w:rPr>
  </w:style>
  <w:style w:type="paragraph" w:customStyle="1" w:styleId="67">
    <w:name w:val="font6"/>
    <w:next w:val="23"/>
    <w:qFormat/>
    <w:uiPriority w:val="0"/>
    <w:pPr>
      <w:spacing w:before="100" w:beforeAutospacing="1" w:after="100" w:afterAutospacing="1"/>
    </w:pPr>
    <w:rPr>
      <w:rFonts w:hint="eastAsia" w:ascii="宋体" w:hAnsi="宋体" w:eastAsia="宋体" w:cs="Times New Roman"/>
      <w:b/>
      <w:sz w:val="18"/>
      <w:lang w:val="en-US" w:eastAsia="zh-CN" w:bidi="ar-SA"/>
    </w:rPr>
  </w:style>
  <w:style w:type="paragraph" w:customStyle="1" w:styleId="68">
    <w:name w:val="样式35"/>
    <w:next w:val="67"/>
    <w:qFormat/>
    <w:uiPriority w:val="0"/>
    <w:pPr>
      <w:widowControl w:val="0"/>
      <w:tabs>
        <w:tab w:val="left" w:pos="992"/>
      </w:tabs>
      <w:snapToGrid w:val="0"/>
      <w:spacing w:line="240" w:lineRule="atLeast"/>
      <w:ind w:hanging="567"/>
      <w:jc w:val="center"/>
    </w:pPr>
    <w:rPr>
      <w:rFonts w:ascii="Calibri" w:hAnsi="Calibri" w:eastAsia="宋体" w:cs="Times New Roman"/>
      <w:sz w:val="21"/>
      <w:szCs w:val="21"/>
      <w:lang w:val="zh-CN" w:eastAsia="zh-CN" w:bidi="ar-SA"/>
    </w:rPr>
  </w:style>
  <w:style w:type="paragraph" w:customStyle="1" w:styleId="69">
    <w:name w:val="00表格内容小五"/>
    <w:basedOn w:val="54"/>
    <w:qFormat/>
    <w:uiPriority w:val="0"/>
    <w:pPr>
      <w:textAlignment w:val="center"/>
    </w:pPr>
    <w:rPr>
      <w:color w:val="000000" w:themeColor="text1"/>
      <w:szCs w:val="18"/>
      <w:lang w:val="zh-CN"/>
      <w14:textFill>
        <w14:solidFill>
          <w14:schemeClr w14:val="tx1"/>
        </w14:solidFill>
      </w14:textFill>
    </w:rPr>
  </w:style>
  <w:style w:type="paragraph" w:customStyle="1" w:styleId="70">
    <w:name w:val="06F图名表名"/>
    <w:basedOn w:val="71"/>
    <w:next w:val="71"/>
    <w:qFormat/>
    <w:uiPriority w:val="0"/>
    <w:rPr>
      <w:b/>
      <w:kern w:val="0"/>
      <w:sz w:val="20"/>
      <w:szCs w:val="20"/>
    </w:rPr>
  </w:style>
  <w:style w:type="paragraph" w:customStyle="1" w:styleId="71">
    <w:name w:val="07F表格文字"/>
    <w:basedOn w:val="72"/>
    <w:next w:val="1"/>
    <w:qFormat/>
    <w:uiPriority w:val="0"/>
    <w:pPr>
      <w:jc w:val="center"/>
    </w:pPr>
  </w:style>
  <w:style w:type="paragraph" w:customStyle="1" w:styleId="72">
    <w:name w:val="08F表格批注"/>
    <w:basedOn w:val="1"/>
    <w:next w:val="1"/>
    <w:qFormat/>
    <w:uiPriority w:val="0"/>
    <w:pPr>
      <w:jc w:val="left"/>
    </w:pPr>
    <w:rPr>
      <w:szCs w:val="21"/>
    </w:rPr>
  </w:style>
  <w:style w:type="paragraph" w:customStyle="1" w:styleId="73">
    <w:name w:val="A表内"/>
    <w:basedOn w:val="1"/>
    <w:qFormat/>
    <w:uiPriority w:val="0"/>
    <w:pPr>
      <w:spacing w:line="0" w:lineRule="atLeast"/>
      <w:jc w:val="center"/>
    </w:pPr>
    <w:rPr>
      <w:rFonts w:ascii="Calibri" w:hAnsi="Calibri" w:cs="宋体"/>
      <w:szCs w:val="22"/>
    </w:rPr>
  </w:style>
  <w:style w:type="paragraph" w:customStyle="1" w:styleId="74">
    <w:name w:val="05F凡式正文"/>
    <w:basedOn w:val="1"/>
    <w:qFormat/>
    <w:uiPriority w:val="0"/>
    <w:pPr>
      <w:spacing w:line="360" w:lineRule="auto"/>
      <w:ind w:firstLine="720" w:firstLineChars="200"/>
    </w:pPr>
    <w:rPr>
      <w:kern w:val="0"/>
      <w:sz w:val="24"/>
      <w:szCs w:val="20"/>
    </w:rPr>
  </w:style>
  <w:style w:type="paragraph" w:customStyle="1" w:styleId="75">
    <w:name w:val="R22表头"/>
    <w:basedOn w:val="1"/>
    <w:qFormat/>
    <w:uiPriority w:val="0"/>
    <w:pPr>
      <w:autoSpaceDE w:val="0"/>
      <w:autoSpaceDN w:val="0"/>
      <w:adjustRightInd w:val="0"/>
    </w:pPr>
    <w:rPr>
      <w:rFonts w:hAnsi="宋体" w:eastAsia="黑体" w:cs="宋体"/>
      <w:color w:val="000000"/>
      <w:kern w:val="0"/>
    </w:rPr>
  </w:style>
  <w:style w:type="paragraph" w:customStyle="1" w:styleId="76">
    <w:name w:val="表格内正文"/>
    <w:basedOn w:val="1"/>
    <w:qFormat/>
    <w:uiPriority w:val="0"/>
    <w:pPr>
      <w:spacing w:line="360" w:lineRule="auto"/>
      <w:ind w:firstLine="493"/>
    </w:pPr>
    <w:rPr>
      <w:rFonts w:ascii="宋体" w:hAnsi="宋体"/>
      <w:spacing w:val="4"/>
      <w:kern w:val="18"/>
      <w:sz w:val="24"/>
    </w:rPr>
  </w:style>
  <w:style w:type="paragraph" w:customStyle="1" w:styleId="77">
    <w:name w:val="A 正文"/>
    <w:basedOn w:val="1"/>
    <w:next w:val="1"/>
    <w:qFormat/>
    <w:uiPriority w:val="0"/>
    <w:pPr>
      <w:spacing w:line="360" w:lineRule="auto"/>
      <w:ind w:firstLine="482" w:firstLineChars="200"/>
      <w:jc w:val="center"/>
    </w:pPr>
    <w:rPr>
      <w:b/>
      <w:bCs/>
      <w:sz w:val="24"/>
      <w:szCs w:val="21"/>
    </w:rPr>
  </w:style>
  <w:style w:type="paragraph" w:customStyle="1" w:styleId="78">
    <w:name w:val="04F报告表小标题"/>
    <w:basedOn w:val="79"/>
    <w:next w:val="74"/>
    <w:qFormat/>
    <w:uiPriority w:val="0"/>
    <w:pPr>
      <w:ind w:firstLine="720" w:firstLineChars="200"/>
    </w:pPr>
    <w:rPr>
      <w:sz w:val="24"/>
      <w:szCs w:val="24"/>
    </w:rPr>
  </w:style>
  <w:style w:type="paragraph" w:customStyle="1" w:styleId="79">
    <w:name w:val="03F报告表顶格标题"/>
    <w:basedOn w:val="74"/>
    <w:next w:val="78"/>
    <w:qFormat/>
    <w:uiPriority w:val="0"/>
    <w:pPr>
      <w:ind w:firstLine="0" w:firstLineChars="0"/>
      <w:jc w:val="left"/>
    </w:pPr>
    <w:rPr>
      <w:b/>
      <w:sz w:val="28"/>
      <w:szCs w:val="28"/>
    </w:rPr>
  </w:style>
  <w:style w:type="paragraph" w:customStyle="1" w:styleId="80">
    <w:name w:val="标题1.1"/>
    <w:basedOn w:val="1"/>
    <w:qFormat/>
    <w:uiPriority w:val="0"/>
    <w:pPr>
      <w:adjustRightInd w:val="0"/>
      <w:snapToGrid w:val="0"/>
      <w:spacing w:line="360" w:lineRule="auto"/>
      <w:jc w:val="left"/>
    </w:pPr>
    <w:rPr>
      <w:rFonts w:eastAsia="黑体"/>
      <w:bCs/>
      <w:color w:val="000000"/>
      <w:sz w:val="24"/>
    </w:rPr>
  </w:style>
  <w:style w:type="paragraph" w:customStyle="1" w:styleId="81">
    <w:name w:val="德正表格"/>
    <w:basedOn w:val="1"/>
    <w:qFormat/>
    <w:uiPriority w:val="0"/>
    <w:pPr>
      <w:adjustRightInd w:val="0"/>
      <w:snapToGrid w:val="0"/>
      <w:jc w:val="center"/>
    </w:pPr>
  </w:style>
  <w:style w:type="paragraph" w:customStyle="1" w:styleId="82">
    <w:name w:val="样式10"/>
    <w:basedOn w:val="83"/>
    <w:qFormat/>
    <w:uiPriority w:val="0"/>
    <w:pPr>
      <w:numPr>
        <w:ilvl w:val="0"/>
        <w:numId w:val="2"/>
      </w:numPr>
      <w:ind w:firstLine="0"/>
    </w:pPr>
    <w:rPr>
      <w:rFonts w:eastAsia="宋体"/>
      <w:b/>
      <w:sz w:val="24"/>
    </w:rPr>
  </w:style>
  <w:style w:type="paragraph" w:customStyle="1" w:styleId="83">
    <w:name w:val="表格标题"/>
    <w:basedOn w:val="1"/>
    <w:next w:val="1"/>
    <w:qFormat/>
    <w:uiPriority w:val="0"/>
    <w:pPr>
      <w:adjustRightInd w:val="0"/>
      <w:snapToGrid w:val="0"/>
      <w:jc w:val="center"/>
    </w:pPr>
    <w:rPr>
      <w:rFonts w:eastAsia="黑体"/>
      <w:color w:val="000000"/>
    </w:rPr>
  </w:style>
  <w:style w:type="character" w:customStyle="1" w:styleId="84">
    <w:name w:val="纯文本 字符"/>
    <w:link w:val="16"/>
    <w:qFormat/>
    <w:uiPriority w:val="0"/>
    <w:rPr>
      <w:rFonts w:ascii="宋体" w:hAnsi="Courier New"/>
      <w:szCs w:val="20"/>
    </w:rPr>
  </w:style>
  <w:style w:type="paragraph" w:customStyle="1" w:styleId="85">
    <w:name w:val="表内文本"/>
    <w:basedOn w:val="1"/>
    <w:next w:val="1"/>
    <w:qFormat/>
    <w:uiPriority w:val="0"/>
    <w:pPr>
      <w:spacing w:line="360" w:lineRule="exact"/>
      <w:jc w:val="center"/>
    </w:pPr>
    <w:rPr>
      <w:color w:val="000000"/>
      <w:szCs w:val="52"/>
    </w:rPr>
  </w:style>
  <w:style w:type="paragraph" w:customStyle="1" w:styleId="86">
    <w:name w:val="a表格"/>
    <w:next w:val="1"/>
    <w:qFormat/>
    <w:uiPriority w:val="0"/>
    <w:pPr>
      <w:jc w:val="center"/>
    </w:pPr>
    <w:rPr>
      <w:rFonts w:ascii="Times New Roman" w:hAnsi="Times New Roman" w:eastAsia="宋体" w:cs="Times New Roman"/>
      <w:sz w:val="21"/>
      <w:szCs w:val="24"/>
      <w:lang w:val="en-US" w:eastAsia="zh-CN" w:bidi="ar-SA"/>
    </w:rPr>
  </w:style>
  <w:style w:type="paragraph" w:customStyle="1" w:styleId="87">
    <w:name w:val="Table Text"/>
    <w:basedOn w:val="1"/>
    <w:semiHidden/>
    <w:qFormat/>
    <w:uiPriority w:val="0"/>
    <w:rPr>
      <w:rFonts w:ascii="宋体" w:hAnsi="宋体" w:cs="宋体"/>
      <w:sz w:val="20"/>
      <w:szCs w:val="20"/>
      <w:lang w:eastAsia="en-US"/>
    </w:rPr>
  </w:style>
  <w:style w:type="paragraph" w:customStyle="1" w:styleId="88">
    <w:name w:val="Char Char Char"/>
    <w:basedOn w:val="1"/>
    <w:qFormat/>
    <w:uiPriority w:val="0"/>
    <w:rPr>
      <w:szCs w:val="20"/>
    </w:rPr>
  </w:style>
  <w:style w:type="paragraph" w:customStyle="1" w:styleId="89">
    <w:name w:val="0表头"/>
    <w:basedOn w:val="1"/>
    <w:qFormat/>
    <w:uiPriority w:val="0"/>
    <w:pPr>
      <w:widowControl/>
      <w:snapToGrid w:val="0"/>
      <w:spacing w:line="400" w:lineRule="exact"/>
      <w:jc w:val="center"/>
    </w:pPr>
    <w:rPr>
      <w:b/>
      <w:kern w:val="0"/>
      <w:szCs w:val="21"/>
    </w:rPr>
  </w:style>
  <w:style w:type="paragraph" w:customStyle="1" w:styleId="90">
    <w:name w:val="报告表正文"/>
    <w:basedOn w:val="1"/>
    <w:qFormat/>
    <w:uiPriority w:val="0"/>
    <w:pPr>
      <w:adjustRightInd w:val="0"/>
      <w:spacing w:line="312" w:lineRule="auto"/>
      <w:ind w:left="113" w:right="113" w:firstLine="482"/>
      <w:jc w:val="left"/>
      <w:textAlignment w:val="baseline"/>
    </w:pPr>
    <w:rPr>
      <w:kern w:val="0"/>
      <w:szCs w:val="20"/>
    </w:rPr>
  </w:style>
  <w:style w:type="character" w:customStyle="1" w:styleId="91">
    <w:name w:val="fontstyle01"/>
    <w:basedOn w:val="30"/>
    <w:qFormat/>
    <w:uiPriority w:val="0"/>
    <w:rPr>
      <w:rFonts w:hint="eastAsia" w:ascii="宋体" w:hAnsi="宋体" w:eastAsia="宋体" w:cs="宋体"/>
      <w:color w:val="000000"/>
      <w:sz w:val="24"/>
      <w:szCs w:val="24"/>
    </w:rPr>
  </w:style>
  <w:style w:type="paragraph" w:customStyle="1" w:styleId="92">
    <w:name w:val="样式 小四 行距: 1.5 倍行距"/>
    <w:basedOn w:val="1"/>
    <w:qFormat/>
    <w:uiPriority w:val="0"/>
    <w:pPr>
      <w:ind w:firstLine="480"/>
    </w:pPr>
    <w:rPr>
      <w:rFonts w:cs="宋体"/>
    </w:rPr>
  </w:style>
  <w:style w:type="paragraph" w:customStyle="1" w:styleId="93">
    <w:name w:val="yt正文"/>
    <w:basedOn w:val="1"/>
    <w:qFormat/>
    <w:uiPriority w:val="0"/>
    <w:pPr>
      <w:ind w:firstLine="1446"/>
    </w:pPr>
  </w:style>
  <w:style w:type="paragraph" w:customStyle="1" w:styleId="94">
    <w:name w:val="正文2"/>
    <w:basedOn w:val="1"/>
    <w:qFormat/>
    <w:uiPriority w:val="0"/>
    <w:pPr>
      <w:adjustRightInd w:val="0"/>
      <w:ind w:firstLine="480"/>
      <w:textAlignment w:val="baseline"/>
    </w:pPr>
    <w:rPr>
      <w:rFonts w:ascii="宋体" w:hAnsi="宋体" w:cs="宋体"/>
      <w:kern w:val="21"/>
    </w:rPr>
  </w:style>
  <w:style w:type="paragraph" w:customStyle="1" w:styleId="95">
    <w:name w:val="D图表小四"/>
    <w:basedOn w:val="1"/>
    <w:qFormat/>
    <w:uiPriority w:val="0"/>
    <w:pPr>
      <w:spacing w:before="120" w:after="120"/>
      <w:jc w:val="center"/>
    </w:pPr>
    <w:rPr>
      <w:b/>
    </w:rPr>
  </w:style>
  <w:style w:type="paragraph" w:customStyle="1" w:styleId="96">
    <w:name w:val="Body text|1"/>
    <w:basedOn w:val="1"/>
    <w:qFormat/>
    <w:uiPriority w:val="0"/>
    <w:pPr>
      <w:spacing w:line="401" w:lineRule="auto"/>
      <w:ind w:firstLine="400"/>
    </w:pPr>
    <w:rPr>
      <w:rFonts w:ascii="宋体" w:hAnsi="宋体" w:cs="宋体"/>
      <w:sz w:val="22"/>
      <w:szCs w:val="22"/>
      <w:lang w:val="zh-TW" w:eastAsia="zh-TW" w:bidi="zh-TW"/>
    </w:rPr>
  </w:style>
  <w:style w:type="paragraph" w:customStyle="1" w:styleId="97">
    <w:name w:val="Table Paragraph"/>
    <w:basedOn w:val="1"/>
    <w:qFormat/>
    <w:uiPriority w:val="1"/>
  </w:style>
  <w:style w:type="paragraph" w:customStyle="1" w:styleId="98">
    <w:name w:val="正文样式2"/>
    <w:basedOn w:val="1"/>
    <w:qFormat/>
    <w:uiPriority w:val="0"/>
    <w:pPr>
      <w:spacing w:line="440" w:lineRule="exact"/>
      <w:ind w:firstLine="200" w:firstLineChars="200"/>
      <w:jc w:val="left"/>
    </w:pPr>
    <w:rPr>
      <w:sz w:val="24"/>
    </w:rPr>
  </w:style>
  <w:style w:type="paragraph" w:customStyle="1" w:styleId="99">
    <w:name w:val="冠恒"/>
    <w:basedOn w:val="1"/>
    <w:qFormat/>
    <w:uiPriority w:val="0"/>
    <w:pPr>
      <w:spacing w:line="360" w:lineRule="auto"/>
      <w:ind w:firstLine="720" w:firstLineChars="200"/>
    </w:pPr>
    <w:rPr>
      <w:sz w:val="24"/>
    </w:rPr>
  </w:style>
  <w:style w:type="character" w:customStyle="1" w:styleId="100">
    <w:name w:val="批注文字 字符"/>
    <w:basedOn w:val="30"/>
    <w:link w:val="12"/>
    <w:semiHidden/>
    <w:qFormat/>
    <w:uiPriority w:val="0"/>
    <w:rPr>
      <w:sz w:val="24"/>
    </w:rPr>
  </w:style>
  <w:style w:type="character" w:customStyle="1" w:styleId="101">
    <w:name w:val="批注主题 字符"/>
    <w:basedOn w:val="100"/>
    <w:link w:val="26"/>
    <w:qFormat/>
    <w:uiPriority w:val="0"/>
    <w:rPr>
      <w:b/>
      <w:bCs/>
      <w:kern w:val="2"/>
      <w:sz w:val="21"/>
      <w:szCs w:val="24"/>
    </w:rPr>
  </w:style>
  <w:style w:type="paragraph" w:customStyle="1" w:styleId="102">
    <w:name w:val="aa正文"/>
    <w:basedOn w:val="1"/>
    <w:qFormat/>
    <w:uiPriority w:val="0"/>
    <w:pPr>
      <w:widowControl/>
      <w:spacing w:line="360" w:lineRule="auto"/>
      <w:jc w:val="left"/>
    </w:pPr>
    <w:rPr>
      <w:rFonts w:cs="宋体"/>
      <w:sz w:val="24"/>
    </w:rPr>
  </w:style>
  <w:style w:type="paragraph" w:customStyle="1" w:styleId="103">
    <w:name w:val="表格内容"/>
    <w:basedOn w:val="83"/>
    <w:next w:val="1"/>
    <w:qFormat/>
    <w:uiPriority w:val="0"/>
    <w:pPr>
      <w:jc w:val="center"/>
    </w:pPr>
    <w:rPr>
      <w:rFonts w:cs="宋体"/>
      <w:color w:val="000000"/>
      <w:sz w:val="24"/>
      <w:szCs w:val="24"/>
      <w:lang w:val="en-US" w:eastAsia="zh-CN" w:bidi="ar-SA"/>
    </w:rPr>
  </w:style>
  <w:style w:type="paragraph" w:customStyle="1" w:styleId="104">
    <w:name w:val="1、正文-德正"/>
    <w:basedOn w:val="1"/>
    <w:qFormat/>
    <w:uiPriority w:val="0"/>
    <w:pPr>
      <w:spacing w:line="360" w:lineRule="auto"/>
      <w:ind w:firstLine="720" w:firstLineChars="200"/>
    </w:pPr>
    <w:rPr>
      <w:kern w:val="0"/>
      <w:sz w:val="24"/>
      <w:szCs w:val="20"/>
    </w:rPr>
  </w:style>
  <w:style w:type="paragraph" w:customStyle="1" w:styleId="105">
    <w:name w:val="05F表格文字"/>
    <w:basedOn w:val="1"/>
    <w:qFormat/>
    <w:uiPriority w:val="0"/>
    <w:pPr>
      <w:spacing w:line="240" w:lineRule="auto"/>
      <w:ind w:firstLine="0" w:firstLineChars="0"/>
      <w:jc w:val="center"/>
    </w:pPr>
    <w:rPr>
      <w:rFonts w:ascii="Times New Roman" w:hAnsi="Times New Roman"/>
      <w:sz w:val="21"/>
      <w:szCs w:val="21"/>
    </w:rPr>
  </w:style>
  <w:style w:type="paragraph" w:customStyle="1" w:styleId="106">
    <w:name w:val="常用表头样式"/>
    <w:basedOn w:val="27"/>
    <w:next w:val="1"/>
    <w:qFormat/>
    <w:uiPriority w:val="0"/>
    <w:pPr>
      <w:keepNext w:val="0"/>
      <w:keepLines w:val="0"/>
      <w:widowControl w:val="0"/>
      <w:suppressLineNumbers w:val="0"/>
      <w:spacing w:before="50" w:beforeLines="50" w:beforeAutospacing="0" w:after="0" w:afterAutospacing="0"/>
      <w:ind w:left="0" w:right="0"/>
      <w:jc w:val="center"/>
    </w:pPr>
    <w:rPr>
      <w:rFonts w:hint="default" w:ascii="Times New Roman" w:hAnsi="Times New Roman" w:eastAsia="宋体" w:cs="Times New Roman"/>
      <w:b/>
      <w:kern w:val="2"/>
      <w:sz w:val="21"/>
      <w:szCs w:val="21"/>
      <w:lang w:val="en-US" w:eastAsia="zh-CN" w:bidi="ar"/>
    </w:rPr>
  </w:style>
  <w:style w:type="paragraph" w:customStyle="1" w:styleId="107">
    <w:name w:val="表"/>
    <w:basedOn w:val="1"/>
    <w:qFormat/>
    <w:uiPriority w:val="0"/>
    <w:pPr>
      <w:snapToGrid w:val="0"/>
      <w:jc w:val="center"/>
    </w:pPr>
    <w:rPr>
      <w:spacing w:val="2"/>
      <w:szCs w:val="20"/>
    </w:rPr>
  </w:style>
  <w:style w:type="paragraph" w:customStyle="1" w:styleId="108">
    <w:name w:val="表格内容-德正"/>
    <w:qFormat/>
    <w:uiPriority w:val="99"/>
    <w:pPr>
      <w:autoSpaceDE w:val="0"/>
      <w:autoSpaceDN w:val="0"/>
      <w:adjustRightInd w:val="0"/>
      <w:jc w:val="center"/>
    </w:pPr>
    <w:rPr>
      <w:rFonts w:ascii="Times New Roman" w:hAnsi="Times New Roman" w:eastAsia="宋体" w:cs="Times New Roman"/>
      <w:color w:val="000000"/>
      <w:sz w:val="21"/>
      <w:szCs w:val="21"/>
      <w:lang w:val="en-US" w:eastAsia="zh-CN" w:bidi="ar-SA"/>
    </w:rPr>
  </w:style>
  <w:style w:type="paragraph" w:customStyle="1" w:styleId="109">
    <w:name w:val="正文首行缩进 2 + Times New Roman"/>
    <w:basedOn w:val="1"/>
    <w:qFormat/>
    <w:uiPriority w:val="0"/>
    <w:pPr>
      <w:tabs>
        <w:tab w:val="left" w:pos="0"/>
        <w:tab w:val="left" w:pos="870"/>
        <w:tab w:val="left" w:pos="3150"/>
      </w:tabs>
      <w:autoSpaceDE w:val="0"/>
      <w:autoSpaceDN w:val="0"/>
      <w:spacing w:line="360" w:lineRule="auto"/>
      <w:ind w:firstLine="480" w:firstLineChars="200"/>
      <w:jc w:val="left"/>
    </w:pPr>
    <w:rPr>
      <w:sz w:val="24"/>
    </w:rPr>
  </w:style>
  <w:style w:type="paragraph" w:customStyle="1" w:styleId="110">
    <w:name w:val="0.5正文"/>
    <w:basedOn w:val="1"/>
    <w:next w:val="1"/>
    <w:qFormat/>
    <w:uiPriority w:val="0"/>
    <w:pPr>
      <w:spacing w:beforeLines="50"/>
    </w:pPr>
  </w:style>
  <w:style w:type="paragraph" w:customStyle="1" w:styleId="111">
    <w:name w:val="表内容"/>
    <w:basedOn w:val="1"/>
    <w:qFormat/>
    <w:uiPriority w:val="0"/>
    <w:pPr>
      <w:spacing w:line="240" w:lineRule="auto"/>
      <w:ind w:firstLine="0" w:firstLineChars="0"/>
      <w:jc w:val="center"/>
    </w:pPr>
    <w:rPr>
      <w:rFonts w:ascii="宋体" w:hAnsi="宋体"/>
      <w:snapToGrid w:val="0"/>
      <w:sz w:val="21"/>
      <w:szCs w:val="21"/>
    </w:rPr>
  </w:style>
  <w:style w:type="paragraph" w:customStyle="1" w:styleId="112">
    <w:name w:val="表格文字"/>
    <w:qFormat/>
    <w:uiPriority w:val="0"/>
    <w:pPr>
      <w:spacing w:before="10" w:beforeLines="10" w:after="10" w:afterLines="10" w:line="0" w:lineRule="atLeast"/>
      <w:jc w:val="center"/>
    </w:pPr>
    <w:rPr>
      <w:rFonts w:ascii="Times New Roman" w:hAnsi="Times New Roman" w:eastAsia="宋体" w:cs="Times New Roman"/>
      <w:kern w:val="2"/>
      <w:sz w:val="18"/>
      <w:szCs w:val="21"/>
      <w:lang w:val="en-US" w:eastAsia="zh-CN" w:bidi="ar-SA"/>
    </w:rPr>
  </w:style>
  <w:style w:type="paragraph" w:customStyle="1" w:styleId="113">
    <w:name w:val="p0"/>
    <w:basedOn w:val="1"/>
    <w:qFormat/>
    <w:uiPriority w:val="0"/>
    <w:pPr>
      <w:widowControl/>
    </w:pPr>
    <w:rPr>
      <w:kern w:val="0"/>
    </w:rPr>
  </w:style>
  <w:style w:type="paragraph" w:customStyle="1" w:styleId="114">
    <w:name w:val="表中文字0720"/>
    <w:basedOn w:val="1"/>
    <w:qFormat/>
    <w:uiPriority w:val="0"/>
    <w:pPr>
      <w:snapToGrid w:val="0"/>
      <w:spacing w:line="240" w:lineRule="auto"/>
      <w:jc w:val="center"/>
    </w:pPr>
    <w:rPr>
      <w:snapToGrid w:val="0"/>
      <w:color w:val="000000"/>
      <w:spacing w:val="4"/>
      <w:szCs w:val="21"/>
    </w:rPr>
  </w:style>
  <w:style w:type="paragraph" w:customStyle="1" w:styleId="115">
    <w:name w:val="报告正文"/>
    <w:basedOn w:val="1"/>
    <w:qFormat/>
    <w:uiPriority w:val="0"/>
    <w:pPr>
      <w:adjustRightInd w:val="0"/>
      <w:spacing w:line="360" w:lineRule="auto"/>
      <w:ind w:firstLine="480" w:firstLineChars="200"/>
    </w:pPr>
    <w:rPr>
      <w:rFonts w:eastAsia="仿宋_GB2312"/>
      <w:sz w:val="24"/>
      <w:lang w:val="en-GB"/>
    </w:rPr>
  </w:style>
  <w:style w:type="paragraph" w:customStyle="1" w:styleId="116">
    <w:name w:val="表1-"/>
    <w:basedOn w:val="1"/>
    <w:next w:val="1"/>
    <w:qFormat/>
    <w:uiPriority w:val="0"/>
    <w:pPr>
      <w:numPr>
        <w:ilvl w:val="7"/>
        <w:numId w:val="3"/>
      </w:numPr>
      <w:overflowPunct w:val="0"/>
      <w:autoSpaceDE w:val="0"/>
      <w:autoSpaceDN w:val="0"/>
      <w:adjustRightInd/>
      <w:spacing w:afterLines="0" w:line="240" w:lineRule="auto"/>
      <w:ind w:firstLine="0" w:firstLineChars="0"/>
      <w:jc w:val="center"/>
    </w:pPr>
    <w:rPr>
      <w:rFonts w:hint="eastAsia" w:ascii="Times New Roman" w:hAnsi="Times New Roman" w:eastAsia="宋体"/>
      <w:b/>
      <w:bCs/>
      <w:sz w:val="21"/>
      <w:szCs w:val="21"/>
    </w:rPr>
  </w:style>
  <w:style w:type="paragraph" w:customStyle="1" w:styleId="117">
    <w:name w:val="表格样式"/>
    <w:basedOn w:val="1"/>
    <w:qFormat/>
    <w:uiPriority w:val="0"/>
    <w:pPr>
      <w:widowControl/>
      <w:spacing w:line="240" w:lineRule="auto"/>
      <w:ind w:firstLine="0" w:firstLineChars="0"/>
      <w:jc w:val="center"/>
    </w:pPr>
    <w:rPr>
      <w:sz w:val="21"/>
      <w:szCs w:val="21"/>
    </w:rPr>
  </w:style>
  <w:style w:type="table" w:customStyle="1" w:styleId="118">
    <w:name w:val="09表格三线表"/>
    <w:basedOn w:val="28"/>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cPr>
      <w:tcBorders>
        <w:top w:val="single" w:color="auto" w:sz="12" w:space="0"/>
        <w:bottom w:val="single" w:color="auto" w:sz="12" w:space="0"/>
      </w:tcBorders>
      <w:vAlign w:val="center"/>
    </w:tcPr>
    <w:tblStylePr w:type="firstRow">
      <w:rPr>
        <w:rFonts w:hint="default" w:ascii="Times New Roman" w:hAnsi="Times New Roman" w:cs="Times New Roman"/>
        <w:b/>
      </w:rPr>
    </w:tblStyle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26.jpeg"/><Relationship Id="rId41" Type="http://schemas.openxmlformats.org/officeDocument/2006/relationships/image" Target="media/image25.jpeg"/><Relationship Id="rId40" Type="http://schemas.openxmlformats.org/officeDocument/2006/relationships/image" Target="media/image24.png"/><Relationship Id="rId4" Type="http://schemas.openxmlformats.org/officeDocument/2006/relationships/footer" Target="footer2.xml"/><Relationship Id="rId39" Type="http://schemas.openxmlformats.org/officeDocument/2006/relationships/image" Target="media/image23.jpeg"/><Relationship Id="rId38" Type="http://schemas.openxmlformats.org/officeDocument/2006/relationships/image" Target="media/image22.jpeg"/><Relationship Id="rId37" Type="http://schemas.openxmlformats.org/officeDocument/2006/relationships/image" Target="media/image21.jpeg"/><Relationship Id="rId36" Type="http://schemas.openxmlformats.org/officeDocument/2006/relationships/image" Target="media/image20.jpeg"/><Relationship Id="rId35" Type="http://schemas.openxmlformats.org/officeDocument/2006/relationships/image" Target="media/image19.jpeg"/><Relationship Id="rId34" Type="http://schemas.openxmlformats.org/officeDocument/2006/relationships/image" Target="media/image18.jpeg"/><Relationship Id="rId33" Type="http://schemas.openxmlformats.org/officeDocument/2006/relationships/image" Target="media/image17.png"/><Relationship Id="rId32" Type="http://schemas.openxmlformats.org/officeDocument/2006/relationships/image" Target="media/image16.wmf"/><Relationship Id="rId31" Type="http://schemas.openxmlformats.org/officeDocument/2006/relationships/oleObject" Target="embeddings/oleObject7.bin"/><Relationship Id="rId30" Type="http://schemas.openxmlformats.org/officeDocument/2006/relationships/image" Target="media/image15.wmf"/><Relationship Id="rId3" Type="http://schemas.openxmlformats.org/officeDocument/2006/relationships/footer" Target="footer1.xml"/><Relationship Id="rId29" Type="http://schemas.openxmlformats.org/officeDocument/2006/relationships/oleObject" Target="embeddings/oleObject6.bin"/><Relationship Id="rId28" Type="http://schemas.openxmlformats.org/officeDocument/2006/relationships/image" Target="media/image14.wmf"/><Relationship Id="rId27" Type="http://schemas.openxmlformats.org/officeDocument/2006/relationships/oleObject" Target="embeddings/oleObject5.bin"/><Relationship Id="rId26" Type="http://schemas.openxmlformats.org/officeDocument/2006/relationships/image" Target="media/image13.wmf"/><Relationship Id="rId25" Type="http://schemas.openxmlformats.org/officeDocument/2006/relationships/oleObject" Target="embeddings/oleObject4.bin"/><Relationship Id="rId24" Type="http://schemas.openxmlformats.org/officeDocument/2006/relationships/image" Target="media/image12.wmf"/><Relationship Id="rId23" Type="http://schemas.openxmlformats.org/officeDocument/2006/relationships/oleObject" Target="embeddings/oleObject3.bin"/><Relationship Id="rId22" Type="http://schemas.openxmlformats.org/officeDocument/2006/relationships/image" Target="media/image11.wmf"/><Relationship Id="rId21" Type="http://schemas.openxmlformats.org/officeDocument/2006/relationships/oleObject" Target="embeddings/oleObject2.bin"/><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wmf"/><Relationship Id="rId17" Type="http://schemas.openxmlformats.org/officeDocument/2006/relationships/oleObject" Target="embeddings/oleObject1.bin"/><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84</Pages>
  <Words>18677</Words>
  <Characters>19753</Characters>
  <Lines>401</Lines>
  <Paragraphs>112</Paragraphs>
  <TotalTime>3</TotalTime>
  <ScaleCrop>false</ScaleCrop>
  <LinksUpToDate>false</LinksUpToDate>
  <CharactersWithSpaces>19898</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2025-06-16T11:01:00Z</dcterms:created>
  <dc:creator>ᴳᴼᴼᴰ ᴹᴼᴿᴺᴵᴺᴳ</dc:creator>
  <cp:lastModifiedBy>小愤青菜</cp:lastModifiedBy>
  <dcterms:modified xsi:type="dcterms:W3CDTF">2026-02-28T16:40:08Z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36FD0B26EB884AD889482022DFA35A7C_13</vt:lpwstr>
  </property>
  <property fmtid="{D5CDD505-2E9C-101B-9397-08002B2CF9AE}" pid="4" name="KSOTemplateDocerSaveRecord">
    <vt:lpwstr>eyJoZGlkIjoiNTQ0NTE0NDRjNTAyYjkwMTg5NGIwOWM0MjYzNGQ0NjciLCJ1c2VySWQiOiIxMjcwMTczMzY0In0=</vt:lpwstr>
  </property>
</Properties>
</file>