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F3D2D">
      <w:pPr>
        <w:rPr>
          <w:rFonts w:eastAsia="仿宋_GB2312"/>
          <w:color w:val="000000" w:themeColor="text1"/>
          <w:sz w:val="36"/>
          <w:szCs w:val="36"/>
          <w14:textFill>
            <w14:solidFill>
              <w14:schemeClr w14:val="tx1"/>
            </w14:solidFill>
          </w14:textFill>
        </w:rPr>
      </w:pPr>
    </w:p>
    <w:p w14:paraId="5EDABC64">
      <w:pPr>
        <w:rPr>
          <w:rFonts w:eastAsia="仿宋_GB2312"/>
          <w:color w:val="000000" w:themeColor="text1"/>
          <w:sz w:val="36"/>
          <w:szCs w:val="36"/>
          <w14:textFill>
            <w14:solidFill>
              <w14:schemeClr w14:val="tx1"/>
            </w14:solidFill>
          </w14:textFill>
        </w:rPr>
      </w:pPr>
    </w:p>
    <w:p w14:paraId="087A2864">
      <w:pPr>
        <w:rPr>
          <w:rFonts w:eastAsia="仿宋_GB2312"/>
          <w:color w:val="000000" w:themeColor="text1"/>
          <w:sz w:val="36"/>
          <w:szCs w:val="36"/>
          <w14:textFill>
            <w14:solidFill>
              <w14:schemeClr w14:val="tx1"/>
            </w14:solidFill>
          </w14:textFill>
        </w:rPr>
      </w:pPr>
    </w:p>
    <w:p w14:paraId="516C328F">
      <w:pPr>
        <w:rPr>
          <w:rFonts w:eastAsia="仿宋_GB2312"/>
          <w:color w:val="000000" w:themeColor="text1"/>
          <w:sz w:val="36"/>
          <w:szCs w:val="36"/>
          <w14:textFill>
            <w14:solidFill>
              <w14:schemeClr w14:val="tx1"/>
            </w14:solidFill>
          </w14:textFill>
        </w:rPr>
      </w:pPr>
    </w:p>
    <w:p w14:paraId="3EDC7490">
      <w:pPr>
        <w:adjustRightInd w:val="0"/>
        <w:snapToGrid w:val="0"/>
        <w:spacing w:before="192" w:beforeLines="80"/>
        <w:jc w:val="center"/>
        <w:rPr>
          <w:rFonts w:eastAsia="方正小标宋_GBK"/>
          <w:bCs/>
          <w:color w:val="000000" w:themeColor="text1"/>
          <w:sz w:val="72"/>
          <w:szCs w:val="72"/>
          <w14:textFill>
            <w14:solidFill>
              <w14:schemeClr w14:val="tx1"/>
            </w14:solidFill>
          </w14:textFill>
        </w:rPr>
      </w:pPr>
      <w:r>
        <w:rPr>
          <w:rFonts w:eastAsia="方正小标宋_GBK"/>
          <w:bCs/>
          <w:color w:val="000000" w:themeColor="text1"/>
          <w:sz w:val="72"/>
          <w:szCs w:val="72"/>
          <w14:textFill>
            <w14:solidFill>
              <w14:schemeClr w14:val="tx1"/>
            </w14:solidFill>
          </w14:textFill>
        </w:rPr>
        <w:t>建设项目环境影响报告表</w:t>
      </w:r>
    </w:p>
    <w:p w14:paraId="2A707F45">
      <w:pPr>
        <w:adjustRightInd w:val="0"/>
        <w:snapToGrid w:val="0"/>
        <w:spacing w:before="192" w:beforeLines="80"/>
        <w:jc w:val="center"/>
        <w:rPr>
          <w:rFonts w:hint="eastAsia" w:ascii="楷体" w:hAnsi="楷体" w:eastAsia="楷体"/>
          <w:bCs/>
          <w:color w:val="000000" w:themeColor="text1"/>
          <w:sz w:val="48"/>
          <w:szCs w:val="48"/>
          <w14:textFill>
            <w14:solidFill>
              <w14:schemeClr w14:val="tx1"/>
            </w14:solidFill>
          </w14:textFill>
        </w:rPr>
      </w:pPr>
      <w:r>
        <w:rPr>
          <w:rFonts w:ascii="楷体" w:hAnsi="楷体" w:eastAsia="楷体"/>
          <w:bCs/>
          <w:color w:val="000000" w:themeColor="text1"/>
          <w:sz w:val="48"/>
          <w:szCs w:val="48"/>
          <w14:textFill>
            <w14:solidFill>
              <w14:schemeClr w14:val="tx1"/>
            </w14:solidFill>
          </w14:textFill>
        </w:rPr>
        <w:t>（污染影响类）</w:t>
      </w:r>
    </w:p>
    <w:p w14:paraId="38CF546E">
      <w:pPr>
        <w:jc w:val="center"/>
        <w:rPr>
          <w:color w:val="000000" w:themeColor="text1"/>
          <w:sz w:val="52"/>
          <w:szCs w:val="52"/>
          <w14:textFill>
            <w14:solidFill>
              <w14:schemeClr w14:val="tx1"/>
            </w14:solidFill>
          </w14:textFill>
        </w:rPr>
      </w:pPr>
    </w:p>
    <w:p w14:paraId="04E6DC0D">
      <w:pPr>
        <w:jc w:val="center"/>
        <w:rPr>
          <w:rFonts w:eastAsia="仿宋"/>
          <w:color w:val="000000" w:themeColor="text1"/>
          <w:sz w:val="52"/>
          <w:szCs w:val="52"/>
          <w14:textFill>
            <w14:solidFill>
              <w14:schemeClr w14:val="tx1"/>
            </w14:solidFill>
          </w14:textFill>
        </w:rPr>
      </w:pPr>
    </w:p>
    <w:p w14:paraId="27949B44">
      <w:pPr>
        <w:jc w:val="center"/>
        <w:rPr>
          <w:color w:val="000000" w:themeColor="text1"/>
          <w:sz w:val="52"/>
          <w:szCs w:val="52"/>
          <w14:textFill>
            <w14:solidFill>
              <w14:schemeClr w14:val="tx1"/>
            </w14:solidFill>
          </w14:textFill>
        </w:rPr>
      </w:pPr>
    </w:p>
    <w:p w14:paraId="0B15508E">
      <w:pPr>
        <w:jc w:val="center"/>
        <w:rPr>
          <w:color w:val="000000" w:themeColor="text1"/>
          <w:sz w:val="52"/>
          <w:szCs w:val="52"/>
          <w14:textFill>
            <w14:solidFill>
              <w14:schemeClr w14:val="tx1"/>
            </w14:solidFill>
          </w14:textFill>
        </w:rPr>
      </w:pPr>
    </w:p>
    <w:p w14:paraId="4BC00AB0">
      <w:pPr>
        <w:adjustRightInd w:val="0"/>
        <w:snapToGrid w:val="0"/>
        <w:spacing w:line="288" w:lineRule="auto"/>
        <w:ind w:right="672" w:rightChars="320"/>
        <w:rPr>
          <w:color w:val="000000" w:themeColor="text1"/>
          <w:sz w:val="52"/>
          <w:szCs w:val="52"/>
          <w14:textFill>
            <w14:solidFill>
              <w14:schemeClr w14:val="tx1"/>
            </w14:solidFill>
          </w14:textFill>
        </w:rPr>
      </w:pPr>
    </w:p>
    <w:p w14:paraId="2166D722">
      <w:pPr>
        <w:adjustRightInd w:val="0"/>
        <w:snapToGrid w:val="0"/>
        <w:spacing w:line="288" w:lineRule="auto"/>
        <w:ind w:left="2934" w:leftChars="540" w:right="420" w:rightChars="200" w:hanging="1800" w:hangingChars="500"/>
        <w:rPr>
          <w:rFonts w:hint="eastAsia" w:ascii="仿宋" w:hAnsi="仿宋" w:eastAsia="仿宋"/>
          <w:color w:val="000000" w:themeColor="text1"/>
          <w:sz w:val="36"/>
          <w:szCs w:val="36"/>
          <w:u w:val="single"/>
          <w14:textFill>
            <w14:solidFill>
              <w14:schemeClr w14:val="tx1"/>
            </w14:solidFill>
          </w14:textFill>
        </w:rPr>
      </w:pPr>
      <w:r>
        <w:rPr>
          <w:rFonts w:ascii="仿宋" w:hAnsi="仿宋" w:eastAsia="仿宋"/>
          <w:color w:val="000000" w:themeColor="text1"/>
          <w:sz w:val="36"/>
          <w:szCs w:val="36"/>
          <w14:textFill>
            <w14:solidFill>
              <w14:schemeClr w14:val="tx1"/>
            </w14:solidFill>
          </w14:textFill>
        </w:rPr>
        <w:t>项目名称：</w:t>
      </w:r>
      <w:bookmarkStart w:id="0" w:name="_Hlk216944216"/>
      <w:r>
        <w:rPr>
          <w:rFonts w:hint="eastAsia" w:ascii="仿宋" w:hAnsi="仿宋" w:eastAsia="仿宋"/>
          <w:color w:val="000000" w:themeColor="text1"/>
          <w:sz w:val="36"/>
          <w:szCs w:val="36"/>
          <w:u w:val="single"/>
          <w14:textFill>
            <w14:solidFill>
              <w14:schemeClr w14:val="tx1"/>
            </w14:solidFill>
          </w14:textFill>
        </w:rPr>
        <w:t>高安钜鼎运动器材有限公司</w:t>
      </w:r>
      <w:bookmarkEnd w:id="0"/>
      <w:r>
        <w:rPr>
          <w:rFonts w:hint="eastAsia" w:ascii="仿宋" w:hAnsi="仿宋" w:eastAsia="仿宋"/>
          <w:color w:val="000000" w:themeColor="text1"/>
          <w:sz w:val="36"/>
          <w:szCs w:val="36"/>
          <w:u w:val="single"/>
          <w14:textFill>
            <w14:solidFill>
              <w14:schemeClr w14:val="tx1"/>
            </w14:solidFill>
          </w14:textFill>
        </w:rPr>
        <w:t>年产50万副球拍建设项目</w:t>
      </w:r>
      <w:r>
        <w:rPr>
          <w:rFonts w:ascii="仿宋" w:hAnsi="仿宋" w:eastAsia="仿宋"/>
          <w:color w:val="000000" w:themeColor="text1"/>
          <w:sz w:val="36"/>
          <w:szCs w:val="36"/>
          <w:u w:val="single"/>
          <w14:textFill>
            <w14:solidFill>
              <w14:schemeClr w14:val="tx1"/>
            </w14:solidFill>
          </w14:textFill>
        </w:rPr>
        <w:t xml:space="preserve">     </w:t>
      </w:r>
      <w:r>
        <w:rPr>
          <w:rFonts w:hint="eastAsia" w:ascii="仿宋" w:hAnsi="仿宋" w:eastAsia="仿宋"/>
          <w:color w:val="000000" w:themeColor="text1"/>
          <w:sz w:val="36"/>
          <w:szCs w:val="36"/>
          <w:u w:val="single"/>
          <w14:textFill>
            <w14:solidFill>
              <w14:schemeClr w14:val="tx1"/>
            </w14:solidFill>
          </w14:textFill>
        </w:rPr>
        <w:t xml:space="preserve">               </w:t>
      </w:r>
      <w:r>
        <w:rPr>
          <w:rFonts w:ascii="仿宋" w:hAnsi="仿宋" w:eastAsia="仿宋"/>
          <w:color w:val="000000" w:themeColor="text1"/>
          <w:sz w:val="36"/>
          <w:szCs w:val="36"/>
          <w:u w:val="single"/>
          <w14:textFill>
            <w14:solidFill>
              <w14:schemeClr w14:val="tx1"/>
            </w14:solidFill>
          </w14:textFill>
        </w:rPr>
        <w:t xml:space="preserve">        </w:t>
      </w:r>
    </w:p>
    <w:p w14:paraId="0157FAFD">
      <w:pPr>
        <w:adjustRightInd w:val="0"/>
        <w:snapToGrid w:val="0"/>
        <w:spacing w:line="288" w:lineRule="auto"/>
        <w:ind w:left="1134" w:leftChars="540" w:right="420" w:rightChars="200"/>
        <w:rPr>
          <w:rFonts w:hint="eastAsia" w:ascii="仿宋" w:hAnsi="仿宋" w:eastAsia="仿宋"/>
          <w:color w:val="000000" w:themeColor="text1"/>
          <w:sz w:val="36"/>
          <w:szCs w:val="36"/>
          <w:u w:val="single"/>
          <w14:textFill>
            <w14:solidFill>
              <w14:schemeClr w14:val="tx1"/>
            </w14:solidFill>
          </w14:textFill>
        </w:rPr>
      </w:pPr>
      <w:r>
        <w:rPr>
          <w:rFonts w:ascii="仿宋" w:hAnsi="仿宋" w:eastAsia="仿宋"/>
          <w:color w:val="000000" w:themeColor="text1"/>
          <w:sz w:val="36"/>
          <w:szCs w:val="36"/>
          <w14:textFill>
            <w14:solidFill>
              <w14:schemeClr w14:val="tx1"/>
            </w14:solidFill>
          </w14:textFill>
        </w:rPr>
        <w:t>建设单位（盖章）：</w:t>
      </w:r>
      <w:r>
        <w:rPr>
          <w:rFonts w:ascii="仿宋" w:hAnsi="仿宋" w:eastAsia="仿宋"/>
          <w:color w:val="000000" w:themeColor="text1"/>
          <w:sz w:val="36"/>
          <w:szCs w:val="36"/>
          <w:u w:val="single"/>
          <w14:textFill>
            <w14:solidFill>
              <w14:schemeClr w14:val="tx1"/>
            </w14:solidFill>
          </w14:textFill>
        </w:rPr>
        <w:t xml:space="preserve">  </w:t>
      </w:r>
      <w:r>
        <w:rPr>
          <w:rFonts w:hint="eastAsia" w:ascii="仿宋" w:hAnsi="仿宋" w:eastAsia="仿宋"/>
          <w:color w:val="000000" w:themeColor="text1"/>
          <w:sz w:val="36"/>
          <w:szCs w:val="36"/>
          <w:u w:val="single"/>
          <w14:textFill>
            <w14:solidFill>
              <w14:schemeClr w14:val="tx1"/>
            </w14:solidFill>
          </w14:textFill>
        </w:rPr>
        <w:t>高安钜鼎运动器材有限公司</w:t>
      </w:r>
      <w:r>
        <w:rPr>
          <w:rFonts w:ascii="仿宋" w:hAnsi="仿宋" w:eastAsia="仿宋"/>
          <w:color w:val="000000" w:themeColor="text1"/>
          <w:sz w:val="36"/>
          <w:szCs w:val="36"/>
          <w:u w:val="single"/>
          <w14:textFill>
            <w14:solidFill>
              <w14:schemeClr w14:val="tx1"/>
            </w14:solidFill>
          </w14:textFill>
        </w:rPr>
        <w:t xml:space="preserve">    </w:t>
      </w:r>
    </w:p>
    <w:p w14:paraId="274461E7">
      <w:pPr>
        <w:adjustRightInd w:val="0"/>
        <w:snapToGrid w:val="0"/>
        <w:spacing w:line="288" w:lineRule="auto"/>
        <w:ind w:left="1134" w:leftChars="540" w:right="420" w:rightChars="200"/>
        <w:rPr>
          <w:rFonts w:hint="eastAsia" w:ascii="仿宋" w:hAnsi="仿宋" w:eastAsia="仿宋"/>
          <w:color w:val="000000" w:themeColor="text1"/>
          <w:sz w:val="36"/>
          <w:szCs w:val="36"/>
          <w:u w:val="single"/>
          <w14:textFill>
            <w14:solidFill>
              <w14:schemeClr w14:val="tx1"/>
            </w14:solidFill>
          </w14:textFill>
        </w:rPr>
      </w:pPr>
      <w:r>
        <w:rPr>
          <w:rFonts w:ascii="仿宋" w:hAnsi="仿宋" w:eastAsia="仿宋"/>
          <w:color w:val="000000" w:themeColor="text1"/>
          <w:sz w:val="36"/>
          <w:szCs w:val="36"/>
          <w14:textFill>
            <w14:solidFill>
              <w14:schemeClr w14:val="tx1"/>
            </w14:solidFill>
          </w14:textFill>
        </w:rPr>
        <w:t>编制日期：</w:t>
      </w:r>
      <w:r>
        <w:rPr>
          <w:rFonts w:ascii="仿宋" w:hAnsi="仿宋" w:eastAsia="仿宋"/>
          <w:color w:val="000000" w:themeColor="text1"/>
          <w:sz w:val="36"/>
          <w:szCs w:val="36"/>
          <w:u w:val="single"/>
          <w14:textFill>
            <w14:solidFill>
              <w14:schemeClr w14:val="tx1"/>
            </w14:solidFill>
          </w14:textFill>
        </w:rPr>
        <w:t xml:space="preserve">            202</w:t>
      </w:r>
      <w:r>
        <w:rPr>
          <w:rFonts w:hint="eastAsia" w:ascii="仿宋" w:hAnsi="仿宋" w:eastAsia="仿宋"/>
          <w:color w:val="000000" w:themeColor="text1"/>
          <w:sz w:val="36"/>
          <w:szCs w:val="36"/>
          <w:u w:val="single"/>
          <w14:textFill>
            <w14:solidFill>
              <w14:schemeClr w14:val="tx1"/>
            </w14:solidFill>
          </w14:textFill>
        </w:rPr>
        <w:t>6</w:t>
      </w:r>
      <w:r>
        <w:rPr>
          <w:rFonts w:ascii="仿宋" w:hAnsi="仿宋" w:eastAsia="仿宋"/>
          <w:color w:val="000000" w:themeColor="text1"/>
          <w:sz w:val="36"/>
          <w:szCs w:val="36"/>
          <w:u w:val="single"/>
          <w14:textFill>
            <w14:solidFill>
              <w14:schemeClr w14:val="tx1"/>
            </w14:solidFill>
          </w14:textFill>
        </w:rPr>
        <w:t>年</w:t>
      </w:r>
      <w:r>
        <w:rPr>
          <w:rFonts w:hint="eastAsia" w:ascii="仿宋" w:hAnsi="仿宋" w:eastAsia="仿宋"/>
          <w:color w:val="000000" w:themeColor="text1"/>
          <w:sz w:val="36"/>
          <w:szCs w:val="36"/>
          <w:u w:val="single"/>
          <w14:textFill>
            <w14:solidFill>
              <w14:schemeClr w14:val="tx1"/>
            </w14:solidFill>
          </w14:textFill>
        </w:rPr>
        <w:t>3</w:t>
      </w:r>
      <w:r>
        <w:rPr>
          <w:rFonts w:ascii="仿宋" w:hAnsi="仿宋" w:eastAsia="仿宋"/>
          <w:color w:val="000000" w:themeColor="text1"/>
          <w:sz w:val="36"/>
          <w:szCs w:val="36"/>
          <w:u w:val="single"/>
          <w14:textFill>
            <w14:solidFill>
              <w14:schemeClr w14:val="tx1"/>
            </w14:solidFill>
          </w14:textFill>
        </w:rPr>
        <w:t xml:space="preserve">月             </w:t>
      </w:r>
    </w:p>
    <w:p w14:paraId="056C91EC">
      <w:pPr>
        <w:adjustRightInd w:val="0"/>
        <w:snapToGrid w:val="0"/>
        <w:spacing w:line="288" w:lineRule="auto"/>
        <w:ind w:firstLine="1040"/>
        <w:rPr>
          <w:rFonts w:eastAsia="仿宋_GB2312"/>
          <w:color w:val="000000" w:themeColor="text1"/>
          <w:sz w:val="36"/>
          <w:szCs w:val="36"/>
          <w:u w:val="single"/>
          <w14:textFill>
            <w14:solidFill>
              <w14:schemeClr w14:val="tx1"/>
            </w14:solidFill>
          </w14:textFill>
        </w:rPr>
      </w:pPr>
      <w:bookmarkStart w:id="1" w:name="_Hlk57884087"/>
    </w:p>
    <w:p w14:paraId="3126AFCA">
      <w:pPr>
        <w:adjustRightInd w:val="0"/>
        <w:snapToGrid w:val="0"/>
        <w:spacing w:line="288" w:lineRule="auto"/>
        <w:ind w:firstLine="1040"/>
        <w:rPr>
          <w:rFonts w:eastAsia="仿宋_GB2312"/>
          <w:color w:val="000000" w:themeColor="text1"/>
          <w:sz w:val="36"/>
          <w:szCs w:val="36"/>
          <w14:textFill>
            <w14:solidFill>
              <w14:schemeClr w14:val="tx1"/>
            </w14:solidFill>
          </w14:textFill>
        </w:rPr>
      </w:pPr>
    </w:p>
    <w:p w14:paraId="3432982F">
      <w:pPr>
        <w:adjustRightInd w:val="0"/>
        <w:snapToGrid w:val="0"/>
        <w:spacing w:line="288" w:lineRule="auto"/>
        <w:ind w:firstLine="1040"/>
        <w:rPr>
          <w:rFonts w:eastAsia="仿宋_GB2312"/>
          <w:color w:val="000000" w:themeColor="text1"/>
          <w:sz w:val="36"/>
          <w:szCs w:val="36"/>
          <w14:textFill>
            <w14:solidFill>
              <w14:schemeClr w14:val="tx1"/>
            </w14:solidFill>
          </w14:textFill>
        </w:rPr>
      </w:pPr>
    </w:p>
    <w:p w14:paraId="14052353">
      <w:pPr>
        <w:adjustRightInd w:val="0"/>
        <w:snapToGrid w:val="0"/>
        <w:spacing w:line="288" w:lineRule="auto"/>
        <w:ind w:firstLine="1040"/>
        <w:rPr>
          <w:rFonts w:eastAsia="仿宋_GB2312"/>
          <w:color w:val="000000" w:themeColor="text1"/>
          <w:sz w:val="36"/>
          <w:szCs w:val="36"/>
          <w14:textFill>
            <w14:solidFill>
              <w14:schemeClr w14:val="tx1"/>
            </w14:solidFill>
          </w14:textFill>
        </w:rPr>
      </w:pPr>
    </w:p>
    <w:p w14:paraId="2428D3A0">
      <w:pPr>
        <w:adjustRightInd w:val="0"/>
        <w:snapToGrid w:val="0"/>
        <w:spacing w:line="288" w:lineRule="auto"/>
        <w:ind w:firstLine="1040"/>
        <w:rPr>
          <w:rFonts w:eastAsia="仿宋_GB2312"/>
          <w:color w:val="000000" w:themeColor="text1"/>
          <w:sz w:val="36"/>
          <w:szCs w:val="36"/>
          <w14:textFill>
            <w14:solidFill>
              <w14:schemeClr w14:val="tx1"/>
            </w14:solidFill>
          </w14:textFill>
        </w:rPr>
      </w:pPr>
    </w:p>
    <w:p w14:paraId="4D4B6040">
      <w:pPr>
        <w:adjustRightInd w:val="0"/>
        <w:snapToGrid w:val="0"/>
        <w:spacing w:line="288" w:lineRule="auto"/>
        <w:ind w:firstLine="1040"/>
        <w:rPr>
          <w:rFonts w:eastAsia="仿宋_GB2312"/>
          <w:color w:val="000000" w:themeColor="text1"/>
          <w:sz w:val="36"/>
          <w:szCs w:val="36"/>
          <w14:textFill>
            <w14:solidFill>
              <w14:schemeClr w14:val="tx1"/>
            </w14:solidFill>
          </w14:textFill>
        </w:rPr>
      </w:pPr>
    </w:p>
    <w:bookmarkEnd w:id="1"/>
    <w:p w14:paraId="5FB86581">
      <w:pPr>
        <w:adjustRightInd w:val="0"/>
        <w:snapToGrid w:val="0"/>
        <w:spacing w:line="288" w:lineRule="auto"/>
        <w:jc w:val="center"/>
        <w:rPr>
          <w:rFonts w:hint="eastAsia" w:ascii="楷体" w:hAnsi="楷体" w:eastAsia="楷体"/>
          <w:color w:val="000000" w:themeColor="text1"/>
          <w:sz w:val="36"/>
          <w:szCs w:val="36"/>
          <w14:textFill>
            <w14:solidFill>
              <w14:schemeClr w14:val="tx1"/>
            </w14:solidFill>
          </w14:textFill>
        </w:rPr>
        <w:sectPr>
          <w:headerReference r:id="rId3" w:type="default"/>
          <w:footerReference r:id="rId4" w:type="default"/>
          <w:type w:val="continuous"/>
          <w:pgSz w:w="11906" w:h="16838"/>
          <w:pgMar w:top="1440" w:right="1080" w:bottom="1440" w:left="1080" w:header="851" w:footer="851" w:gutter="0"/>
          <w:cols w:space="720" w:num="1"/>
          <w:docGrid w:linePitch="312" w:charSpace="0"/>
        </w:sectPr>
      </w:pPr>
      <w:r>
        <w:rPr>
          <w:rFonts w:ascii="楷体" w:hAnsi="楷体" w:eastAsia="楷体"/>
          <w:color w:val="000000" w:themeColor="text1"/>
          <w:sz w:val="36"/>
          <w:szCs w:val="36"/>
          <w14:textFill>
            <w14:solidFill>
              <w14:schemeClr w14:val="tx1"/>
            </w14:solidFill>
          </w14:textFill>
        </w:rPr>
        <w:t>中华人民共和国生态环境部制</w:t>
      </w:r>
    </w:p>
    <w:sdt>
      <w:sdtPr>
        <w:rPr>
          <w:color w:val="000000" w:themeColor="text1"/>
          <w:kern w:val="0"/>
          <w:sz w:val="28"/>
          <w:szCs w:val="20"/>
          <w:lang w:val="zh-CN"/>
          <w14:textFill>
            <w14:solidFill>
              <w14:schemeClr w14:val="tx1"/>
            </w14:solidFill>
          </w14:textFill>
        </w:rPr>
        <w:id w:val="1881201356"/>
        <w:docPartObj>
          <w:docPartGallery w:val="Table of Contents"/>
          <w:docPartUnique/>
        </w:docPartObj>
      </w:sdtPr>
      <w:sdtEndPr>
        <w:rPr>
          <w:bCs/>
          <w:color w:val="000000" w:themeColor="text1"/>
          <w:kern w:val="0"/>
          <w:sz w:val="24"/>
          <w:szCs w:val="20"/>
          <w:lang w:val="zh-CN"/>
          <w14:textFill>
            <w14:solidFill>
              <w14:schemeClr w14:val="tx1"/>
            </w14:solidFill>
          </w14:textFill>
        </w:rPr>
      </w:sdtEndPr>
      <w:sdtContent>
        <w:p w14:paraId="401AFDC0">
          <w:pPr>
            <w:adjustRightInd w:val="0"/>
            <w:snapToGrid w:val="0"/>
            <w:spacing w:line="288" w:lineRule="auto"/>
            <w:jc w:val="center"/>
            <w:rPr>
              <w:color w:val="000000" w:themeColor="text1"/>
              <w:sz w:val="32"/>
              <w:szCs w:val="32"/>
              <w14:textFill>
                <w14:solidFill>
                  <w14:schemeClr w14:val="tx1"/>
                </w14:solidFill>
              </w14:textFill>
            </w:rPr>
          </w:pPr>
          <w:r>
            <w:rPr>
              <w:color w:val="000000" w:themeColor="text1"/>
              <w:sz w:val="32"/>
              <w:szCs w:val="32"/>
              <w:lang w:val="zh-CN"/>
              <w14:textFill>
                <w14:solidFill>
                  <w14:schemeClr w14:val="tx1"/>
                </w14:solidFill>
              </w14:textFill>
            </w:rPr>
            <w:t>目录</w:t>
          </w:r>
        </w:p>
        <w:p w14:paraId="15EC38A9">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rPr>
              <w:rFonts w:hAnsi="Times New Roman" w:eastAsiaTheme="minorEastAsia"/>
              <w:color w:val="000000" w:themeColor="text1"/>
              <w:w w:val="100"/>
              <w14:textFill>
                <w14:solidFill>
                  <w14:schemeClr w14:val="tx1"/>
                </w14:solidFill>
              </w14:textFill>
            </w:rPr>
            <w:fldChar w:fldCharType="begin"/>
          </w:r>
          <w:r>
            <w:rPr>
              <w:rFonts w:hAnsi="Times New Roman" w:eastAsiaTheme="minorEastAsia"/>
              <w:color w:val="000000" w:themeColor="text1"/>
              <w:w w:val="100"/>
              <w14:textFill>
                <w14:solidFill>
                  <w14:schemeClr w14:val="tx1"/>
                </w14:solidFill>
              </w14:textFill>
            </w:rPr>
            <w:instrText xml:space="preserve"> TOC \o "1-3" \h \z \u </w:instrText>
          </w:r>
          <w:r>
            <w:rPr>
              <w:rFonts w:hAnsi="Times New Roman" w:eastAsiaTheme="minorEastAsia"/>
              <w:color w:val="000000" w:themeColor="text1"/>
              <w:w w:val="100"/>
              <w14:textFill>
                <w14:solidFill>
                  <w14:schemeClr w14:val="tx1"/>
                </w14:solidFill>
              </w14:textFill>
            </w:rPr>
            <w:fldChar w:fldCharType="separate"/>
          </w:r>
          <w:r>
            <w:fldChar w:fldCharType="begin"/>
          </w:r>
          <w:r>
            <w:instrText xml:space="preserve"> HYPERLINK \l "_Toc198560473"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一、建设项目基本情况</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_Toc198560473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1</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224659B4">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"_Toc198560474"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二、建设项目工程分析</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_Toc198560474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20</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7FEC0B9A">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"_Toc198560475"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三、区域环境质量现状、环境保护目标及评价标准</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_Toc198560475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28</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1D862283">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"_Toc198560476"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四、主要环境影响和保护措施</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_Toc198560476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33</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55F96F4B">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"_Toc198560478"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五、环境保护措施监督检查清单</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_Toc198560478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69</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5D2F84E8">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"_Toc198560479"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六、结论</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_Toc198560479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70</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030AB15F">
          <w:pPr>
            <w:pStyle w:val="29"/>
            <w:tabs>
              <w:tab w:val="right" w:leader="dot" w:pos="9736"/>
            </w:tabs>
            <w:rPr>
              <w:rFonts w:hAnsi="Times New Roman"/>
              <w:caps w:val="0"/>
              <w:color w:val="000000" w:themeColor="text1"/>
              <w:w w:val="100"/>
              <w14:textFill>
                <w14:solidFill>
                  <w14:schemeClr w14:val="tx1"/>
                </w14:solidFill>
              </w14:textFill>
              <w14:ligatures w14:val="standardContextual"/>
            </w:rPr>
          </w:pPr>
          <w:r>
            <w:fldChar w:fldCharType="begin"/>
          </w:r>
          <w:r>
            <w:instrText xml:space="preserve"> HYPERLINK \l "_Toc198560480" </w:instrText>
          </w:r>
          <w:r>
            <w:fldChar w:fldCharType="separate"/>
          </w:r>
          <w:r>
            <w:rPr>
              <w:rStyle w:val="49"/>
              <w:rFonts w:ascii="Times New Roman" w:hAnsi="Times New Roman" w:cs="Times New Roman"/>
              <w:snapToGrid w:val="0"/>
              <w:color w:val="000000" w:themeColor="text1"/>
              <w:w w:val="100"/>
              <w14:textFill>
                <w14:solidFill>
                  <w14:schemeClr w14:val="tx1"/>
                </w14:solidFill>
              </w14:textFill>
            </w:rPr>
            <w:t>附表一  建设项目污染物排放量汇总表</w:t>
          </w:r>
          <w:r>
            <w:rPr>
              <w:rFonts w:hAnsi="Times New Roman"/>
              <w:color w:val="000000" w:themeColor="text1"/>
              <w:w w:val="100"/>
              <w14:textFill>
                <w14:solidFill>
                  <w14:schemeClr w14:val="tx1"/>
                </w14:solidFill>
              </w14:textFill>
            </w:rPr>
            <w:tab/>
          </w:r>
          <w:r>
            <w:rPr>
              <w:rFonts w:hAnsi="Times New Roman"/>
              <w:color w:val="000000" w:themeColor="text1"/>
              <w:w w:val="100"/>
              <w14:textFill>
                <w14:solidFill>
                  <w14:schemeClr w14:val="tx1"/>
                </w14:solidFill>
              </w14:textFill>
            </w:rPr>
            <w:fldChar w:fldCharType="begin"/>
          </w:r>
          <w:r>
            <w:rPr>
              <w:rFonts w:hAnsi="Times New Roman"/>
              <w:color w:val="000000" w:themeColor="text1"/>
              <w:w w:val="100"/>
              <w14:textFill>
                <w14:solidFill>
                  <w14:schemeClr w14:val="tx1"/>
                </w14:solidFill>
              </w14:textFill>
            </w:rPr>
            <w:instrText xml:space="preserve"> PAGEREF _Toc198560480 \h </w:instrText>
          </w:r>
          <w:r>
            <w:rPr>
              <w:rFonts w:hAnsi="Times New Roman"/>
              <w:color w:val="000000" w:themeColor="text1"/>
              <w:w w:val="100"/>
              <w14:textFill>
                <w14:solidFill>
                  <w14:schemeClr w14:val="tx1"/>
                </w14:solidFill>
              </w14:textFill>
            </w:rPr>
            <w:fldChar w:fldCharType="separate"/>
          </w:r>
          <w:r>
            <w:rPr>
              <w:rFonts w:hAnsi="Times New Roman"/>
              <w:color w:val="000000" w:themeColor="text1"/>
              <w:w w:val="100"/>
              <w14:textFill>
                <w14:solidFill>
                  <w14:schemeClr w14:val="tx1"/>
                </w14:solidFill>
              </w14:textFill>
            </w:rPr>
            <w:t>71</w:t>
          </w:r>
          <w:r>
            <w:rPr>
              <w:rFonts w:hAnsi="Times New Roman"/>
              <w:color w:val="000000" w:themeColor="text1"/>
              <w:w w:val="100"/>
              <w14:textFill>
                <w14:solidFill>
                  <w14:schemeClr w14:val="tx1"/>
                </w14:solidFill>
              </w14:textFill>
            </w:rPr>
            <w:fldChar w:fldCharType="end"/>
          </w:r>
          <w:r>
            <w:rPr>
              <w:rFonts w:hAnsi="Times New Roman"/>
              <w:color w:val="000000" w:themeColor="text1"/>
              <w:w w:val="100"/>
              <w14:textFill>
                <w14:solidFill>
                  <w14:schemeClr w14:val="tx1"/>
                </w14:solidFill>
              </w14:textFill>
            </w:rPr>
            <w:fldChar w:fldCharType="end"/>
          </w:r>
        </w:p>
        <w:p w14:paraId="22FAB733">
          <w:pPr>
            <w:spacing w:line="360" w:lineRule="auto"/>
            <w:rPr>
              <w:rFonts w:eastAsiaTheme="minorEastAsia"/>
              <w:b/>
              <w:bCs/>
              <w:color w:val="000000" w:themeColor="text1"/>
              <w:sz w:val="24"/>
              <w:lang w:val="zh-CN"/>
              <w14:textFill>
                <w14:solidFill>
                  <w14:schemeClr w14:val="tx1"/>
                </w14:solidFill>
              </w14:textFill>
            </w:rPr>
          </w:pPr>
          <w:r>
            <w:rPr>
              <w:rFonts w:eastAsiaTheme="minorEastAsia"/>
              <w:b/>
              <w:bCs/>
              <w:color w:val="000000" w:themeColor="text1"/>
              <w:sz w:val="24"/>
              <w:lang w:val="zh-CN"/>
              <w14:textFill>
                <w14:solidFill>
                  <w14:schemeClr w14:val="tx1"/>
                </w14:solidFill>
              </w14:textFill>
            </w:rPr>
            <w:fldChar w:fldCharType="end"/>
          </w:r>
        </w:p>
        <w:p w14:paraId="7DA2E7A6">
          <w:pPr>
            <w:pStyle w:val="2"/>
            <w:spacing w:line="300" w:lineRule="auto"/>
            <w:ind w:firstLine="199" w:firstLineChars="83"/>
            <w:rPr>
              <w:b w:val="0"/>
              <w:bCs/>
              <w:color w:val="000000" w:themeColor="text1"/>
              <w:szCs w:val="24"/>
              <w14:textFill>
                <w14:solidFill>
                  <w14:schemeClr w14:val="tx1"/>
                </w14:solidFill>
              </w14:textFill>
            </w:rPr>
          </w:pPr>
          <w:r>
            <w:rPr>
              <w:b w:val="0"/>
              <w:bCs/>
              <w:color w:val="000000" w:themeColor="text1"/>
              <w:szCs w:val="24"/>
              <w14:textFill>
                <w14:solidFill>
                  <w14:schemeClr w14:val="tx1"/>
                </w14:solidFill>
              </w14:textFill>
            </w:rPr>
            <w:t>附图</w:t>
          </w:r>
        </w:p>
        <w:p w14:paraId="6487A8D3">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附图1：项目所在地地理位置图</w:t>
          </w:r>
        </w:p>
        <w:p w14:paraId="2AD352A7">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附图2：项目平面布置图</w:t>
          </w:r>
        </w:p>
        <w:p w14:paraId="501B045D">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附图3：项目周围保护目标图</w:t>
          </w:r>
        </w:p>
        <w:p w14:paraId="0833EE0D">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附图4：项目周边分布图</w:t>
          </w:r>
        </w:p>
        <w:p w14:paraId="65769312">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附图5：项目卫生防护距离包络线图</w:t>
          </w:r>
        </w:p>
        <w:p w14:paraId="2C2ED908">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附图6：项目与高安市生态保护红线位置关系图</w:t>
          </w:r>
        </w:p>
        <w:p w14:paraId="48F4EBB7">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附图7：项目与高安市“三区三线”位置关系图</w:t>
          </w:r>
        </w:p>
        <w:p w14:paraId="6B32680D">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附图8：项目与高安市分区管控单元位置关系图</w:t>
          </w:r>
        </w:p>
        <w:p w14:paraId="3556D297">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附图9：</w:t>
          </w:r>
          <w:r>
            <w:rPr>
              <w:rFonts w:hint="eastAsia"/>
              <w:bCs/>
              <w:color w:val="000000" w:themeColor="text1"/>
              <w:sz w:val="24"/>
              <w:szCs w:val="24"/>
              <w14:textFill>
                <w14:solidFill>
                  <w14:schemeClr w14:val="tx1"/>
                </w14:solidFill>
              </w14:textFill>
            </w:rPr>
            <w:t>江西省生态环境分区管控信息平台截</w:t>
          </w:r>
          <w:r>
            <w:rPr>
              <w:bCs/>
              <w:color w:val="000000" w:themeColor="text1"/>
              <w:sz w:val="24"/>
              <w:szCs w:val="24"/>
              <w14:textFill>
                <w14:solidFill>
                  <w14:schemeClr w14:val="tx1"/>
                </w14:solidFill>
              </w14:textFill>
            </w:rPr>
            <w:t>图</w:t>
          </w:r>
        </w:p>
        <w:p w14:paraId="59502DAB">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附图10：项目分区防渗图</w:t>
          </w:r>
        </w:p>
        <w:p w14:paraId="63C50EDD">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附图11：项目与地表水功能区划位置关系图</w:t>
          </w:r>
        </w:p>
        <w:p w14:paraId="27D8DAB8">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附图12：引用现状监测点位与本项目位置关系图</w:t>
          </w:r>
        </w:p>
        <w:p w14:paraId="43B1BD1D">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附图13：工程师现场踏勘图</w:t>
          </w:r>
        </w:p>
        <w:p w14:paraId="4D1754B8">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附图14：本项目与周边企业位置关系图</w:t>
          </w:r>
        </w:p>
        <w:p w14:paraId="0F040890">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w:t>
          </w:r>
        </w:p>
        <w:p w14:paraId="7EC7F2A1">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附件一：营业执照</w:t>
          </w:r>
        </w:p>
        <w:p w14:paraId="6DF6E628">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附件二：委托书</w:t>
          </w:r>
        </w:p>
        <w:p w14:paraId="7EDCD2A4">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附件三：项目备案凭证</w:t>
          </w:r>
        </w:p>
        <w:p w14:paraId="25AEC9D0">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附件四：厂房租赁合同</w:t>
          </w:r>
        </w:p>
        <w:p w14:paraId="4A586669">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附件五：</w:t>
          </w:r>
          <w:r>
            <w:rPr>
              <w:bCs/>
              <w:color w:val="000000" w:themeColor="text1"/>
              <w:sz w:val="24"/>
              <w:szCs w:val="24"/>
              <w14:textFill>
                <w14:solidFill>
                  <w14:schemeClr w14:val="tx1"/>
                </w14:solidFill>
              </w14:textFill>
            </w:rPr>
            <w:t>主要原辅材料MSDS</w:t>
          </w:r>
        </w:p>
        <w:p w14:paraId="0CEB26C4">
          <w:pPr>
            <w:pStyle w:val="3"/>
            <w:spacing w:line="300" w:lineRule="auto"/>
            <w:ind w:firstLine="200"/>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附件</w:t>
          </w:r>
          <w:r>
            <w:rPr>
              <w:rFonts w:hint="eastAsia"/>
              <w:bCs/>
              <w:color w:val="000000" w:themeColor="text1"/>
              <w:sz w:val="24"/>
              <w:szCs w:val="24"/>
              <w14:textFill>
                <w14:solidFill>
                  <w14:schemeClr w14:val="tx1"/>
                </w14:solidFill>
              </w14:textFill>
            </w:rPr>
            <w:t>六</w:t>
          </w:r>
          <w:r>
            <w:rPr>
              <w:bCs/>
              <w:color w:val="000000" w:themeColor="text1"/>
              <w:sz w:val="24"/>
              <w:szCs w:val="24"/>
              <w14:textFill>
                <w14:solidFill>
                  <w14:schemeClr w14:val="tx1"/>
                </w14:solidFill>
              </w14:textFill>
            </w:rPr>
            <w:t>：引用环境空气监测报告</w:t>
          </w:r>
        </w:p>
        <w:p w14:paraId="5ABD7434">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附件七：排污信息清单</w:t>
          </w:r>
        </w:p>
        <w:p w14:paraId="3C999073">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附件八：污水灌溉协议</w:t>
          </w:r>
        </w:p>
        <w:p w14:paraId="2AB37925">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附件九：联审意见表</w:t>
          </w:r>
        </w:p>
        <w:p w14:paraId="5F1E42BA">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附件十：联审意见反馈表</w:t>
          </w:r>
        </w:p>
        <w:p w14:paraId="2A318214">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附件十一：专家意见</w:t>
          </w:r>
        </w:p>
        <w:p w14:paraId="662DA436">
          <w:pPr>
            <w:pStyle w:val="3"/>
            <w:spacing w:line="300" w:lineRule="auto"/>
            <w:ind w:firstLine="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附件十二：专家意见反馈表</w:t>
          </w:r>
        </w:p>
        <w:p w14:paraId="26C9498F">
          <w:pPr>
            <w:pStyle w:val="3"/>
            <w:spacing w:line="300" w:lineRule="auto"/>
            <w:ind w:firstLine="200"/>
            <w:rPr>
              <w:bCs/>
              <w:color w:val="000000" w:themeColor="text1"/>
              <w:sz w:val="24"/>
              <w:szCs w:val="24"/>
              <w14:textFill>
                <w14:solidFill>
                  <w14:schemeClr w14:val="tx1"/>
                </w14:solidFill>
              </w14:textFill>
            </w:rPr>
            <w:sectPr>
              <w:footerReference r:id="rId5" w:type="default"/>
              <w:pgSz w:w="11906" w:h="16838"/>
              <w:pgMar w:top="1440" w:right="1080" w:bottom="1440" w:left="1080" w:header="851" w:footer="851" w:gutter="0"/>
              <w:pgNumType w:start="1"/>
              <w:cols w:space="720" w:num="1"/>
              <w:docGrid w:linePitch="312" w:charSpace="0"/>
            </w:sectPr>
          </w:pPr>
          <w:r>
            <w:rPr>
              <w:rFonts w:hint="eastAsia"/>
              <w:bCs/>
              <w:color w:val="000000" w:themeColor="text1"/>
              <w:sz w:val="24"/>
              <w:szCs w:val="24"/>
              <w14:textFill>
                <w14:solidFill>
                  <w14:schemeClr w14:val="tx1"/>
                </w14:solidFill>
              </w14:textFill>
            </w:rPr>
            <w:t>附件十三：专家复核意见</w:t>
          </w:r>
        </w:p>
      </w:sdtContent>
    </w:sdt>
    <w:p w14:paraId="1317BA36">
      <w:pPr>
        <w:pStyle w:val="40"/>
        <w:spacing w:before="0" w:after="0"/>
        <w:rPr>
          <w:snapToGrid w:val="0"/>
          <w:color w:val="000000" w:themeColor="text1"/>
          <w14:textFill>
            <w14:solidFill>
              <w14:schemeClr w14:val="tx1"/>
            </w14:solidFill>
          </w14:textFill>
        </w:rPr>
      </w:pPr>
      <w:bookmarkStart w:id="2" w:name="_Toc198560473"/>
      <w:r>
        <w:rPr>
          <w:snapToGrid w:val="0"/>
          <w:color w:val="000000" w:themeColor="text1"/>
          <w14:textFill>
            <w14:solidFill>
              <w14:schemeClr w14:val="tx1"/>
            </w14:solidFill>
          </w14:textFill>
        </w:rPr>
        <w:t>一、建设项目基本情况</w:t>
      </w:r>
      <w:bookmarkEnd w:id="2"/>
    </w:p>
    <w:tbl>
      <w:tblPr>
        <w:tblStyle w:val="43"/>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1269"/>
        <w:gridCol w:w="3139"/>
        <w:gridCol w:w="1796"/>
        <w:gridCol w:w="3573"/>
      </w:tblGrid>
      <w:tr w14:paraId="4C97221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12" w:space="0"/>
              <w:bottom w:val="single" w:color="auto" w:sz="6" w:space="0"/>
              <w:right w:val="single" w:color="auto" w:sz="6" w:space="0"/>
            </w:tcBorders>
            <w:tcMar>
              <w:top w:w="16" w:type="dxa"/>
              <w:left w:w="16" w:type="dxa"/>
              <w:right w:w="16" w:type="dxa"/>
            </w:tcMar>
            <w:vAlign w:val="center"/>
          </w:tcPr>
          <w:p w14:paraId="104F5321">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p>
          <w:p w14:paraId="4E34E497">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名称</w:t>
            </w:r>
          </w:p>
        </w:tc>
        <w:tc>
          <w:tcPr>
            <w:tcW w:w="8455" w:type="dxa"/>
            <w:gridSpan w:val="3"/>
            <w:tcBorders>
              <w:top w:val="single" w:color="auto" w:sz="12" w:space="0"/>
              <w:left w:val="single" w:color="auto" w:sz="6" w:space="0"/>
              <w:bottom w:val="single" w:color="auto" w:sz="6" w:space="0"/>
            </w:tcBorders>
            <w:vAlign w:val="center"/>
          </w:tcPr>
          <w:p w14:paraId="5E325942">
            <w:pPr>
              <w:adjustRightInd w:val="0"/>
              <w:snapToGrid w:val="0"/>
              <w:jc w:val="center"/>
              <w:rPr>
                <w:rFonts w:eastAsiaTheme="minorEastAsia"/>
                <w:color w:val="000000" w:themeColor="text1"/>
                <w:sz w:val="24"/>
                <w14:textFill>
                  <w14:solidFill>
                    <w14:schemeClr w14:val="tx1"/>
                  </w14:solidFill>
                </w14:textFill>
              </w:rPr>
            </w:pPr>
            <w:bookmarkStart w:id="3" w:name="_Hlk216944209"/>
            <w:r>
              <w:rPr>
                <w:rFonts w:eastAsiaTheme="minorEastAsia"/>
                <w:color w:val="000000" w:themeColor="text1"/>
                <w:sz w:val="24"/>
                <w14:textFill>
                  <w14:solidFill>
                    <w14:schemeClr w14:val="tx1"/>
                  </w14:solidFill>
                </w14:textFill>
              </w:rPr>
              <w:t>高安</w:t>
            </w:r>
            <w:r>
              <w:rPr>
                <w:rFonts w:hint="eastAsia" w:eastAsiaTheme="minorEastAsia"/>
                <w:color w:val="000000" w:themeColor="text1"/>
                <w:sz w:val="24"/>
                <w14:textFill>
                  <w14:solidFill>
                    <w14:schemeClr w14:val="tx1"/>
                  </w14:solidFill>
                </w14:textFill>
              </w:rPr>
              <w:t>钜鼎运动器材有限公司</w:t>
            </w:r>
            <w:r>
              <w:rPr>
                <w:rFonts w:eastAsiaTheme="minorEastAsia"/>
                <w:color w:val="000000" w:themeColor="text1"/>
                <w:sz w:val="24"/>
                <w14:textFill>
                  <w14:solidFill>
                    <w14:schemeClr w14:val="tx1"/>
                  </w14:solidFill>
                </w14:textFill>
              </w:rPr>
              <w:t>年产</w:t>
            </w:r>
            <w:r>
              <w:rPr>
                <w:rFonts w:hint="eastAsia" w:eastAsiaTheme="minorEastAsia"/>
                <w:color w:val="000000" w:themeColor="text1"/>
                <w:sz w:val="24"/>
                <w14:textFill>
                  <w14:solidFill>
                    <w14:schemeClr w14:val="tx1"/>
                  </w14:solidFill>
                </w14:textFill>
              </w:rPr>
              <w:t>5</w:t>
            </w:r>
            <w:r>
              <w:rPr>
                <w:rFonts w:eastAsiaTheme="minorEastAsia"/>
                <w:color w:val="000000" w:themeColor="text1"/>
                <w:sz w:val="24"/>
                <w14:textFill>
                  <w14:solidFill>
                    <w14:schemeClr w14:val="tx1"/>
                  </w14:solidFill>
                </w14:textFill>
              </w:rPr>
              <w:t>0万副球拍建设项目</w:t>
            </w:r>
            <w:bookmarkEnd w:id="3"/>
          </w:p>
        </w:tc>
      </w:tr>
      <w:tr w14:paraId="4AE6CB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bottom w:val="single" w:color="auto" w:sz="6" w:space="0"/>
              <w:right w:val="single" w:color="auto" w:sz="6" w:space="0"/>
            </w:tcBorders>
            <w:tcMar>
              <w:top w:w="16" w:type="dxa"/>
              <w:left w:w="16" w:type="dxa"/>
              <w:right w:w="16" w:type="dxa"/>
            </w:tcMar>
            <w:vAlign w:val="center"/>
          </w:tcPr>
          <w:p w14:paraId="5D041337">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项目代码</w:t>
            </w:r>
          </w:p>
        </w:tc>
        <w:tc>
          <w:tcPr>
            <w:tcW w:w="8455" w:type="dxa"/>
            <w:gridSpan w:val="3"/>
            <w:tcBorders>
              <w:top w:val="single" w:color="auto" w:sz="6" w:space="0"/>
              <w:left w:val="single" w:color="auto" w:sz="6" w:space="0"/>
              <w:bottom w:val="single" w:color="auto" w:sz="6" w:space="0"/>
            </w:tcBorders>
            <w:vAlign w:val="center"/>
          </w:tcPr>
          <w:p w14:paraId="006201AC">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2508-360983-04-01-977740</w:t>
            </w:r>
          </w:p>
        </w:tc>
      </w:tr>
      <w:tr w14:paraId="479214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bottom w:val="single" w:color="auto" w:sz="6" w:space="0"/>
              <w:right w:val="single" w:color="auto" w:sz="6" w:space="0"/>
            </w:tcBorders>
            <w:tcMar>
              <w:top w:w="16" w:type="dxa"/>
              <w:left w:w="16" w:type="dxa"/>
              <w:right w:w="16" w:type="dxa"/>
            </w:tcMar>
            <w:vAlign w:val="center"/>
          </w:tcPr>
          <w:p w14:paraId="1308619B">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建设单位</w:t>
            </w:r>
          </w:p>
          <w:p w14:paraId="43953BCB">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联系人</w:t>
            </w:r>
          </w:p>
        </w:tc>
        <w:tc>
          <w:tcPr>
            <w:tcW w:w="3119" w:type="dxa"/>
            <w:tcBorders>
              <w:top w:val="single" w:color="auto" w:sz="6" w:space="0"/>
              <w:left w:val="single" w:color="auto" w:sz="6" w:space="0"/>
              <w:bottom w:val="single" w:color="auto" w:sz="6" w:space="0"/>
              <w:right w:val="single" w:color="auto" w:sz="6" w:space="0"/>
            </w:tcBorders>
            <w:vAlign w:val="center"/>
          </w:tcPr>
          <w:p w14:paraId="4F23B555">
            <w:pPr>
              <w:adjustRightInd w:val="0"/>
              <w:snapToGrid w:val="0"/>
              <w:spacing w:before="80" w:line="360" w:lineRule="auto"/>
              <w:jc w:val="center"/>
              <w:rPr>
                <w:rFonts w:eastAsiaTheme="minorEastAsia"/>
                <w:color w:val="000000" w:themeColor="text1"/>
                <w:sz w:val="24"/>
                <w14:textFill>
                  <w14:solidFill>
                    <w14:schemeClr w14:val="tx1"/>
                  </w14:solidFill>
                </w14:textFill>
              </w:rPr>
            </w:pPr>
          </w:p>
        </w:tc>
        <w:tc>
          <w:tcPr>
            <w:tcW w:w="1785" w:type="dxa"/>
            <w:tcBorders>
              <w:top w:val="single" w:color="auto" w:sz="6" w:space="0"/>
              <w:left w:val="single" w:color="auto" w:sz="6" w:space="0"/>
              <w:bottom w:val="single" w:color="auto" w:sz="6" w:space="0"/>
              <w:right w:val="single" w:color="auto" w:sz="6" w:space="0"/>
            </w:tcBorders>
            <w:vAlign w:val="center"/>
          </w:tcPr>
          <w:p w14:paraId="27F06EDF">
            <w:pPr>
              <w:adjustRightInd w:val="0"/>
              <w:snapToGrid w:val="0"/>
              <w:spacing w:before="80" w:line="360" w:lineRule="auto"/>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联系方式</w:t>
            </w:r>
          </w:p>
        </w:tc>
        <w:tc>
          <w:tcPr>
            <w:tcW w:w="3551" w:type="dxa"/>
            <w:tcBorders>
              <w:top w:val="single" w:color="auto" w:sz="6" w:space="0"/>
              <w:left w:val="single" w:color="auto" w:sz="6" w:space="0"/>
              <w:bottom w:val="single" w:color="auto" w:sz="6" w:space="0"/>
            </w:tcBorders>
            <w:vAlign w:val="center"/>
          </w:tcPr>
          <w:p w14:paraId="4DDA378E">
            <w:pPr>
              <w:adjustRightInd w:val="0"/>
              <w:snapToGrid w:val="0"/>
              <w:spacing w:before="80" w:line="360" w:lineRule="auto"/>
              <w:jc w:val="center"/>
              <w:rPr>
                <w:rFonts w:eastAsiaTheme="minorEastAsia"/>
                <w:color w:val="000000" w:themeColor="text1"/>
                <w:sz w:val="24"/>
                <w14:textFill>
                  <w14:solidFill>
                    <w14:schemeClr w14:val="tx1"/>
                  </w14:solidFill>
                </w14:textFill>
              </w:rPr>
            </w:pPr>
          </w:p>
        </w:tc>
      </w:tr>
      <w:tr w14:paraId="11C70C7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bottom w:val="single" w:color="auto" w:sz="6" w:space="0"/>
              <w:right w:val="single" w:color="auto" w:sz="6" w:space="0"/>
            </w:tcBorders>
            <w:tcMar>
              <w:top w:w="16" w:type="dxa"/>
              <w:left w:w="16" w:type="dxa"/>
              <w:right w:w="16" w:type="dxa"/>
            </w:tcMar>
            <w:vAlign w:val="center"/>
          </w:tcPr>
          <w:p w14:paraId="4A2B80D9">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建设地点</w:t>
            </w:r>
          </w:p>
        </w:tc>
        <w:tc>
          <w:tcPr>
            <w:tcW w:w="8455" w:type="dxa"/>
            <w:gridSpan w:val="3"/>
            <w:tcBorders>
              <w:top w:val="single" w:color="auto" w:sz="6" w:space="0"/>
              <w:left w:val="single" w:color="auto" w:sz="6" w:space="0"/>
              <w:bottom w:val="single" w:color="auto" w:sz="6" w:space="0"/>
            </w:tcBorders>
            <w:vAlign w:val="center"/>
          </w:tcPr>
          <w:p w14:paraId="01FAE8F1">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高安市</w:t>
            </w:r>
            <w:r>
              <w:rPr>
                <w:rFonts w:hint="eastAsia"/>
                <w:color w:val="000000" w:themeColor="text1"/>
                <w:sz w:val="24"/>
                <w:szCs w:val="24"/>
                <w14:textFill>
                  <w14:solidFill>
                    <w14:schemeClr w14:val="tx1"/>
                  </w14:solidFill>
                </w14:textFill>
              </w:rPr>
              <w:t>黄沙岗镇挂榜村柒家村（高安市黄沙柒星建材厂内）</w:t>
            </w:r>
          </w:p>
        </w:tc>
      </w:tr>
      <w:tr w14:paraId="08C106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bottom w:val="single" w:color="auto" w:sz="6" w:space="0"/>
              <w:right w:val="single" w:color="auto" w:sz="6" w:space="0"/>
            </w:tcBorders>
            <w:tcMar>
              <w:top w:w="16" w:type="dxa"/>
              <w:left w:w="16" w:type="dxa"/>
              <w:right w:w="16" w:type="dxa"/>
            </w:tcMar>
            <w:vAlign w:val="center"/>
          </w:tcPr>
          <w:p w14:paraId="1C3508F2">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地理坐标</w:t>
            </w:r>
          </w:p>
        </w:tc>
        <w:tc>
          <w:tcPr>
            <w:tcW w:w="8455" w:type="dxa"/>
            <w:gridSpan w:val="3"/>
            <w:tcBorders>
              <w:top w:val="single" w:color="auto" w:sz="6" w:space="0"/>
              <w:left w:val="single" w:color="auto" w:sz="6" w:space="0"/>
              <w:bottom w:val="single" w:color="auto" w:sz="6" w:space="0"/>
            </w:tcBorders>
            <w:vAlign w:val="center"/>
          </w:tcPr>
          <w:p w14:paraId="39A4F7BE">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项目中心地理坐标为东经115°17′29.171″，</w:t>
            </w:r>
            <w:r>
              <w:rPr>
                <w:rFonts w:hint="eastAsia"/>
                <w:color w:val="000000" w:themeColor="text1"/>
                <w:sz w:val="24"/>
                <w:szCs w:val="24"/>
                <w14:textFill>
                  <w14:solidFill>
                    <w14:schemeClr w14:val="tx1"/>
                  </w14:solidFill>
                </w14:textFill>
              </w:rPr>
              <w:t>北纬</w:t>
            </w:r>
            <w:r>
              <w:rPr>
                <w:color w:val="000000" w:themeColor="text1"/>
                <w:sz w:val="24"/>
                <w:szCs w:val="24"/>
                <w14:textFill>
                  <w14:solidFill>
                    <w14:schemeClr w14:val="tx1"/>
                  </w14:solidFill>
                </w14:textFill>
              </w:rPr>
              <w:t>28°18′15.063″</w:t>
            </w:r>
          </w:p>
        </w:tc>
      </w:tr>
      <w:tr w14:paraId="058F15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261" w:hRule="atLeast"/>
          <w:jc w:val="center"/>
        </w:trPr>
        <w:tc>
          <w:tcPr>
            <w:tcW w:w="1261" w:type="dxa"/>
            <w:tcBorders>
              <w:top w:val="single" w:color="auto" w:sz="6" w:space="0"/>
              <w:bottom w:val="single" w:color="auto" w:sz="6" w:space="0"/>
              <w:right w:val="single" w:color="auto" w:sz="6" w:space="0"/>
            </w:tcBorders>
            <w:tcMar>
              <w:top w:w="16" w:type="dxa"/>
              <w:left w:w="16" w:type="dxa"/>
              <w:right w:w="16" w:type="dxa"/>
            </w:tcMar>
            <w:vAlign w:val="center"/>
          </w:tcPr>
          <w:p w14:paraId="703534DA">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国民经济</w:t>
            </w:r>
          </w:p>
          <w:p w14:paraId="44398A74">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行业类别</w:t>
            </w:r>
          </w:p>
        </w:tc>
        <w:tc>
          <w:tcPr>
            <w:tcW w:w="3119" w:type="dxa"/>
            <w:tcBorders>
              <w:top w:val="single" w:color="auto" w:sz="6" w:space="0"/>
              <w:left w:val="single" w:color="auto" w:sz="6" w:space="0"/>
              <w:bottom w:val="single" w:color="auto" w:sz="6" w:space="0"/>
              <w:right w:val="single" w:color="auto" w:sz="6" w:space="0"/>
            </w:tcBorders>
            <w:vAlign w:val="center"/>
          </w:tcPr>
          <w:p w14:paraId="6E815656">
            <w:pPr>
              <w:pStyle w:val="72"/>
              <w:jc w:val="both"/>
              <w:rPr>
                <w:color w:val="000000" w:themeColor="text1"/>
                <w:sz w:val="24"/>
                <w:szCs w:val="24"/>
                <w14:textFill>
                  <w14:solidFill>
                    <w14:schemeClr w14:val="tx1"/>
                  </w14:solidFill>
                </w14:textFill>
              </w:rPr>
            </w:pPr>
            <w:r>
              <w:rPr>
                <w:rFonts w:eastAsiaTheme="minorEastAsia"/>
                <w:color w:val="000000" w:themeColor="text1"/>
                <w:sz w:val="24"/>
                <w14:textFill>
                  <w14:solidFill>
                    <w14:schemeClr w14:val="tx1"/>
                  </w14:solidFill>
                </w14:textFill>
              </w:rPr>
              <w:t>C2442 专项运动器材及配件制造</w:t>
            </w:r>
          </w:p>
        </w:tc>
        <w:tc>
          <w:tcPr>
            <w:tcW w:w="1785" w:type="dxa"/>
            <w:tcBorders>
              <w:top w:val="single" w:color="auto" w:sz="6" w:space="0"/>
              <w:left w:val="single" w:color="auto" w:sz="6" w:space="0"/>
              <w:bottom w:val="single" w:color="auto" w:sz="6" w:space="0"/>
              <w:right w:val="single" w:color="auto" w:sz="6" w:space="0"/>
            </w:tcBorders>
            <w:vAlign w:val="center"/>
          </w:tcPr>
          <w:p w14:paraId="72DA050B">
            <w:pPr>
              <w:pStyle w:val="72"/>
              <w:rPr>
                <w:color w:val="000000" w:themeColor="text1"/>
                <w:sz w:val="24"/>
                <w:szCs w:val="24"/>
                <w14:textFill>
                  <w14:solidFill>
                    <w14:schemeClr w14:val="tx1"/>
                  </w14:solidFill>
                </w14:textFill>
              </w:rPr>
            </w:pPr>
            <w:bookmarkStart w:id="4" w:name="_Hlk49843745"/>
            <w:r>
              <w:rPr>
                <w:color w:val="000000" w:themeColor="text1"/>
                <w:sz w:val="24"/>
                <w:szCs w:val="24"/>
                <w14:textFill>
                  <w14:solidFill>
                    <w14:schemeClr w14:val="tx1"/>
                  </w14:solidFill>
                </w14:textFill>
              </w:rPr>
              <w:t>建设项目</w:t>
            </w:r>
          </w:p>
          <w:p w14:paraId="3100751A">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行业类别</w:t>
            </w:r>
            <w:bookmarkEnd w:id="4"/>
          </w:p>
        </w:tc>
        <w:tc>
          <w:tcPr>
            <w:tcW w:w="3551" w:type="dxa"/>
            <w:tcBorders>
              <w:top w:val="single" w:color="auto" w:sz="6" w:space="0"/>
              <w:left w:val="single" w:color="auto" w:sz="6" w:space="0"/>
              <w:bottom w:val="single" w:color="auto" w:sz="6" w:space="0"/>
            </w:tcBorders>
            <w:vAlign w:val="center"/>
          </w:tcPr>
          <w:p w14:paraId="799934E4">
            <w:pPr>
              <w:pStyle w:val="72"/>
              <w:jc w:val="both"/>
              <w:rPr>
                <w:color w:val="000000" w:themeColor="text1"/>
                <w:sz w:val="24"/>
                <w:szCs w:val="24"/>
                <w14:textFill>
                  <w14:solidFill>
                    <w14:schemeClr w14:val="tx1"/>
                  </w14:solidFill>
                </w14:textFill>
              </w:rPr>
            </w:pPr>
            <w:r>
              <w:rPr>
                <w:rFonts w:eastAsiaTheme="minorEastAsia"/>
                <w:color w:val="000000" w:themeColor="text1"/>
                <w:sz w:val="24"/>
                <w14:textFill>
                  <w14:solidFill>
                    <w14:schemeClr w14:val="tx1"/>
                  </w14:solidFill>
                </w14:textFill>
              </w:rPr>
              <w:t>二十一、文教、工美、体育和娱乐品制造业40.体育</w:t>
            </w:r>
            <w:r>
              <w:rPr>
                <w:rFonts w:hint="eastAsia" w:eastAsiaTheme="minorEastAsia"/>
                <w:color w:val="000000" w:themeColor="text1"/>
                <w:sz w:val="24"/>
                <w14:textFill>
                  <w14:solidFill>
                    <w14:schemeClr w14:val="tx1"/>
                  </w14:solidFill>
                </w14:textFill>
              </w:rPr>
              <w:t>用</w:t>
            </w:r>
            <w:r>
              <w:rPr>
                <w:rFonts w:eastAsiaTheme="minorEastAsia"/>
                <w:color w:val="000000" w:themeColor="text1"/>
                <w:sz w:val="24"/>
                <w14:textFill>
                  <w14:solidFill>
                    <w14:schemeClr w14:val="tx1"/>
                  </w14:solidFill>
                </w14:textFill>
              </w:rPr>
              <w:t>品制造244*</w:t>
            </w:r>
          </w:p>
        </w:tc>
      </w:tr>
      <w:tr w14:paraId="320632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bottom w:val="single" w:color="auto" w:sz="4" w:space="0"/>
              <w:right w:val="single" w:color="auto" w:sz="4" w:space="0"/>
            </w:tcBorders>
            <w:tcMar>
              <w:top w:w="16" w:type="dxa"/>
              <w:left w:w="16" w:type="dxa"/>
              <w:right w:w="16" w:type="dxa"/>
            </w:tcMar>
            <w:vAlign w:val="center"/>
          </w:tcPr>
          <w:p w14:paraId="5D460BF5">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建设性质</w:t>
            </w:r>
          </w:p>
        </w:tc>
        <w:tc>
          <w:tcPr>
            <w:tcW w:w="3119" w:type="dxa"/>
            <w:tcBorders>
              <w:top w:val="single" w:color="auto" w:sz="6" w:space="0"/>
              <w:left w:val="single" w:color="auto" w:sz="4" w:space="0"/>
              <w:bottom w:val="single" w:color="auto" w:sz="4" w:space="0"/>
              <w:right w:val="single" w:color="auto" w:sz="4" w:space="0"/>
            </w:tcBorders>
            <w:vAlign w:val="center"/>
          </w:tcPr>
          <w:p w14:paraId="6345A5F2">
            <w:pPr>
              <w:pStyle w:val="72"/>
              <w:jc w:val="left"/>
              <w:rPr>
                <w:color w:val="000000" w:themeColor="text1"/>
                <w:sz w:val="24"/>
                <w:szCs w:val="24"/>
                <w14:textFill>
                  <w14:solidFill>
                    <w14:schemeClr w14:val="tx1"/>
                  </w14:solidFill>
                </w14:textFill>
              </w:rPr>
            </w:pPr>
            <w:r>
              <w:rPr>
                <w:color w:val="000000" w:themeColor="text1"/>
                <w:kern w:val="0"/>
                <w14:textFill>
                  <w14:solidFill>
                    <w14:schemeClr w14:val="tx1"/>
                  </w14:solidFill>
                </w14:textFill>
              </w:rPr>
              <w:sym w:font="Wingdings 2" w:char="F052"/>
            </w:r>
            <w:r>
              <w:rPr>
                <w:color w:val="000000" w:themeColor="text1"/>
                <w:sz w:val="24"/>
                <w:szCs w:val="24"/>
                <w14:textFill>
                  <w14:solidFill>
                    <w14:schemeClr w14:val="tx1"/>
                  </w14:solidFill>
                </w14:textFill>
              </w:rPr>
              <w:t>新建（迁建）</w:t>
            </w:r>
          </w:p>
          <w:p w14:paraId="01FC1CFE">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改建</w:t>
            </w:r>
          </w:p>
          <w:p w14:paraId="3FF0FB37">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扩建</w:t>
            </w:r>
          </w:p>
          <w:p w14:paraId="1AE236A4">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技术改造</w:t>
            </w:r>
          </w:p>
        </w:tc>
        <w:tc>
          <w:tcPr>
            <w:tcW w:w="1785" w:type="dxa"/>
            <w:tcBorders>
              <w:top w:val="single" w:color="auto" w:sz="6" w:space="0"/>
              <w:left w:val="single" w:color="auto" w:sz="4" w:space="0"/>
              <w:bottom w:val="single" w:color="auto" w:sz="4" w:space="0"/>
              <w:right w:val="single" w:color="auto" w:sz="4" w:space="0"/>
            </w:tcBorders>
            <w:vAlign w:val="center"/>
          </w:tcPr>
          <w:p w14:paraId="7356EAE5">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p>
          <w:p w14:paraId="687E51AB">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申报情形</w:t>
            </w:r>
          </w:p>
        </w:tc>
        <w:tc>
          <w:tcPr>
            <w:tcW w:w="3551" w:type="dxa"/>
            <w:tcBorders>
              <w:top w:val="single" w:color="auto" w:sz="6" w:space="0"/>
              <w:left w:val="single" w:color="auto" w:sz="4" w:space="0"/>
              <w:bottom w:val="single" w:color="auto" w:sz="4" w:space="0"/>
            </w:tcBorders>
            <w:vAlign w:val="center"/>
          </w:tcPr>
          <w:p w14:paraId="510FFE56">
            <w:pPr>
              <w:pStyle w:val="72"/>
              <w:jc w:val="left"/>
              <w:rPr>
                <w:color w:val="000000" w:themeColor="text1"/>
                <w:sz w:val="24"/>
                <w:szCs w:val="24"/>
                <w14:textFill>
                  <w14:solidFill>
                    <w14:schemeClr w14:val="tx1"/>
                  </w14:solidFill>
                </w14:textFill>
              </w:rPr>
            </w:pPr>
            <w:r>
              <w:rPr>
                <w:color w:val="000000" w:themeColor="text1"/>
                <w:kern w:val="0"/>
                <w14:textFill>
                  <w14:solidFill>
                    <w14:schemeClr w14:val="tx1"/>
                  </w14:solidFill>
                </w14:textFill>
              </w:rPr>
              <w:sym w:font="Wingdings 2" w:char="F052"/>
            </w:r>
            <w:r>
              <w:rPr>
                <w:color w:val="000000" w:themeColor="text1"/>
                <w:sz w:val="24"/>
                <w:szCs w:val="24"/>
                <w14:textFill>
                  <w14:solidFill>
                    <w14:schemeClr w14:val="tx1"/>
                  </w14:solidFill>
                </w14:textFill>
              </w:rPr>
              <w:t>首次申报项目</w:t>
            </w:r>
          </w:p>
          <w:p w14:paraId="6D9D14B0">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不予批准后再次申报项目</w:t>
            </w:r>
          </w:p>
          <w:p w14:paraId="3E2F8FE9">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超五年重新审核项目</w:t>
            </w:r>
          </w:p>
          <w:p w14:paraId="41B0ADBE">
            <w:pPr>
              <w:pStyle w:val="72"/>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重大变动重新报批项目</w:t>
            </w:r>
          </w:p>
        </w:tc>
      </w:tr>
      <w:tr w14:paraId="4218AE9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4" w:space="0"/>
              <w:left w:val="single" w:color="auto" w:sz="12" w:space="0"/>
              <w:bottom w:val="single" w:color="auto" w:sz="6" w:space="0"/>
              <w:right w:val="single" w:color="auto" w:sz="4" w:space="0"/>
            </w:tcBorders>
            <w:tcMar>
              <w:top w:w="16" w:type="dxa"/>
              <w:left w:w="16" w:type="dxa"/>
              <w:right w:w="16" w:type="dxa"/>
            </w:tcMar>
            <w:vAlign w:val="center"/>
          </w:tcPr>
          <w:p w14:paraId="32CD6373">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项目备案</w:t>
            </w:r>
          </w:p>
          <w:p w14:paraId="0C6CF6AA">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部门</w:t>
            </w:r>
          </w:p>
        </w:tc>
        <w:tc>
          <w:tcPr>
            <w:tcW w:w="3119" w:type="dxa"/>
            <w:tcBorders>
              <w:top w:val="single" w:color="auto" w:sz="4" w:space="0"/>
              <w:left w:val="single" w:color="auto" w:sz="4" w:space="0"/>
              <w:bottom w:val="single" w:color="auto" w:sz="6" w:space="0"/>
              <w:right w:val="single" w:color="auto" w:sz="4" w:space="0"/>
            </w:tcBorders>
            <w:vAlign w:val="center"/>
          </w:tcPr>
          <w:p w14:paraId="4B3FA0F6">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高安市行政审批局</w:t>
            </w:r>
          </w:p>
        </w:tc>
        <w:tc>
          <w:tcPr>
            <w:tcW w:w="1785" w:type="dxa"/>
            <w:tcBorders>
              <w:top w:val="single" w:color="auto" w:sz="4" w:space="0"/>
              <w:left w:val="single" w:color="auto" w:sz="4" w:space="0"/>
              <w:bottom w:val="single" w:color="auto" w:sz="6" w:space="0"/>
              <w:right w:val="single" w:color="auto" w:sz="4" w:space="0"/>
            </w:tcBorders>
            <w:vAlign w:val="center"/>
          </w:tcPr>
          <w:p w14:paraId="630EE8F6">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项目备案文号</w:t>
            </w:r>
          </w:p>
        </w:tc>
        <w:tc>
          <w:tcPr>
            <w:tcW w:w="3551" w:type="dxa"/>
            <w:tcBorders>
              <w:top w:val="single" w:color="auto" w:sz="4" w:space="0"/>
              <w:left w:val="single" w:color="auto" w:sz="4" w:space="0"/>
              <w:bottom w:val="single" w:color="auto" w:sz="6" w:space="0"/>
              <w:right w:val="single" w:color="auto" w:sz="12" w:space="0"/>
            </w:tcBorders>
            <w:vAlign w:val="center"/>
          </w:tcPr>
          <w:p w14:paraId="4E0C1F46">
            <w:pPr>
              <w:pStyle w:val="72"/>
              <w:rPr>
                <w:color w:val="000000" w:themeColor="text1"/>
                <w:sz w:val="24"/>
                <w:szCs w:val="24"/>
                <w14:textFill>
                  <w14:solidFill>
                    <w14:schemeClr w14:val="tx1"/>
                  </w14:solidFill>
                </w14:textFill>
              </w:rPr>
            </w:pPr>
            <w:r>
              <w:rPr>
                <w:color w:val="000000" w:themeColor="text1"/>
                <w:sz w:val="24"/>
                <w14:textFill>
                  <w14:solidFill>
                    <w14:schemeClr w14:val="tx1"/>
                  </w14:solidFill>
                </w14:textFill>
              </w:rPr>
              <w:t>2508-360983-04-01-977740</w:t>
            </w:r>
          </w:p>
        </w:tc>
      </w:tr>
      <w:tr w14:paraId="0A6292D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left w:val="single" w:color="auto" w:sz="12" w:space="0"/>
              <w:bottom w:val="single" w:color="auto" w:sz="6" w:space="0"/>
              <w:right w:val="single" w:color="auto" w:sz="6" w:space="0"/>
            </w:tcBorders>
            <w:tcMar>
              <w:top w:w="16" w:type="dxa"/>
              <w:left w:w="16" w:type="dxa"/>
              <w:right w:w="16" w:type="dxa"/>
            </w:tcMar>
            <w:vAlign w:val="center"/>
          </w:tcPr>
          <w:p w14:paraId="47EE17B1">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总投资</w:t>
            </w:r>
          </w:p>
          <w:p w14:paraId="140FB66C">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（万元）</w:t>
            </w:r>
          </w:p>
        </w:tc>
        <w:tc>
          <w:tcPr>
            <w:tcW w:w="3119" w:type="dxa"/>
            <w:tcBorders>
              <w:top w:val="single" w:color="auto" w:sz="6" w:space="0"/>
              <w:left w:val="single" w:color="auto" w:sz="6" w:space="0"/>
              <w:bottom w:val="single" w:color="auto" w:sz="6" w:space="0"/>
              <w:right w:val="single" w:color="auto" w:sz="6" w:space="0"/>
            </w:tcBorders>
            <w:vAlign w:val="center"/>
          </w:tcPr>
          <w:p w14:paraId="39D60DE6">
            <w:pPr>
              <w:pStyle w:val="72"/>
              <w:rPr>
                <w:color w:val="000000" w:themeColor="text1"/>
                <w:sz w:val="24"/>
                <w:szCs w:val="24"/>
                <w:lang w:val="en-US"/>
                <w14:textFill>
                  <w14:solidFill>
                    <w14:schemeClr w14:val="tx1"/>
                  </w14:solidFill>
                </w14:textFill>
              </w:rPr>
            </w:pPr>
            <w:r>
              <w:rPr>
                <w:rFonts w:hint="eastAsia"/>
                <w:color w:val="000000" w:themeColor="text1"/>
                <w:sz w:val="24"/>
                <w:szCs w:val="24"/>
                <w:lang w:val="en-US"/>
                <w14:textFill>
                  <w14:solidFill>
                    <w14:schemeClr w14:val="tx1"/>
                  </w14:solidFill>
                </w14:textFill>
              </w:rPr>
              <w:t>3</w:t>
            </w:r>
            <w:r>
              <w:rPr>
                <w:color w:val="000000" w:themeColor="text1"/>
                <w:sz w:val="24"/>
                <w:szCs w:val="24"/>
                <w:lang w:val="en-US"/>
                <w14:textFill>
                  <w14:solidFill>
                    <w14:schemeClr w14:val="tx1"/>
                  </w14:solidFill>
                </w14:textFill>
              </w:rPr>
              <w:t>0</w:t>
            </w:r>
          </w:p>
        </w:tc>
        <w:tc>
          <w:tcPr>
            <w:tcW w:w="1785" w:type="dxa"/>
            <w:tcBorders>
              <w:top w:val="single" w:color="auto" w:sz="6" w:space="0"/>
              <w:left w:val="single" w:color="auto" w:sz="6" w:space="0"/>
              <w:bottom w:val="single" w:color="auto" w:sz="6" w:space="0"/>
              <w:right w:val="single" w:color="auto" w:sz="6" w:space="0"/>
            </w:tcBorders>
            <w:tcMar>
              <w:top w:w="16" w:type="dxa"/>
              <w:left w:w="16" w:type="dxa"/>
              <w:right w:w="16" w:type="dxa"/>
            </w:tcMar>
            <w:vAlign w:val="center"/>
          </w:tcPr>
          <w:p w14:paraId="63E00107">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环保投资（万元）</w:t>
            </w:r>
          </w:p>
        </w:tc>
        <w:tc>
          <w:tcPr>
            <w:tcW w:w="3551" w:type="dxa"/>
            <w:tcBorders>
              <w:top w:val="single" w:color="auto" w:sz="6" w:space="0"/>
              <w:left w:val="single" w:color="auto" w:sz="6" w:space="0"/>
              <w:bottom w:val="single" w:color="auto" w:sz="6" w:space="0"/>
              <w:right w:val="single" w:color="auto" w:sz="12" w:space="0"/>
            </w:tcBorders>
            <w:vAlign w:val="center"/>
          </w:tcPr>
          <w:p w14:paraId="23944688">
            <w:pPr>
              <w:pStyle w:val="72"/>
              <w:rPr>
                <w:color w:val="000000" w:themeColor="text1"/>
                <w:sz w:val="24"/>
                <w:szCs w:val="24"/>
                <w:lang w:val="en-US"/>
                <w14:textFill>
                  <w14:solidFill>
                    <w14:schemeClr w14:val="tx1"/>
                  </w14:solidFill>
                </w14:textFill>
              </w:rPr>
            </w:pPr>
            <w:r>
              <w:rPr>
                <w:rFonts w:hint="eastAsia"/>
                <w:color w:val="000000" w:themeColor="text1"/>
                <w:sz w:val="24"/>
                <w:szCs w:val="24"/>
                <w:lang w:val="en-US"/>
                <w14:textFill>
                  <w14:solidFill>
                    <w14:schemeClr w14:val="tx1"/>
                  </w14:solidFill>
                </w14:textFill>
              </w:rPr>
              <w:t>20</w:t>
            </w:r>
          </w:p>
        </w:tc>
      </w:tr>
      <w:tr w14:paraId="6A1E6C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left w:val="single" w:color="auto" w:sz="12" w:space="0"/>
              <w:bottom w:val="single" w:color="auto" w:sz="6" w:space="0"/>
              <w:right w:val="single" w:color="auto" w:sz="6" w:space="0"/>
            </w:tcBorders>
            <w:tcMar>
              <w:top w:w="16" w:type="dxa"/>
              <w:left w:w="16" w:type="dxa"/>
              <w:right w:w="16" w:type="dxa"/>
            </w:tcMar>
            <w:vAlign w:val="center"/>
          </w:tcPr>
          <w:p w14:paraId="02A82E3B">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环保投资</w:t>
            </w:r>
          </w:p>
          <w:p w14:paraId="09024509">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占比（%）</w:t>
            </w:r>
          </w:p>
        </w:tc>
        <w:tc>
          <w:tcPr>
            <w:tcW w:w="3119" w:type="dxa"/>
            <w:tcBorders>
              <w:top w:val="single" w:color="auto" w:sz="6" w:space="0"/>
              <w:left w:val="single" w:color="auto" w:sz="6" w:space="0"/>
              <w:bottom w:val="single" w:color="auto" w:sz="6" w:space="0"/>
              <w:right w:val="single" w:color="auto" w:sz="6" w:space="0"/>
            </w:tcBorders>
            <w:vAlign w:val="center"/>
          </w:tcPr>
          <w:p w14:paraId="371F1535">
            <w:pPr>
              <w:pStyle w:val="72"/>
              <w:rPr>
                <w:color w:val="000000" w:themeColor="text1"/>
                <w:sz w:val="24"/>
                <w:szCs w:val="24"/>
                <w:lang w:val="en-US"/>
                <w14:textFill>
                  <w14:solidFill>
                    <w14:schemeClr w14:val="tx1"/>
                  </w14:solidFill>
                </w14:textFill>
              </w:rPr>
            </w:pPr>
            <w:r>
              <w:rPr>
                <w:rFonts w:hint="eastAsia"/>
                <w:color w:val="000000" w:themeColor="text1"/>
                <w:sz w:val="24"/>
                <w:szCs w:val="24"/>
                <w:lang w:val="en-US"/>
                <w14:textFill>
                  <w14:solidFill>
                    <w14:schemeClr w14:val="tx1"/>
                  </w14:solidFill>
                </w14:textFill>
              </w:rPr>
              <w:t>66.67</w:t>
            </w:r>
          </w:p>
        </w:tc>
        <w:tc>
          <w:tcPr>
            <w:tcW w:w="1785" w:type="dxa"/>
            <w:tcBorders>
              <w:top w:val="single" w:color="auto" w:sz="6" w:space="0"/>
              <w:left w:val="single" w:color="auto" w:sz="6" w:space="0"/>
              <w:bottom w:val="single" w:color="auto" w:sz="6" w:space="0"/>
              <w:right w:val="single" w:color="auto" w:sz="6" w:space="0"/>
            </w:tcBorders>
            <w:tcMar>
              <w:top w:w="16" w:type="dxa"/>
              <w:left w:w="16" w:type="dxa"/>
              <w:right w:w="16" w:type="dxa"/>
            </w:tcMar>
            <w:vAlign w:val="center"/>
          </w:tcPr>
          <w:p w14:paraId="3E7D5FCC">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施工工期</w:t>
            </w:r>
          </w:p>
        </w:tc>
        <w:tc>
          <w:tcPr>
            <w:tcW w:w="3551" w:type="dxa"/>
            <w:tcBorders>
              <w:top w:val="single" w:color="auto" w:sz="6" w:space="0"/>
              <w:left w:val="single" w:color="auto" w:sz="6" w:space="0"/>
              <w:bottom w:val="single" w:color="auto" w:sz="6" w:space="0"/>
              <w:right w:val="single" w:color="auto" w:sz="12" w:space="0"/>
            </w:tcBorders>
            <w:vAlign w:val="center"/>
          </w:tcPr>
          <w:p w14:paraId="6AD0DF96">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2个月</w:t>
            </w:r>
          </w:p>
        </w:tc>
      </w:tr>
      <w:tr w14:paraId="0DC138C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7" w:hRule="atLeast"/>
          <w:jc w:val="center"/>
        </w:trPr>
        <w:tc>
          <w:tcPr>
            <w:tcW w:w="1261" w:type="dxa"/>
            <w:tcBorders>
              <w:top w:val="single" w:color="auto" w:sz="6" w:space="0"/>
              <w:left w:val="single" w:color="auto" w:sz="12" w:space="0"/>
              <w:bottom w:val="single" w:color="auto" w:sz="6" w:space="0"/>
              <w:right w:val="single" w:color="auto" w:sz="6" w:space="0"/>
            </w:tcBorders>
            <w:tcMar>
              <w:top w:w="16" w:type="dxa"/>
              <w:left w:w="16" w:type="dxa"/>
              <w:right w:w="16" w:type="dxa"/>
            </w:tcMar>
            <w:vAlign w:val="center"/>
          </w:tcPr>
          <w:p w14:paraId="2C33C528">
            <w:pPr>
              <w:pStyle w:val="72"/>
              <w:contextualSpacing/>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是否开工</w:t>
            </w:r>
          </w:p>
          <w:p w14:paraId="591F64A6">
            <w:pPr>
              <w:pStyle w:val="72"/>
              <w:contextualSpacing/>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w:t>
            </w:r>
          </w:p>
        </w:tc>
        <w:tc>
          <w:tcPr>
            <w:tcW w:w="3119" w:type="dxa"/>
            <w:tcBorders>
              <w:top w:val="single" w:color="auto" w:sz="6" w:space="0"/>
              <w:left w:val="single" w:color="auto" w:sz="6" w:space="0"/>
              <w:bottom w:val="single" w:color="auto" w:sz="6" w:space="0"/>
              <w:right w:val="single" w:color="auto" w:sz="6" w:space="0"/>
            </w:tcBorders>
            <w:vAlign w:val="center"/>
          </w:tcPr>
          <w:p w14:paraId="24651B55">
            <w:pPr>
              <w:pStyle w:val="72"/>
              <w:jc w:val="left"/>
              <w:rPr>
                <w:color w:val="000000" w:themeColor="text1"/>
                <w:sz w:val="24"/>
                <w:szCs w:val="24"/>
                <w14:textFill>
                  <w14:solidFill>
                    <w14:schemeClr w14:val="tx1"/>
                  </w14:solidFill>
                </w14:textFill>
              </w:rPr>
            </w:pPr>
            <w:r>
              <w:rPr>
                <w:color w:val="000000" w:themeColor="text1"/>
                <w:kern w:val="0"/>
                <w14:textFill>
                  <w14:solidFill>
                    <w14:schemeClr w14:val="tx1"/>
                  </w14:solidFill>
                </w14:textFill>
              </w:rPr>
              <w:sym w:font="Wingdings 2" w:char="F052"/>
            </w:r>
            <w:r>
              <w:rPr>
                <w:color w:val="000000" w:themeColor="text1"/>
                <w:sz w:val="24"/>
                <w:szCs w:val="24"/>
                <w14:textFill>
                  <w14:solidFill>
                    <w14:schemeClr w14:val="tx1"/>
                  </w14:solidFill>
                </w14:textFill>
              </w:rPr>
              <w:t>否</w:t>
            </w:r>
          </w:p>
          <w:p w14:paraId="55D65C5A">
            <w:pPr>
              <w:pStyle w:val="72"/>
              <w:jc w:val="both"/>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sym w:font="Wingdings 2" w:char="00A3"/>
            </w:r>
            <w:r>
              <w:rPr>
                <w:color w:val="000000" w:themeColor="text1"/>
                <w:sz w:val="24"/>
                <w:szCs w:val="24"/>
                <w14:textFill>
                  <w14:solidFill>
                    <w14:schemeClr w14:val="tx1"/>
                  </w14:solidFill>
                </w14:textFill>
              </w:rPr>
              <w:t>是：</w:t>
            </w:r>
            <w:r>
              <w:rPr>
                <w:color w:val="000000" w:themeColor="text1"/>
                <w:sz w:val="24"/>
                <w:szCs w:val="24"/>
                <w:u w:val="single"/>
                <w14:textFill>
                  <w14:solidFill>
                    <w14:schemeClr w14:val="tx1"/>
                  </w14:solidFill>
                </w14:textFill>
              </w:rPr>
              <w:t xml:space="preserve">      </w:t>
            </w:r>
          </w:p>
        </w:tc>
        <w:tc>
          <w:tcPr>
            <w:tcW w:w="1785" w:type="dxa"/>
            <w:tcBorders>
              <w:top w:val="single" w:color="auto" w:sz="6" w:space="0"/>
              <w:left w:val="single" w:color="auto" w:sz="6" w:space="0"/>
              <w:bottom w:val="single" w:color="auto" w:sz="6" w:space="0"/>
              <w:right w:val="single" w:color="auto" w:sz="6" w:space="0"/>
            </w:tcBorders>
            <w:tcMar>
              <w:top w:w="16" w:type="dxa"/>
              <w:left w:w="16" w:type="dxa"/>
              <w:right w:w="16" w:type="dxa"/>
            </w:tcMar>
            <w:vAlign w:val="center"/>
          </w:tcPr>
          <w:p w14:paraId="1BA1C5AF">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用地（用海）</w:t>
            </w:r>
          </w:p>
          <w:p w14:paraId="28298E03">
            <w:pPr>
              <w:pStyle w:val="72"/>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面积（m</w:t>
            </w:r>
            <w:r>
              <w:rPr>
                <w:color w:val="000000" w:themeColor="text1"/>
                <w:sz w:val="24"/>
                <w:szCs w:val="24"/>
                <w:vertAlign w:val="superscript"/>
                <w14:textFill>
                  <w14:solidFill>
                    <w14:schemeClr w14:val="tx1"/>
                  </w14:solidFill>
                </w14:textFill>
              </w:rPr>
              <w:t>2</w:t>
            </w:r>
            <w:r>
              <w:rPr>
                <w:color w:val="000000" w:themeColor="text1"/>
                <w:sz w:val="24"/>
                <w:szCs w:val="24"/>
                <w14:textFill>
                  <w14:solidFill>
                    <w14:schemeClr w14:val="tx1"/>
                  </w14:solidFill>
                </w14:textFill>
              </w:rPr>
              <w:t>）</w:t>
            </w:r>
          </w:p>
        </w:tc>
        <w:tc>
          <w:tcPr>
            <w:tcW w:w="3551" w:type="dxa"/>
            <w:tcBorders>
              <w:top w:val="single" w:color="auto" w:sz="6" w:space="0"/>
              <w:left w:val="single" w:color="auto" w:sz="6" w:space="0"/>
              <w:bottom w:val="single" w:color="auto" w:sz="6" w:space="0"/>
              <w:right w:val="single" w:color="auto" w:sz="12" w:space="0"/>
            </w:tcBorders>
            <w:vAlign w:val="center"/>
          </w:tcPr>
          <w:p w14:paraId="5D39CED9">
            <w:pPr>
              <w:pStyle w:val="7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1860</w:t>
            </w:r>
          </w:p>
        </w:tc>
      </w:tr>
      <w:tr w14:paraId="7EA0D5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00" w:hRule="atLeast"/>
          <w:jc w:val="center"/>
        </w:trPr>
        <w:tc>
          <w:tcPr>
            <w:tcW w:w="1261" w:type="dxa"/>
            <w:tcBorders>
              <w:top w:val="single" w:color="auto" w:sz="6" w:space="0"/>
              <w:bottom w:val="single" w:color="auto" w:sz="8" w:space="0"/>
            </w:tcBorders>
            <w:vAlign w:val="center"/>
          </w:tcPr>
          <w:p w14:paraId="48AC950B">
            <w:pPr>
              <w:pStyle w:val="72"/>
              <w:contextualSpacing/>
              <w:textAlignment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专项评价设置情况</w:t>
            </w:r>
          </w:p>
        </w:tc>
        <w:tc>
          <w:tcPr>
            <w:tcW w:w="8455" w:type="dxa"/>
            <w:gridSpan w:val="3"/>
            <w:tcBorders>
              <w:top w:val="single" w:color="auto" w:sz="6" w:space="0"/>
              <w:bottom w:val="single" w:color="auto" w:sz="8" w:space="0"/>
            </w:tcBorders>
            <w:vAlign w:val="center"/>
          </w:tcPr>
          <w:p w14:paraId="1FDEA3E9">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表1-1  专项评价设置原则表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4193"/>
              <w:gridCol w:w="2387"/>
              <w:gridCol w:w="726"/>
            </w:tblGrid>
            <w:tr w14:paraId="1C68B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14:paraId="3B42DE1D">
                  <w:pPr>
                    <w:pStyle w:val="72"/>
                    <w:rPr>
                      <w:b/>
                      <w:color w:val="000000" w:themeColor="text1"/>
                      <w14:textFill>
                        <w14:solidFill>
                          <w14:schemeClr w14:val="tx1"/>
                        </w14:solidFill>
                      </w14:textFill>
                    </w:rPr>
                  </w:pPr>
                  <w:r>
                    <w:rPr>
                      <w:b/>
                      <w:color w:val="000000" w:themeColor="text1"/>
                      <w14:textFill>
                        <w14:solidFill>
                          <w14:schemeClr w14:val="tx1"/>
                        </w14:solidFill>
                      </w14:textFill>
                    </w:rPr>
                    <w:t>专项评价类别</w:t>
                  </w:r>
                </w:p>
              </w:tc>
              <w:tc>
                <w:tcPr>
                  <w:tcW w:w="2531" w:type="pct"/>
                  <w:vAlign w:val="center"/>
                </w:tcPr>
                <w:p w14:paraId="0F4FC86B">
                  <w:pPr>
                    <w:pStyle w:val="72"/>
                    <w:rPr>
                      <w:b/>
                      <w:color w:val="000000" w:themeColor="text1"/>
                      <w14:textFill>
                        <w14:solidFill>
                          <w14:schemeClr w14:val="tx1"/>
                        </w14:solidFill>
                      </w14:textFill>
                    </w:rPr>
                  </w:pPr>
                  <w:r>
                    <w:rPr>
                      <w:b/>
                      <w:color w:val="000000" w:themeColor="text1"/>
                      <w14:textFill>
                        <w14:solidFill>
                          <w14:schemeClr w14:val="tx1"/>
                        </w14:solidFill>
                      </w14:textFill>
                    </w:rPr>
                    <w:t>设置原则</w:t>
                  </w:r>
                </w:p>
              </w:tc>
              <w:tc>
                <w:tcPr>
                  <w:tcW w:w="1441" w:type="pct"/>
                  <w:vAlign w:val="center"/>
                </w:tcPr>
                <w:p w14:paraId="02C86819">
                  <w:pPr>
                    <w:pStyle w:val="72"/>
                    <w:rPr>
                      <w:b/>
                      <w:color w:val="000000" w:themeColor="text1"/>
                      <w14:textFill>
                        <w14:solidFill>
                          <w14:schemeClr w14:val="tx1"/>
                        </w14:solidFill>
                      </w14:textFill>
                    </w:rPr>
                  </w:pPr>
                  <w:r>
                    <w:rPr>
                      <w:b/>
                      <w:color w:val="000000" w:themeColor="text1"/>
                      <w14:textFill>
                        <w14:solidFill>
                          <w14:schemeClr w14:val="tx1"/>
                        </w14:solidFill>
                      </w14:textFill>
                    </w:rPr>
                    <w:t>本项目情况</w:t>
                  </w:r>
                </w:p>
              </w:tc>
              <w:tc>
                <w:tcPr>
                  <w:tcW w:w="438" w:type="pct"/>
                  <w:vAlign w:val="center"/>
                </w:tcPr>
                <w:p w14:paraId="5D4E3589">
                  <w:pPr>
                    <w:pStyle w:val="72"/>
                    <w:rPr>
                      <w:b/>
                      <w:color w:val="000000" w:themeColor="text1"/>
                      <w14:textFill>
                        <w14:solidFill>
                          <w14:schemeClr w14:val="tx1"/>
                        </w14:solidFill>
                      </w14:textFill>
                    </w:rPr>
                  </w:pPr>
                  <w:r>
                    <w:rPr>
                      <w:b/>
                      <w:color w:val="000000" w:themeColor="text1"/>
                      <w14:textFill>
                        <w14:solidFill>
                          <w14:schemeClr w14:val="tx1"/>
                        </w14:solidFill>
                      </w14:textFill>
                    </w:rPr>
                    <w:t>是否设置</w:t>
                  </w:r>
                </w:p>
              </w:tc>
            </w:tr>
            <w:tr w14:paraId="74C9E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590" w:type="pct"/>
                  <w:vAlign w:val="center"/>
                </w:tcPr>
                <w:p w14:paraId="78BF7A7A">
                  <w:pPr>
                    <w:pStyle w:val="72"/>
                    <w:rPr>
                      <w:color w:val="000000" w:themeColor="text1"/>
                      <w14:textFill>
                        <w14:solidFill>
                          <w14:schemeClr w14:val="tx1"/>
                        </w14:solidFill>
                      </w14:textFill>
                    </w:rPr>
                  </w:pPr>
                  <w:r>
                    <w:rPr>
                      <w:color w:val="000000" w:themeColor="text1"/>
                      <w14:textFill>
                        <w14:solidFill>
                          <w14:schemeClr w14:val="tx1"/>
                        </w14:solidFill>
                      </w14:textFill>
                    </w:rPr>
                    <w:t>大气</w:t>
                  </w:r>
                </w:p>
              </w:tc>
              <w:tc>
                <w:tcPr>
                  <w:tcW w:w="2531" w:type="pct"/>
                  <w:vAlign w:val="center"/>
                </w:tcPr>
                <w:p w14:paraId="64CA931A">
                  <w:pPr>
                    <w:pStyle w:val="72"/>
                    <w:rPr>
                      <w:color w:val="000000" w:themeColor="text1"/>
                      <w14:textFill>
                        <w14:solidFill>
                          <w14:schemeClr w14:val="tx1"/>
                        </w14:solidFill>
                      </w14:textFill>
                    </w:rPr>
                  </w:pPr>
                  <w:r>
                    <w:rPr>
                      <w:color w:val="000000" w:themeColor="text1"/>
                      <w14:textFill>
                        <w14:solidFill>
                          <w14:schemeClr w14:val="tx1"/>
                        </w14:solidFill>
                      </w14:textFill>
                    </w:rPr>
                    <w:t>排放废气含有有毒有害污染物、二噁英、苯并[a]芘、氰化物、氯气且厂界外500m范围内有环境空气保护目标的建设项目</w:t>
                  </w:r>
                </w:p>
              </w:tc>
              <w:tc>
                <w:tcPr>
                  <w:tcW w:w="1441" w:type="pct"/>
                  <w:vAlign w:val="center"/>
                </w:tcPr>
                <w:p w14:paraId="4A7A4528">
                  <w:pPr>
                    <w:pStyle w:val="72"/>
                    <w:rPr>
                      <w:color w:val="000000" w:themeColor="text1"/>
                      <w14:textFill>
                        <w14:solidFill>
                          <w14:schemeClr w14:val="tx1"/>
                        </w14:solidFill>
                      </w14:textFill>
                    </w:rPr>
                  </w:pPr>
                  <w:r>
                    <w:rPr>
                      <w:color w:val="000000" w:themeColor="text1"/>
                      <w14:textFill>
                        <w14:solidFill>
                          <w14:schemeClr w14:val="tx1"/>
                        </w14:solidFill>
                      </w14:textFill>
                    </w:rPr>
                    <w:t>本项目排放大气污染物不涉及有毒有害污染物、二噁英、苯并[a]芘、氰化物、氯气等</w:t>
                  </w:r>
                </w:p>
              </w:tc>
              <w:tc>
                <w:tcPr>
                  <w:tcW w:w="438" w:type="pct"/>
                  <w:vAlign w:val="center"/>
                </w:tcPr>
                <w:p w14:paraId="4FBBDAE9">
                  <w:pPr>
                    <w:pStyle w:val="72"/>
                    <w:rPr>
                      <w:color w:val="000000" w:themeColor="text1"/>
                      <w14:textFill>
                        <w14:solidFill>
                          <w14:schemeClr w14:val="tx1"/>
                        </w14:solidFill>
                      </w14:textFill>
                    </w:rPr>
                  </w:pPr>
                  <w:r>
                    <w:rPr>
                      <w:color w:val="000000" w:themeColor="text1"/>
                      <w14:textFill>
                        <w14:solidFill>
                          <w14:schemeClr w14:val="tx1"/>
                        </w14:solidFill>
                      </w14:textFill>
                    </w:rPr>
                    <w:t>否</w:t>
                  </w:r>
                </w:p>
              </w:tc>
            </w:tr>
            <w:tr w14:paraId="4C39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14:paraId="01751692">
                  <w:pPr>
                    <w:pStyle w:val="72"/>
                    <w:rPr>
                      <w:color w:val="000000" w:themeColor="text1"/>
                      <w14:textFill>
                        <w14:solidFill>
                          <w14:schemeClr w14:val="tx1"/>
                        </w14:solidFill>
                      </w14:textFill>
                    </w:rPr>
                  </w:pPr>
                  <w:r>
                    <w:rPr>
                      <w:color w:val="000000" w:themeColor="text1"/>
                      <w14:textFill>
                        <w14:solidFill>
                          <w14:schemeClr w14:val="tx1"/>
                        </w14:solidFill>
                      </w14:textFill>
                    </w:rPr>
                    <w:t>地表水</w:t>
                  </w:r>
                </w:p>
              </w:tc>
              <w:tc>
                <w:tcPr>
                  <w:tcW w:w="2531" w:type="pct"/>
                  <w:vAlign w:val="center"/>
                </w:tcPr>
                <w:p w14:paraId="03EF8B53">
                  <w:pPr>
                    <w:pStyle w:val="72"/>
                    <w:rPr>
                      <w:color w:val="000000" w:themeColor="text1"/>
                      <w14:textFill>
                        <w14:solidFill>
                          <w14:schemeClr w14:val="tx1"/>
                        </w14:solidFill>
                      </w14:textFill>
                    </w:rPr>
                  </w:pPr>
                  <w:r>
                    <w:rPr>
                      <w:color w:val="000000" w:themeColor="text1"/>
                      <w14:textFill>
                        <w14:solidFill>
                          <w14:schemeClr w14:val="tx1"/>
                        </w14:solidFill>
                      </w14:textFill>
                    </w:rPr>
                    <w:t>新增工业废水直排项目（槽罐车送污水</w:t>
                  </w:r>
                  <w:r>
                    <w:rPr>
                      <w:rFonts w:hint="eastAsia"/>
                      <w:color w:val="000000" w:themeColor="text1"/>
                      <w14:textFill>
                        <w14:solidFill>
                          <w14:schemeClr w14:val="tx1"/>
                        </w14:solidFill>
                      </w14:textFill>
                    </w:rPr>
                    <w:t>处理厂</w:t>
                  </w:r>
                  <w:r>
                    <w:rPr>
                      <w:color w:val="000000" w:themeColor="text1"/>
                      <w14:textFill>
                        <w14:solidFill>
                          <w14:schemeClr w14:val="tx1"/>
                        </w14:solidFill>
                      </w14:textFill>
                    </w:rPr>
                    <w:t>的除外）；新增废水直排的污水集中处理厂</w:t>
                  </w:r>
                </w:p>
              </w:tc>
              <w:tc>
                <w:tcPr>
                  <w:tcW w:w="1441" w:type="pct"/>
                  <w:vAlign w:val="center"/>
                </w:tcPr>
                <w:p w14:paraId="17C0B00B">
                  <w:pPr>
                    <w:pStyle w:val="72"/>
                    <w:rPr>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水帘废水作为危废处置，</w:t>
                  </w:r>
                  <w:r>
                    <w:rPr>
                      <w:color w:val="000000" w:themeColor="text1"/>
                      <w14:textFill>
                        <w14:solidFill>
                          <w14:schemeClr w14:val="tx1"/>
                        </w14:solidFill>
                      </w14:textFill>
                    </w:rPr>
                    <w:t>生</w:t>
                  </w:r>
                  <w:r>
                    <w:rPr>
                      <w:color w:val="000000" w:themeColor="text1"/>
                      <w:lang w:val="en-US"/>
                      <w14:textFill>
                        <w14:solidFill>
                          <w14:schemeClr w14:val="tx1"/>
                        </w14:solidFill>
                      </w14:textFill>
                    </w:rPr>
                    <w:t>活</w:t>
                  </w:r>
                  <w:r>
                    <w:rPr>
                      <w:color w:val="000000" w:themeColor="text1"/>
                      <w14:textFill>
                        <w14:solidFill>
                          <w14:schemeClr w14:val="tx1"/>
                        </w14:solidFill>
                      </w14:textFill>
                    </w:rPr>
                    <w:t>污水</w:t>
                  </w:r>
                  <w:r>
                    <w:rPr>
                      <w:rFonts w:hint="eastAsia"/>
                      <w:color w:val="000000" w:themeColor="text1"/>
                      <w14:textFill>
                        <w14:solidFill>
                          <w14:schemeClr w14:val="tx1"/>
                        </w14:solidFill>
                      </w14:textFill>
                    </w:rPr>
                    <w:t>经处理后</w:t>
                  </w:r>
                  <w:r>
                    <w:rPr>
                      <w:color w:val="000000" w:themeColor="text1"/>
                      <w14:textFill>
                        <w14:solidFill>
                          <w14:schemeClr w14:val="tx1"/>
                        </w14:solidFill>
                      </w14:textFill>
                    </w:rPr>
                    <w:t>不外排</w:t>
                  </w:r>
                </w:p>
              </w:tc>
              <w:tc>
                <w:tcPr>
                  <w:tcW w:w="438" w:type="pct"/>
                  <w:vAlign w:val="center"/>
                </w:tcPr>
                <w:p w14:paraId="562E6082">
                  <w:pPr>
                    <w:pStyle w:val="72"/>
                    <w:rPr>
                      <w:color w:val="000000" w:themeColor="text1"/>
                      <w14:textFill>
                        <w14:solidFill>
                          <w14:schemeClr w14:val="tx1"/>
                        </w14:solidFill>
                      </w14:textFill>
                    </w:rPr>
                  </w:pPr>
                  <w:r>
                    <w:rPr>
                      <w:color w:val="000000" w:themeColor="text1"/>
                      <w14:textFill>
                        <w14:solidFill>
                          <w14:schemeClr w14:val="tx1"/>
                        </w14:solidFill>
                      </w14:textFill>
                    </w:rPr>
                    <w:t>否</w:t>
                  </w:r>
                </w:p>
              </w:tc>
            </w:tr>
            <w:tr w14:paraId="0FD1A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14:paraId="49618AA6">
                  <w:pPr>
                    <w:pStyle w:val="72"/>
                    <w:rPr>
                      <w:color w:val="000000" w:themeColor="text1"/>
                      <w14:textFill>
                        <w14:solidFill>
                          <w14:schemeClr w14:val="tx1"/>
                        </w14:solidFill>
                      </w14:textFill>
                    </w:rPr>
                  </w:pPr>
                  <w:r>
                    <w:rPr>
                      <w:color w:val="000000" w:themeColor="text1"/>
                      <w14:textFill>
                        <w14:solidFill>
                          <w14:schemeClr w14:val="tx1"/>
                        </w14:solidFill>
                      </w14:textFill>
                    </w:rPr>
                    <w:t>环境风险</w:t>
                  </w:r>
                </w:p>
              </w:tc>
              <w:tc>
                <w:tcPr>
                  <w:tcW w:w="2531" w:type="pct"/>
                  <w:vAlign w:val="center"/>
                </w:tcPr>
                <w:p w14:paraId="3E10E2E3">
                  <w:pPr>
                    <w:pStyle w:val="72"/>
                    <w:rPr>
                      <w:color w:val="000000" w:themeColor="text1"/>
                      <w14:textFill>
                        <w14:solidFill>
                          <w14:schemeClr w14:val="tx1"/>
                        </w14:solidFill>
                      </w14:textFill>
                    </w:rPr>
                  </w:pPr>
                  <w:r>
                    <w:rPr>
                      <w:color w:val="000000" w:themeColor="text1"/>
                      <w14:textFill>
                        <w14:solidFill>
                          <w14:schemeClr w14:val="tx1"/>
                        </w14:solidFill>
                      </w14:textFill>
                    </w:rPr>
                    <w:t>有毒有害和易燃易爆危险物质存储量超过临界量的建设项目</w:t>
                  </w:r>
                </w:p>
              </w:tc>
              <w:tc>
                <w:tcPr>
                  <w:tcW w:w="1441" w:type="pct"/>
                  <w:vAlign w:val="center"/>
                </w:tcPr>
                <w:p w14:paraId="28DCFD7A">
                  <w:pPr>
                    <w:pStyle w:val="72"/>
                    <w:rPr>
                      <w:color w:val="000000" w:themeColor="text1"/>
                      <w14:textFill>
                        <w14:solidFill>
                          <w14:schemeClr w14:val="tx1"/>
                        </w14:solidFill>
                      </w14:textFill>
                    </w:rPr>
                  </w:pPr>
                  <w:r>
                    <w:rPr>
                      <w:color w:val="000000" w:themeColor="text1"/>
                      <w14:textFill>
                        <w14:solidFill>
                          <w14:schemeClr w14:val="tx1"/>
                        </w14:solidFill>
                      </w14:textFill>
                    </w:rPr>
                    <w:t>未超过临界量</w:t>
                  </w:r>
                </w:p>
              </w:tc>
              <w:tc>
                <w:tcPr>
                  <w:tcW w:w="438" w:type="pct"/>
                  <w:vAlign w:val="center"/>
                </w:tcPr>
                <w:p w14:paraId="40F4F116">
                  <w:pPr>
                    <w:pStyle w:val="72"/>
                    <w:rPr>
                      <w:color w:val="000000" w:themeColor="text1"/>
                      <w14:textFill>
                        <w14:solidFill>
                          <w14:schemeClr w14:val="tx1"/>
                        </w14:solidFill>
                      </w14:textFill>
                    </w:rPr>
                  </w:pPr>
                  <w:r>
                    <w:rPr>
                      <w:color w:val="000000" w:themeColor="text1"/>
                      <w14:textFill>
                        <w14:solidFill>
                          <w14:schemeClr w14:val="tx1"/>
                        </w14:solidFill>
                      </w14:textFill>
                    </w:rPr>
                    <w:t>否</w:t>
                  </w:r>
                </w:p>
              </w:tc>
            </w:tr>
            <w:tr w14:paraId="44EA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14:paraId="7856A31D">
                  <w:pPr>
                    <w:pStyle w:val="72"/>
                    <w:rPr>
                      <w:color w:val="000000" w:themeColor="text1"/>
                      <w14:textFill>
                        <w14:solidFill>
                          <w14:schemeClr w14:val="tx1"/>
                        </w14:solidFill>
                      </w14:textFill>
                    </w:rPr>
                  </w:pPr>
                  <w:r>
                    <w:rPr>
                      <w:color w:val="000000" w:themeColor="text1"/>
                      <w14:textFill>
                        <w14:solidFill>
                          <w14:schemeClr w14:val="tx1"/>
                        </w14:solidFill>
                      </w14:textFill>
                    </w:rPr>
                    <w:t>生态</w:t>
                  </w:r>
                </w:p>
              </w:tc>
              <w:tc>
                <w:tcPr>
                  <w:tcW w:w="2531" w:type="pct"/>
                  <w:vAlign w:val="center"/>
                </w:tcPr>
                <w:p w14:paraId="2EBC74D7">
                  <w:pPr>
                    <w:pStyle w:val="72"/>
                    <w:rPr>
                      <w:color w:val="000000" w:themeColor="text1"/>
                      <w14:textFill>
                        <w14:solidFill>
                          <w14:schemeClr w14:val="tx1"/>
                        </w14:solidFill>
                      </w14:textFill>
                    </w:rPr>
                  </w:pPr>
                  <w:r>
                    <w:rPr>
                      <w:color w:val="000000" w:themeColor="text1"/>
                      <w14:textFill>
                        <w14:solidFill>
                          <w14:schemeClr w14:val="tx1"/>
                        </w14:solidFill>
                      </w14:textFill>
                    </w:rPr>
                    <w:t>取水口下游500m范围内有重要水生生物的自然产卵场、索饵场、越冬场和洄游通道的新增河道取水的污染类建设项目</w:t>
                  </w:r>
                </w:p>
              </w:tc>
              <w:tc>
                <w:tcPr>
                  <w:tcW w:w="1441" w:type="pct"/>
                  <w:vAlign w:val="center"/>
                </w:tcPr>
                <w:p w14:paraId="0EDB25C3">
                  <w:pPr>
                    <w:pStyle w:val="72"/>
                    <w:rPr>
                      <w:color w:val="000000" w:themeColor="text1"/>
                      <w14:textFill>
                        <w14:solidFill>
                          <w14:schemeClr w14:val="tx1"/>
                        </w14:solidFill>
                      </w14:textFill>
                    </w:rPr>
                  </w:pPr>
                  <w:r>
                    <w:rPr>
                      <w:color w:val="000000" w:themeColor="text1"/>
                      <w14:textFill>
                        <w14:solidFill>
                          <w14:schemeClr w14:val="tx1"/>
                        </w14:solidFill>
                      </w14:textFill>
                    </w:rPr>
                    <w:t>项目不设河道取水</w:t>
                  </w:r>
                </w:p>
              </w:tc>
              <w:tc>
                <w:tcPr>
                  <w:tcW w:w="438" w:type="pct"/>
                  <w:vAlign w:val="center"/>
                </w:tcPr>
                <w:p w14:paraId="08447286">
                  <w:pPr>
                    <w:pStyle w:val="72"/>
                    <w:rPr>
                      <w:color w:val="000000" w:themeColor="text1"/>
                      <w14:textFill>
                        <w14:solidFill>
                          <w14:schemeClr w14:val="tx1"/>
                        </w14:solidFill>
                      </w14:textFill>
                    </w:rPr>
                  </w:pPr>
                  <w:r>
                    <w:rPr>
                      <w:color w:val="000000" w:themeColor="text1"/>
                      <w14:textFill>
                        <w14:solidFill>
                          <w14:schemeClr w14:val="tx1"/>
                        </w14:solidFill>
                      </w14:textFill>
                    </w:rPr>
                    <w:t>否</w:t>
                  </w:r>
                </w:p>
              </w:tc>
            </w:tr>
            <w:tr w14:paraId="1D57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14:paraId="68ACAD87">
                  <w:pPr>
                    <w:pStyle w:val="72"/>
                    <w:rPr>
                      <w:color w:val="000000" w:themeColor="text1"/>
                      <w14:textFill>
                        <w14:solidFill>
                          <w14:schemeClr w14:val="tx1"/>
                        </w14:solidFill>
                      </w14:textFill>
                    </w:rPr>
                  </w:pPr>
                  <w:r>
                    <w:rPr>
                      <w:color w:val="000000" w:themeColor="text1"/>
                      <w14:textFill>
                        <w14:solidFill>
                          <w14:schemeClr w14:val="tx1"/>
                        </w14:solidFill>
                      </w14:textFill>
                    </w:rPr>
                    <w:t>海洋</w:t>
                  </w:r>
                </w:p>
              </w:tc>
              <w:tc>
                <w:tcPr>
                  <w:tcW w:w="2531" w:type="pct"/>
                  <w:vAlign w:val="center"/>
                </w:tcPr>
                <w:p w14:paraId="4389FF91">
                  <w:pPr>
                    <w:pStyle w:val="72"/>
                    <w:rPr>
                      <w:color w:val="000000" w:themeColor="text1"/>
                      <w14:textFill>
                        <w14:solidFill>
                          <w14:schemeClr w14:val="tx1"/>
                        </w14:solidFill>
                      </w14:textFill>
                    </w:rPr>
                  </w:pPr>
                  <w:r>
                    <w:rPr>
                      <w:color w:val="000000" w:themeColor="text1"/>
                      <w14:textFill>
                        <w14:solidFill>
                          <w14:schemeClr w14:val="tx1"/>
                        </w14:solidFill>
                      </w14:textFill>
                    </w:rPr>
                    <w:t>直接向海排放污染物的海洋工程建设项目</w:t>
                  </w:r>
                </w:p>
              </w:tc>
              <w:tc>
                <w:tcPr>
                  <w:tcW w:w="1441" w:type="pct"/>
                  <w:vAlign w:val="center"/>
                </w:tcPr>
                <w:p w14:paraId="201E2A41">
                  <w:pPr>
                    <w:pStyle w:val="72"/>
                    <w:rPr>
                      <w:color w:val="000000" w:themeColor="text1"/>
                      <w14:textFill>
                        <w14:solidFill>
                          <w14:schemeClr w14:val="tx1"/>
                        </w14:solidFill>
                      </w14:textFill>
                    </w:rPr>
                  </w:pPr>
                  <w:r>
                    <w:rPr>
                      <w:color w:val="000000" w:themeColor="text1"/>
                      <w14:textFill>
                        <w14:solidFill>
                          <w14:schemeClr w14:val="tx1"/>
                        </w14:solidFill>
                      </w14:textFill>
                    </w:rPr>
                    <w:t>项目不涉及向海洋排放污染物</w:t>
                  </w:r>
                </w:p>
              </w:tc>
              <w:tc>
                <w:tcPr>
                  <w:tcW w:w="438" w:type="pct"/>
                  <w:vAlign w:val="center"/>
                </w:tcPr>
                <w:p w14:paraId="4047CB84">
                  <w:pPr>
                    <w:pStyle w:val="72"/>
                    <w:rPr>
                      <w:color w:val="000000" w:themeColor="text1"/>
                      <w14:textFill>
                        <w14:solidFill>
                          <w14:schemeClr w14:val="tx1"/>
                        </w14:solidFill>
                      </w14:textFill>
                    </w:rPr>
                  </w:pPr>
                  <w:r>
                    <w:rPr>
                      <w:color w:val="000000" w:themeColor="text1"/>
                      <w14:textFill>
                        <w14:solidFill>
                          <w14:schemeClr w14:val="tx1"/>
                        </w14:solidFill>
                      </w14:textFill>
                    </w:rPr>
                    <w:t>否</w:t>
                  </w:r>
                </w:p>
              </w:tc>
            </w:tr>
          </w:tbl>
          <w:p w14:paraId="3C2BFD4A">
            <w:pPr>
              <w:pStyle w:val="72"/>
              <w:adjustRightInd w:val="0"/>
              <w:snapToGrid w:val="0"/>
              <w:spacing w:line="360" w:lineRule="auto"/>
              <w:ind w:firstLine="480" w:firstLineChars="200"/>
              <w:jc w:val="both"/>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综上，本项目无需设置专项评价。</w:t>
            </w:r>
          </w:p>
        </w:tc>
      </w:tr>
      <w:tr w14:paraId="5E1C2A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8" w:hRule="atLeast"/>
          <w:jc w:val="center"/>
        </w:trPr>
        <w:tc>
          <w:tcPr>
            <w:tcW w:w="1261" w:type="dxa"/>
            <w:tcBorders>
              <w:top w:val="single" w:color="auto" w:sz="8" w:space="0"/>
              <w:bottom w:val="single" w:color="auto" w:sz="8" w:space="0"/>
            </w:tcBorders>
            <w:vAlign w:val="center"/>
          </w:tcPr>
          <w:p w14:paraId="7B1E07C4">
            <w:pPr>
              <w:pStyle w:val="72"/>
              <w:contextualSpacing/>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规划情况</w:t>
            </w:r>
          </w:p>
        </w:tc>
        <w:tc>
          <w:tcPr>
            <w:tcW w:w="8455" w:type="dxa"/>
            <w:gridSpan w:val="3"/>
            <w:tcBorders>
              <w:top w:val="single" w:color="auto" w:sz="8" w:space="0"/>
              <w:bottom w:val="single" w:color="auto" w:sz="8" w:space="0"/>
            </w:tcBorders>
            <w:vAlign w:val="center"/>
          </w:tcPr>
          <w:p w14:paraId="4A1CD8DF">
            <w:pPr>
              <w:pStyle w:val="72"/>
              <w:spacing w:line="360" w:lineRule="auto"/>
              <w:ind w:firstLine="480" w:firstLineChars="200"/>
              <w:jc w:val="both"/>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（1）《高安市国土空间总体规划（2021-2035年）》；</w:t>
            </w:r>
          </w:p>
          <w:p w14:paraId="4FB8C7CA">
            <w:pPr>
              <w:pStyle w:val="72"/>
              <w:spacing w:line="360" w:lineRule="auto"/>
              <w:ind w:firstLine="480" w:firstLineChars="200"/>
              <w:jc w:val="both"/>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审批机关：江西省人民政府；</w:t>
            </w:r>
          </w:p>
          <w:p w14:paraId="7ED575FB">
            <w:pPr>
              <w:pStyle w:val="72"/>
              <w:spacing w:line="360" w:lineRule="auto"/>
              <w:ind w:firstLine="480" w:firstLineChars="200"/>
              <w:jc w:val="both"/>
              <w:rPr>
                <w:color w:val="000000" w:themeColor="text1"/>
                <w:sz w:val="24"/>
                <w:lang w:val="en-US"/>
                <w14:textFill>
                  <w14:solidFill>
                    <w14:schemeClr w14:val="tx1"/>
                  </w14:solidFill>
                </w14:textFill>
              </w:rPr>
            </w:pPr>
            <w:r>
              <w:rPr>
                <w:color w:val="000000" w:themeColor="text1"/>
                <w:sz w:val="24"/>
                <w:szCs w:val="24"/>
                <w14:textFill>
                  <w14:solidFill>
                    <w14:schemeClr w14:val="tx1"/>
                  </w14:solidFill>
                </w14:textFill>
              </w:rPr>
              <w:t>审查文件文号及名称：江西省人民政府关于《高安市国土空间总体规划（2021-2035年）》的批复（赣府厅字〔2024〕50号）。</w:t>
            </w:r>
          </w:p>
        </w:tc>
      </w:tr>
      <w:tr w14:paraId="44D775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7" w:hRule="atLeast"/>
          <w:jc w:val="center"/>
        </w:trPr>
        <w:tc>
          <w:tcPr>
            <w:tcW w:w="1261" w:type="dxa"/>
            <w:tcBorders>
              <w:top w:val="single" w:color="auto" w:sz="8" w:space="0"/>
              <w:bottom w:val="single" w:color="auto" w:sz="8" w:space="0"/>
            </w:tcBorders>
            <w:vAlign w:val="center"/>
          </w:tcPr>
          <w:p w14:paraId="7986F989">
            <w:pPr>
              <w:adjustRightInd w:val="0"/>
              <w:snapToGrid w:val="0"/>
              <w:spacing w:line="360" w:lineRule="auto"/>
              <w:jc w:val="center"/>
              <w:rPr>
                <w:rFonts w:eastAsiaTheme="minorEastAsia"/>
                <w:color w:val="000000" w:themeColor="text1"/>
                <w:kern w:val="0"/>
                <w:sz w:val="24"/>
                <w14:textFill>
                  <w14:solidFill>
                    <w14:schemeClr w14:val="tx1"/>
                  </w14:solidFill>
                </w14:textFill>
              </w:rPr>
            </w:pPr>
            <w:r>
              <w:rPr>
                <w:rFonts w:eastAsiaTheme="minorEastAsia"/>
                <w:color w:val="000000" w:themeColor="text1"/>
                <w:sz w:val="24"/>
                <w14:textFill>
                  <w14:solidFill>
                    <w14:schemeClr w14:val="tx1"/>
                  </w14:solidFill>
                </w14:textFill>
              </w:rPr>
              <w:t>规划环境影响评价情况</w:t>
            </w:r>
          </w:p>
        </w:tc>
        <w:tc>
          <w:tcPr>
            <w:tcW w:w="8455" w:type="dxa"/>
            <w:gridSpan w:val="3"/>
            <w:tcBorders>
              <w:top w:val="single" w:color="auto" w:sz="8" w:space="0"/>
              <w:bottom w:val="single" w:color="auto" w:sz="8" w:space="0"/>
            </w:tcBorders>
            <w:vAlign w:val="center"/>
          </w:tcPr>
          <w:p w14:paraId="4A1FE66B">
            <w:pPr>
              <w:pStyle w:val="72"/>
              <w:rPr>
                <w:rFonts w:eastAsiaTheme="minorEastAsia"/>
                <w:color w:val="000000" w:themeColor="text1"/>
                <w:sz w:val="24"/>
                <w14:textFill>
                  <w14:solidFill>
                    <w14:schemeClr w14:val="tx1"/>
                  </w14:solidFill>
                </w14:textFill>
              </w:rPr>
            </w:pPr>
            <w:r>
              <w:rPr>
                <w:color w:val="000000" w:themeColor="text1"/>
                <w:sz w:val="24"/>
                <w:szCs w:val="24"/>
                <w14:textFill>
                  <w14:solidFill>
                    <w14:schemeClr w14:val="tx1"/>
                  </w14:solidFill>
                </w14:textFill>
              </w:rPr>
              <w:t>无</w:t>
            </w:r>
          </w:p>
        </w:tc>
      </w:tr>
      <w:tr w14:paraId="5FDBF34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41" w:hRule="atLeast"/>
          <w:jc w:val="center"/>
        </w:trPr>
        <w:tc>
          <w:tcPr>
            <w:tcW w:w="1261" w:type="dxa"/>
            <w:tcBorders>
              <w:top w:val="single" w:color="auto" w:sz="8" w:space="0"/>
              <w:bottom w:val="single" w:color="auto" w:sz="8" w:space="0"/>
            </w:tcBorders>
            <w:vAlign w:val="center"/>
          </w:tcPr>
          <w:p w14:paraId="18B84008">
            <w:pPr>
              <w:autoSpaceDE w:val="0"/>
              <w:autoSpaceDN w:val="0"/>
              <w:adjustRightInd w:val="0"/>
              <w:snapToGrid w:val="0"/>
              <w:spacing w:line="360" w:lineRule="auto"/>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规划及规划环境影响评价符合性分析</w:t>
            </w:r>
          </w:p>
        </w:tc>
        <w:tc>
          <w:tcPr>
            <w:tcW w:w="8455" w:type="dxa"/>
            <w:gridSpan w:val="3"/>
            <w:tcBorders>
              <w:top w:val="single" w:color="auto" w:sz="8" w:space="0"/>
              <w:bottom w:val="single" w:color="auto" w:sz="8" w:space="0"/>
            </w:tcBorders>
            <w:vAlign w:val="center"/>
          </w:tcPr>
          <w:p w14:paraId="6F7D3B36">
            <w:pPr>
              <w:adjustRightInd w:val="0"/>
              <w:snapToGrid w:val="0"/>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一、与《高安市国土空间总体规划（2021-2035年）》相符性分析</w:t>
            </w:r>
          </w:p>
          <w:p w14:paraId="32556B52">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高安市国土空间总体规划（2021-2035年）》（以下简称《规划》）是高安市面向2035年的空间发展蓝图和战略部署，是落实新发展理念、实施高效能空间治理、促进高质量发展和高品质生活的空间政策，是高安市开展国土空间保护、开发、利用、修复和指导各类建设的行动纲领。</w:t>
            </w:r>
          </w:p>
          <w:p w14:paraId="1203076D">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《规划》贯彻习近平新时代中国特色社会主义思想，坚持生态优先、绿色发展，围绕江西省、宜春市发展要求和战略部署，聚焦聚力“加速百强进位，建设中等城市”全力塑造高安高质量发展新品牌。</w:t>
            </w:r>
          </w:p>
          <w:p w14:paraId="1940A3E3">
            <w:pPr>
              <w:topLinePunct/>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根据《规划》中</w:t>
            </w:r>
            <w:r>
              <w:rPr>
                <w:rFonts w:hint="eastAsia"/>
                <w:color w:val="000000" w:themeColor="text1"/>
                <w:sz w:val="24"/>
                <w14:textFill>
                  <w14:solidFill>
                    <w14:schemeClr w14:val="tx1"/>
                  </w14:solidFill>
                </w14:textFill>
              </w:rPr>
              <w:t>“三区三线”</w:t>
            </w:r>
            <w:r>
              <w:rPr>
                <w:color w:val="000000" w:themeColor="text1"/>
                <w:sz w:val="24"/>
                <w14:textFill>
                  <w14:solidFill>
                    <w14:schemeClr w14:val="tx1"/>
                  </w14:solidFill>
                </w14:textFill>
              </w:rPr>
              <w:t>的划定，本项目不涉及永久基本农田、生态保护红线</w:t>
            </w:r>
            <w:r>
              <w:rPr>
                <w:rFonts w:hint="eastAsia"/>
                <w:color w:val="000000" w:themeColor="text1"/>
                <w:sz w:val="24"/>
                <w14:textFill>
                  <w14:solidFill>
                    <w14:schemeClr w14:val="tx1"/>
                  </w14:solidFill>
                </w14:textFill>
              </w:rPr>
              <w:t>，位于黄沙岗</w:t>
            </w:r>
            <w:r>
              <w:rPr>
                <w:color w:val="000000" w:themeColor="text1"/>
                <w:sz w:val="24"/>
                <w14:textFill>
                  <w14:solidFill>
                    <w14:schemeClr w14:val="tx1"/>
                  </w14:solidFill>
                </w14:textFill>
              </w:rPr>
              <w:t>镇</w:t>
            </w:r>
            <w:r>
              <w:rPr>
                <w:rFonts w:hint="eastAsia"/>
                <w:color w:val="000000" w:themeColor="text1"/>
                <w:sz w:val="24"/>
                <w14:textFill>
                  <w14:solidFill>
                    <w14:schemeClr w14:val="tx1"/>
                  </w14:solidFill>
                </w14:textFill>
              </w:rPr>
              <w:t>城镇</w:t>
            </w:r>
            <w:r>
              <w:rPr>
                <w:color w:val="000000" w:themeColor="text1"/>
                <w:sz w:val="24"/>
                <w14:textFill>
                  <w14:solidFill>
                    <w14:schemeClr w14:val="tx1"/>
                  </w14:solidFill>
                </w14:textFill>
              </w:rPr>
              <w:t>开发边界</w:t>
            </w:r>
            <w:r>
              <w:rPr>
                <w:rFonts w:hint="eastAsia"/>
                <w:color w:val="000000" w:themeColor="text1"/>
                <w:sz w:val="24"/>
                <w14:textFill>
                  <w14:solidFill>
                    <w14:schemeClr w14:val="tx1"/>
                  </w14:solidFill>
                </w14:textFill>
              </w:rPr>
              <w:t>外。项目租赁高安市黄沙柒星建材厂现有厂房进行建设，用地性质为工业用地（见附件四），项目不新增工业用地，利用高安市黄沙柒星建材厂工业用地，属于工业用地集约利用。项目建设符合</w:t>
            </w:r>
            <w:r>
              <w:rPr>
                <w:color w:val="000000" w:themeColor="text1"/>
                <w:sz w:val="24"/>
                <w14:textFill>
                  <w14:solidFill>
                    <w14:schemeClr w14:val="tx1"/>
                  </w14:solidFill>
                </w14:textFill>
              </w:rPr>
              <w:t>《江西省城镇开发边界管理实施细则（试行）》（赣自然资发〔2024〕2号）</w:t>
            </w:r>
            <w:r>
              <w:rPr>
                <w:rFonts w:hint="eastAsia"/>
                <w:color w:val="000000" w:themeColor="text1"/>
                <w:sz w:val="24"/>
                <w14:textFill>
                  <w14:solidFill>
                    <w14:schemeClr w14:val="tx1"/>
                  </w14:solidFill>
                </w14:textFill>
              </w:rPr>
              <w:t>第十四条：（七）其他法律法规规定的可以在城镇开发边界外布局的建设项目用地相关要求。</w:t>
            </w:r>
            <w:r>
              <w:rPr>
                <w:color w:val="000000" w:themeColor="text1"/>
                <w:sz w:val="24"/>
                <w14:textFill>
                  <w14:solidFill>
                    <w14:schemeClr w14:val="tx1"/>
                  </w14:solidFill>
                </w14:textFill>
              </w:rPr>
              <w:t>因此，本项目与《高安市国土空间总体规划（2021-2035年）》要求相符</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本项目与高安市</w:t>
            </w:r>
            <w:r>
              <w:rPr>
                <w:rFonts w:hint="eastAsia"/>
                <w:color w:val="000000" w:themeColor="text1"/>
                <w:sz w:val="24"/>
                <w14:textFill>
                  <w14:solidFill>
                    <w14:schemeClr w14:val="tx1"/>
                  </w14:solidFill>
                </w14:textFill>
              </w:rPr>
              <w:t>“三区三线”位置关系</w:t>
            </w:r>
            <w:r>
              <w:rPr>
                <w:color w:val="000000" w:themeColor="text1"/>
                <w:sz w:val="24"/>
                <w14:textFill>
                  <w14:solidFill>
                    <w14:schemeClr w14:val="tx1"/>
                  </w14:solidFill>
                </w14:textFill>
              </w:rPr>
              <w:t>图见附图</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w:t>
            </w:r>
          </w:p>
        </w:tc>
      </w:tr>
      <w:tr w14:paraId="0066E3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21" w:hRule="atLeast"/>
          <w:jc w:val="center"/>
        </w:trPr>
        <w:tc>
          <w:tcPr>
            <w:tcW w:w="1261" w:type="dxa"/>
            <w:tcBorders>
              <w:top w:val="single" w:color="auto" w:sz="8" w:space="0"/>
              <w:bottom w:val="single" w:color="auto" w:sz="12" w:space="0"/>
            </w:tcBorders>
            <w:vAlign w:val="center"/>
          </w:tcPr>
          <w:p w14:paraId="14111DBA">
            <w:pPr>
              <w:autoSpaceDE w:val="0"/>
              <w:autoSpaceDN w:val="0"/>
              <w:adjustRightInd w:val="0"/>
              <w:snapToGrid w:val="0"/>
              <w:spacing w:line="360" w:lineRule="auto"/>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其他符合性分析</w:t>
            </w:r>
          </w:p>
        </w:tc>
        <w:tc>
          <w:tcPr>
            <w:tcW w:w="8455" w:type="dxa"/>
            <w:gridSpan w:val="3"/>
            <w:tcBorders>
              <w:top w:val="single" w:color="auto" w:sz="8" w:space="0"/>
              <w:bottom w:val="single" w:color="auto" w:sz="12" w:space="0"/>
            </w:tcBorders>
            <w:vAlign w:val="center"/>
          </w:tcPr>
          <w:p w14:paraId="6FAE12C1">
            <w:pPr>
              <w:pStyle w:val="128"/>
              <w:adjustRightInd w:val="0"/>
              <w:snapToGrid w:val="0"/>
              <w:spacing w:line="360" w:lineRule="auto"/>
              <w:ind w:firstLine="482"/>
              <w:jc w:val="left"/>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一、产业政策相符性</w:t>
            </w:r>
          </w:p>
          <w:p w14:paraId="04125A12">
            <w:pPr>
              <w:adjustRightInd w:val="0"/>
              <w:snapToGrid w:val="0"/>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本项目为C2442 专项运动器材及配件制造，根据《产业结构调整指导目录（2024年本）》的有关规定，本项目不涉及其中的鼓励类、限制类和淘汰类规定的相关内容，属于允许类。同时高安市行政审批局已对该项目进行备案，统一项目代码：</w:t>
            </w:r>
            <w:r>
              <w:rPr>
                <w:color w:val="000000" w:themeColor="text1"/>
                <w:sz w:val="24"/>
                <w14:textFill>
                  <w14:solidFill>
                    <w14:schemeClr w14:val="tx1"/>
                  </w14:solidFill>
                </w14:textFill>
              </w:rPr>
              <w:t>2508-360983-04-01-977740</w:t>
            </w:r>
            <w:r>
              <w:rPr>
                <w:rFonts w:eastAsiaTheme="minorEastAsia"/>
                <w:color w:val="000000" w:themeColor="text1"/>
                <w:sz w:val="24"/>
                <w14:textFill>
                  <w14:solidFill>
                    <w14:schemeClr w14:val="tx1"/>
                  </w14:solidFill>
                </w14:textFill>
              </w:rPr>
              <w:t>。因此，本项目符合国家和地方当前产业政策。</w:t>
            </w:r>
          </w:p>
          <w:p w14:paraId="4F162401">
            <w:pPr>
              <w:adjustRightInd w:val="0"/>
              <w:snapToGrid w:val="0"/>
              <w:spacing w:line="360" w:lineRule="auto"/>
              <w:ind w:firstLine="482" w:firstLineChars="200"/>
              <w:rPr>
                <w:rFonts w:eastAsiaTheme="minorEastAsia"/>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二、用地规划符合性及选址合理性分析</w:t>
            </w:r>
          </w:p>
          <w:p w14:paraId="1F700E6F">
            <w:pPr>
              <w:pStyle w:val="128"/>
              <w:adjustRightInd w:val="0"/>
              <w:snapToGrid w:val="0"/>
              <w:spacing w:line="360" w:lineRule="auto"/>
              <w:ind w:left="420" w:firstLine="0" w:firstLineChars="0"/>
              <w:rPr>
                <w:rFonts w:eastAsiaTheme="minorEastAsia"/>
                <w:b/>
                <w:bCs/>
                <w:color w:val="000000" w:themeColor="text1"/>
                <w:sz w:val="24"/>
                <w14:textFill>
                  <w14:solidFill>
                    <w14:schemeClr w14:val="tx1"/>
                  </w14:solidFill>
                </w14:textFill>
              </w:rPr>
            </w:pPr>
            <w:r>
              <w:rPr>
                <w:rFonts w:eastAsiaTheme="minorEastAsia"/>
                <w:b/>
                <w:bCs/>
                <w:color w:val="000000" w:themeColor="text1"/>
                <w:sz w:val="24"/>
                <w14:textFill>
                  <w14:solidFill>
                    <w14:schemeClr w14:val="tx1"/>
                  </w14:solidFill>
                </w14:textFill>
              </w:rPr>
              <w:t>1、用地符合性分析</w:t>
            </w:r>
          </w:p>
          <w:p w14:paraId="28E68A86">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本项目位于</w:t>
            </w:r>
            <w:r>
              <w:rPr>
                <w:color w:val="000000" w:themeColor="text1"/>
                <w:sz w:val="24"/>
                <w14:textFill>
                  <w14:solidFill>
                    <w14:schemeClr w14:val="tx1"/>
                  </w14:solidFill>
                </w14:textFill>
              </w:rPr>
              <w:t>高安市</w:t>
            </w:r>
            <w:r>
              <w:rPr>
                <w:rFonts w:hint="eastAsia"/>
                <w:color w:val="000000" w:themeColor="text1"/>
                <w:sz w:val="24"/>
                <w14:textFill>
                  <w14:solidFill>
                    <w14:schemeClr w14:val="tx1"/>
                  </w14:solidFill>
                </w14:textFill>
              </w:rPr>
              <w:t>黄沙岗镇挂榜村柒家村（高安市黄沙柒星建材厂内）</w:t>
            </w:r>
            <w:r>
              <w:rPr>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项目租赁</w:t>
            </w:r>
            <w:r>
              <w:rPr>
                <w:rFonts w:hint="eastAsia"/>
                <w:color w:val="000000" w:themeColor="text1"/>
                <w:sz w:val="24"/>
                <w14:textFill>
                  <w14:solidFill>
                    <w14:schemeClr w14:val="tx1"/>
                  </w14:solidFill>
                </w14:textFill>
              </w:rPr>
              <w:t>高安市黄沙柒星建材厂现有</w:t>
            </w:r>
            <w:r>
              <w:rPr>
                <w:rFonts w:eastAsiaTheme="minorEastAsia"/>
                <w:color w:val="000000" w:themeColor="text1"/>
                <w:sz w:val="24"/>
                <w14:textFill>
                  <w14:solidFill>
                    <w14:schemeClr w14:val="tx1"/>
                  </w14:solidFill>
                </w14:textFill>
              </w:rPr>
              <w:t>厂房进行项目建设，用地性质为工业用地。</w:t>
            </w:r>
            <w:r>
              <w:rPr>
                <w:color w:val="000000" w:themeColor="text1"/>
                <w:sz w:val="24"/>
                <w14:textFill>
                  <w14:solidFill>
                    <w14:schemeClr w14:val="tx1"/>
                  </w14:solidFill>
                </w14:textFill>
              </w:rPr>
              <w:t>对照</w:t>
            </w:r>
            <w:r>
              <w:rPr>
                <w:rFonts w:eastAsiaTheme="minorEastAsia"/>
                <w:color w:val="000000" w:themeColor="text1"/>
                <w:sz w:val="24"/>
                <w14:textFill>
                  <w14:solidFill>
                    <w14:schemeClr w14:val="tx1"/>
                  </w14:solidFill>
                </w14:textFill>
              </w:rPr>
              <w:t>《自然资源部 国家发展和改革委员会 国家林业和草原局关于印发《自然资源要素支撑产业高质量发展指导目录（2024年本）》的通知》，本项目不属于《自然资源要素支撑产业高质量发展指导目录（2024年本）》</w:t>
            </w:r>
            <w:r>
              <w:rPr>
                <w:color w:val="000000" w:themeColor="text1"/>
                <w:sz w:val="24"/>
                <w14:textFill>
                  <w14:solidFill>
                    <w14:schemeClr w14:val="tx1"/>
                  </w14:solidFill>
                </w14:textFill>
              </w:rPr>
              <w:t>中限制及禁止用地项目。因此符合国家土地供应政策。</w:t>
            </w:r>
          </w:p>
          <w:p w14:paraId="2F5CF41F">
            <w:pPr>
              <w:pStyle w:val="128"/>
              <w:adjustRightInd w:val="0"/>
              <w:snapToGrid w:val="0"/>
              <w:spacing w:line="360" w:lineRule="auto"/>
              <w:ind w:left="420" w:firstLine="0" w:firstLineChars="0"/>
              <w:rPr>
                <w:rFonts w:eastAsiaTheme="minorEastAsia"/>
                <w:b/>
                <w:bCs/>
                <w:color w:val="000000" w:themeColor="text1"/>
                <w:sz w:val="24"/>
                <w14:textFill>
                  <w14:solidFill>
                    <w14:schemeClr w14:val="tx1"/>
                  </w14:solidFill>
                </w14:textFill>
              </w:rPr>
            </w:pPr>
            <w:r>
              <w:rPr>
                <w:rFonts w:eastAsiaTheme="minorEastAsia"/>
                <w:b/>
                <w:bCs/>
                <w:color w:val="000000" w:themeColor="text1"/>
                <w:sz w:val="24"/>
                <w14:textFill>
                  <w14:solidFill>
                    <w14:schemeClr w14:val="tx1"/>
                  </w14:solidFill>
                </w14:textFill>
              </w:rPr>
              <w:t>2、选址合理性分析</w:t>
            </w:r>
          </w:p>
          <w:p w14:paraId="6D2A7BAA">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本项目位于</w:t>
            </w:r>
            <w:r>
              <w:rPr>
                <w:color w:val="000000" w:themeColor="text1"/>
                <w:sz w:val="24"/>
                <w14:textFill>
                  <w14:solidFill>
                    <w14:schemeClr w14:val="tx1"/>
                  </w14:solidFill>
                </w14:textFill>
              </w:rPr>
              <w:t>高安市</w:t>
            </w:r>
            <w:r>
              <w:rPr>
                <w:rFonts w:hint="eastAsia"/>
                <w:color w:val="000000" w:themeColor="text1"/>
                <w:sz w:val="24"/>
                <w14:textFill>
                  <w14:solidFill>
                    <w14:schemeClr w14:val="tx1"/>
                  </w14:solidFill>
                </w14:textFill>
              </w:rPr>
              <w:t>黄沙岗镇挂榜村柒家村（高安市黄沙柒星建材厂内）</w:t>
            </w: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14:textFill>
                  <w14:solidFill>
                    <w14:schemeClr w14:val="tx1"/>
                  </w14:solidFill>
                </w14:textFill>
              </w:rPr>
              <w:t>西北面为</w:t>
            </w:r>
            <w:r>
              <w:rPr>
                <w:rFonts w:hint="eastAsia"/>
                <w:color w:val="000000" w:themeColor="text1"/>
                <w:sz w:val="24"/>
                <w14:textFill>
                  <w14:solidFill>
                    <w14:schemeClr w14:val="tx1"/>
                  </w14:solidFill>
                </w14:textFill>
              </w:rPr>
              <w:t>高安市黄沙柒星建材厂</w:t>
            </w:r>
            <w:r>
              <w:rPr>
                <w:rFonts w:hint="eastAsia" w:eastAsiaTheme="minorEastAsia"/>
                <w:color w:val="000000" w:themeColor="text1"/>
                <w:sz w:val="24"/>
                <w14:textFill>
                  <w14:solidFill>
                    <w14:schemeClr w14:val="tx1"/>
                  </w14:solidFill>
                </w14:textFill>
              </w:rPr>
              <w:t>，西南面为高安市瑞琨科技有限公司，东北面为空地，东南面为荷山水库</w:t>
            </w:r>
            <w:r>
              <w:rPr>
                <w:rFonts w:eastAsiaTheme="minorEastAsia"/>
                <w:color w:val="000000" w:themeColor="text1"/>
                <w:sz w:val="24"/>
                <w14:textFill>
                  <w14:solidFill>
                    <w14:schemeClr w14:val="tx1"/>
                  </w14:solidFill>
                </w14:textFill>
              </w:rPr>
              <w:t>。项目周边最近敏感点为</w:t>
            </w:r>
            <w:r>
              <w:rPr>
                <w:rFonts w:hint="eastAsia" w:eastAsiaTheme="minorEastAsia"/>
                <w:color w:val="000000" w:themeColor="text1"/>
                <w:sz w:val="24"/>
                <w14:textFill>
                  <w14:solidFill>
                    <w14:schemeClr w14:val="tx1"/>
                  </w14:solidFill>
                </w14:textFill>
              </w:rPr>
              <w:t>东</w:t>
            </w:r>
            <w:r>
              <w:rPr>
                <w:rFonts w:eastAsiaTheme="minorEastAsia"/>
                <w:color w:val="000000" w:themeColor="text1"/>
                <w:sz w:val="24"/>
                <w14:textFill>
                  <w14:solidFill>
                    <w14:schemeClr w14:val="tx1"/>
                  </w14:solidFill>
                </w14:textFill>
              </w:rPr>
              <w:t>侧</w:t>
            </w:r>
            <w:r>
              <w:rPr>
                <w:rFonts w:hint="eastAsia" w:eastAsiaTheme="minorEastAsia"/>
                <w:color w:val="000000" w:themeColor="text1"/>
                <w:sz w:val="24"/>
                <w14:textFill>
                  <w14:solidFill>
                    <w14:schemeClr w14:val="tx1"/>
                  </w14:solidFill>
                </w14:textFill>
              </w:rPr>
              <w:t>530</w:t>
            </w:r>
            <w:r>
              <w:rPr>
                <w:rFonts w:eastAsiaTheme="minorEastAsia"/>
                <w:color w:val="000000" w:themeColor="text1"/>
                <w:sz w:val="24"/>
                <w14:textFill>
                  <w14:solidFill>
                    <w14:schemeClr w14:val="tx1"/>
                  </w14:solidFill>
                </w14:textFill>
              </w:rPr>
              <w:t>m的</w:t>
            </w:r>
            <w:r>
              <w:rPr>
                <w:rFonts w:hint="eastAsia" w:eastAsiaTheme="minorEastAsia"/>
                <w:color w:val="000000" w:themeColor="text1"/>
                <w:sz w:val="24"/>
                <w14:textFill>
                  <w14:solidFill>
                    <w14:schemeClr w14:val="tx1"/>
                  </w14:solidFill>
                </w14:textFill>
              </w:rPr>
              <w:t>野鸡窝</w:t>
            </w:r>
            <w:r>
              <w:rPr>
                <w:rFonts w:eastAsiaTheme="minorEastAsia"/>
                <w:color w:val="000000" w:themeColor="text1"/>
                <w:sz w:val="24"/>
                <w14:textFill>
                  <w14:solidFill>
                    <w14:schemeClr w14:val="tx1"/>
                  </w14:solidFill>
                </w14:textFill>
              </w:rPr>
              <w:t>，项目50m卫生防护距离内无敏感点，项目周边地表水、环境空气、声环境质量现状良好。本项目</w:t>
            </w:r>
            <w:r>
              <w:rPr>
                <w:rFonts w:hint="eastAsia" w:eastAsiaTheme="minorEastAsia"/>
                <w:color w:val="000000" w:themeColor="text1"/>
                <w:sz w:val="24"/>
                <w14:textFill>
                  <w14:solidFill>
                    <w14:schemeClr w14:val="tx1"/>
                  </w14:solidFill>
                </w14:textFill>
              </w:rPr>
              <w:t>水帘废水作为危废处置，</w:t>
            </w:r>
            <w:r>
              <w:rPr>
                <w:rFonts w:eastAsiaTheme="minorEastAsia"/>
                <w:color w:val="000000" w:themeColor="text1"/>
                <w:sz w:val="24"/>
                <w14:textFill>
                  <w14:solidFill>
                    <w14:schemeClr w14:val="tx1"/>
                  </w14:solidFill>
                </w14:textFill>
              </w:rPr>
              <w:t>生活污水</w:t>
            </w:r>
            <w:r>
              <w:rPr>
                <w:rFonts w:hint="eastAsia" w:eastAsiaTheme="minorEastAsia"/>
                <w:color w:val="000000" w:themeColor="text1"/>
                <w:sz w:val="24"/>
                <w14:textFill>
                  <w14:solidFill>
                    <w14:schemeClr w14:val="tx1"/>
                  </w14:solidFill>
                </w14:textFill>
              </w:rPr>
              <w:t>经处理后</w:t>
            </w:r>
            <w:r>
              <w:rPr>
                <w:rFonts w:eastAsiaTheme="minorEastAsia"/>
                <w:color w:val="000000" w:themeColor="text1"/>
                <w:sz w:val="24"/>
                <w14:textFill>
                  <w14:solidFill>
                    <w14:schemeClr w14:val="tx1"/>
                  </w14:solidFill>
                </w14:textFill>
              </w:rPr>
              <w:t>不外排，废气污染物主要为颗粒物、非甲烷总烃、二甲苯，项目污染途径及污染物均较为简单，经处理后均能做到达标排放要求。</w:t>
            </w:r>
          </w:p>
          <w:p w14:paraId="76EB5A32">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综上所述，本项目周边制约因素较少，用地性质符合相关规划，在认真落实各项处理措施的前提下，本项目各项污染物均能达标排放，对周边环境影响较小，项目选址合理。</w:t>
            </w:r>
          </w:p>
          <w:p w14:paraId="4812F2FD">
            <w:pPr>
              <w:spacing w:line="360" w:lineRule="auto"/>
              <w:ind w:firstLine="482" w:firstLineChars="200"/>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3、周边企业相容性分析</w:t>
            </w:r>
          </w:p>
          <w:p w14:paraId="1C0E2101">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项目周边企业</w:t>
            </w:r>
            <w:r>
              <w:rPr>
                <w:rFonts w:hint="eastAsia" w:eastAsiaTheme="minorEastAsia"/>
                <w:color w:val="000000" w:themeColor="text1"/>
                <w:sz w:val="24"/>
                <w14:textFill>
                  <w14:solidFill>
                    <w14:schemeClr w14:val="tx1"/>
                  </w14:solidFill>
                </w14:textFill>
              </w:rPr>
              <w:t>主要为高安市黄沙柒星建材厂和高安市瑞琨科技有限公司，均主要</w:t>
            </w:r>
            <w:r>
              <w:rPr>
                <w:rFonts w:eastAsiaTheme="minorEastAsia"/>
                <w:color w:val="000000" w:themeColor="text1"/>
                <w:sz w:val="24"/>
                <w14:textFill>
                  <w14:solidFill>
                    <w14:schemeClr w14:val="tx1"/>
                  </w14:solidFill>
                </w14:textFill>
              </w:rPr>
              <w:t>从事</w:t>
            </w:r>
            <w:r>
              <w:rPr>
                <w:rFonts w:hint="eastAsia" w:eastAsiaTheme="minorEastAsia"/>
                <w:color w:val="000000" w:themeColor="text1"/>
                <w:sz w:val="24"/>
                <w14:textFill>
                  <w14:solidFill>
                    <w14:schemeClr w14:val="tx1"/>
                  </w14:solidFill>
                </w14:textFill>
              </w:rPr>
              <w:t>粘土砖瓦及建筑砌块制造，为工业污染型企业，主要污染物为颗粒物。不属于食品生产、医药等敏感类企业，</w:t>
            </w:r>
            <w:r>
              <w:rPr>
                <w:rFonts w:eastAsiaTheme="minorEastAsia"/>
                <w:color w:val="000000" w:themeColor="text1"/>
                <w:sz w:val="24"/>
                <w14:textFill>
                  <w14:solidFill>
                    <w14:schemeClr w14:val="tx1"/>
                  </w14:solidFill>
                </w14:textFill>
              </w:rPr>
              <w:t>项目与周边企业相容，对周边环境影响较小，项目与周边环境有良好的相容性。</w:t>
            </w:r>
          </w:p>
          <w:p w14:paraId="6F8AB959">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项目四至情况见图1-1。</w:t>
            </w:r>
          </w:p>
          <w:tbl>
            <w:tblPr>
              <w:tblStyle w:val="44"/>
              <w:tblW w:w="8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1"/>
              <w:gridCol w:w="3985"/>
            </w:tblGrid>
            <w:tr w14:paraId="42B6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1" w:type="dxa"/>
                  <w:vAlign w:val="center"/>
                </w:tcPr>
                <w:p w14:paraId="37F5756E">
                  <w:pPr>
                    <w:pStyle w:val="7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2447925" cy="1799590"/>
                        <wp:effectExtent l="0" t="0" r="0" b="0"/>
                        <wp:docPr id="5703791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379138"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448000" cy="1800000"/>
                                </a:xfrm>
                                <a:prstGeom prst="rect">
                                  <a:avLst/>
                                </a:prstGeom>
                                <a:noFill/>
                                <a:ln>
                                  <a:noFill/>
                                </a:ln>
                              </pic:spPr>
                            </pic:pic>
                          </a:graphicData>
                        </a:graphic>
                      </wp:inline>
                    </w:drawing>
                  </w:r>
                </w:p>
              </w:tc>
              <w:tc>
                <w:tcPr>
                  <w:tcW w:w="3985" w:type="dxa"/>
                  <w:vAlign w:val="center"/>
                </w:tcPr>
                <w:p w14:paraId="5EA6DE97">
                  <w:pPr>
                    <w:pStyle w:val="7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2447925" cy="1799590"/>
                        <wp:effectExtent l="0" t="0" r="0" b="0"/>
                        <wp:docPr id="10674333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433396" name="图片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48000" cy="1800000"/>
                                </a:xfrm>
                                <a:prstGeom prst="rect">
                                  <a:avLst/>
                                </a:prstGeom>
                                <a:noFill/>
                                <a:ln>
                                  <a:noFill/>
                                </a:ln>
                              </pic:spPr>
                            </pic:pic>
                          </a:graphicData>
                        </a:graphic>
                      </wp:inline>
                    </w:drawing>
                  </w:r>
                </w:p>
              </w:tc>
            </w:tr>
            <w:tr w14:paraId="306DA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1" w:type="dxa"/>
                  <w:vAlign w:val="center"/>
                </w:tcPr>
                <w:p w14:paraId="63F69175">
                  <w:pPr>
                    <w:pStyle w:val="72"/>
                    <w:rPr>
                      <w:color w:val="000000" w:themeColor="text1"/>
                      <w14:textFill>
                        <w14:solidFill>
                          <w14:schemeClr w14:val="tx1"/>
                        </w14:solidFill>
                      </w14:textFill>
                    </w:rPr>
                  </w:pPr>
                  <w:r>
                    <w:rPr>
                      <w:color w:val="000000" w:themeColor="text1"/>
                      <w14:textFill>
                        <w14:solidFill>
                          <w14:schemeClr w14:val="tx1"/>
                        </w14:solidFill>
                      </w14:textFill>
                    </w:rPr>
                    <w:t>东</w:t>
                  </w:r>
                  <w:r>
                    <w:rPr>
                      <w:rFonts w:hint="eastAsia"/>
                      <w:color w:val="000000" w:themeColor="text1"/>
                      <w14:textFill>
                        <w14:solidFill>
                          <w14:schemeClr w14:val="tx1"/>
                        </w14:solidFill>
                      </w14:textFill>
                    </w:rPr>
                    <w:t>南</w:t>
                  </w:r>
                  <w:r>
                    <w:rPr>
                      <w:color w:val="000000" w:themeColor="text1"/>
                      <w14:textFill>
                        <w14:solidFill>
                          <w14:schemeClr w14:val="tx1"/>
                        </w14:solidFill>
                      </w14:textFill>
                    </w:rPr>
                    <w:t>面（</w:t>
                  </w:r>
                  <w:r>
                    <w:rPr>
                      <w:rFonts w:hint="eastAsia"/>
                      <w:color w:val="000000" w:themeColor="text1"/>
                      <w14:textFill>
                        <w14:solidFill>
                          <w14:schemeClr w14:val="tx1"/>
                        </w14:solidFill>
                      </w14:textFill>
                    </w:rPr>
                    <w:t>荷山水库</w:t>
                  </w:r>
                  <w:r>
                    <w:rPr>
                      <w:color w:val="000000" w:themeColor="text1"/>
                      <w14:textFill>
                        <w14:solidFill>
                          <w14:schemeClr w14:val="tx1"/>
                        </w14:solidFill>
                      </w14:textFill>
                    </w:rPr>
                    <w:t>）</w:t>
                  </w:r>
                </w:p>
              </w:tc>
              <w:tc>
                <w:tcPr>
                  <w:tcW w:w="3985" w:type="dxa"/>
                  <w:vAlign w:val="center"/>
                </w:tcPr>
                <w:p w14:paraId="05372AB2">
                  <w:pPr>
                    <w:pStyle w:val="72"/>
                    <w:rPr>
                      <w:color w:val="000000" w:themeColor="text1"/>
                      <w14:textFill>
                        <w14:solidFill>
                          <w14:schemeClr w14:val="tx1"/>
                        </w14:solidFill>
                      </w14:textFill>
                    </w:rPr>
                  </w:pPr>
                  <w:r>
                    <w:rPr>
                      <w:rFonts w:hint="eastAsia"/>
                      <w:color w:val="000000" w:themeColor="text1"/>
                      <w14:textFill>
                        <w14:solidFill>
                          <w14:schemeClr w14:val="tx1"/>
                        </w14:solidFill>
                      </w14:textFill>
                    </w:rPr>
                    <w:t>东北</w:t>
                  </w:r>
                  <w:r>
                    <w:rPr>
                      <w:color w:val="000000" w:themeColor="text1"/>
                      <w14:textFill>
                        <w14:solidFill>
                          <w14:schemeClr w14:val="tx1"/>
                        </w14:solidFill>
                      </w14:textFill>
                    </w:rPr>
                    <w:t>面（空地）</w:t>
                  </w:r>
                </w:p>
              </w:tc>
            </w:tr>
            <w:tr w14:paraId="53C74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1" w:type="dxa"/>
                  <w:vAlign w:val="center"/>
                </w:tcPr>
                <w:p w14:paraId="79708B0E">
                  <w:pPr>
                    <w:pStyle w:val="7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2447925" cy="1799590"/>
                        <wp:effectExtent l="0" t="0" r="0" b="0"/>
                        <wp:docPr id="11605592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559287"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448000" cy="1800000"/>
                                </a:xfrm>
                                <a:prstGeom prst="rect">
                                  <a:avLst/>
                                </a:prstGeom>
                                <a:noFill/>
                                <a:ln>
                                  <a:noFill/>
                                </a:ln>
                              </pic:spPr>
                            </pic:pic>
                          </a:graphicData>
                        </a:graphic>
                      </wp:inline>
                    </w:drawing>
                  </w:r>
                </w:p>
              </w:tc>
              <w:tc>
                <w:tcPr>
                  <w:tcW w:w="3985" w:type="dxa"/>
                  <w:vAlign w:val="center"/>
                </w:tcPr>
                <w:p w14:paraId="6D93A254">
                  <w:pPr>
                    <w:pStyle w:val="7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2447925" cy="1799590"/>
                        <wp:effectExtent l="0" t="0" r="0" b="0"/>
                        <wp:docPr id="53023163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231639"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448000" cy="1800000"/>
                                </a:xfrm>
                                <a:prstGeom prst="rect">
                                  <a:avLst/>
                                </a:prstGeom>
                                <a:noFill/>
                                <a:ln>
                                  <a:noFill/>
                                </a:ln>
                              </pic:spPr>
                            </pic:pic>
                          </a:graphicData>
                        </a:graphic>
                      </wp:inline>
                    </w:drawing>
                  </w:r>
                </w:p>
              </w:tc>
            </w:tr>
            <w:tr w14:paraId="001C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1" w:type="dxa"/>
                  <w:vAlign w:val="center"/>
                </w:tcPr>
                <w:p w14:paraId="203A0E46">
                  <w:pPr>
                    <w:pStyle w:val="72"/>
                    <w:rPr>
                      <w:color w:val="000000" w:themeColor="text1"/>
                      <w:lang w:val="en-US"/>
                      <w14:textFill>
                        <w14:solidFill>
                          <w14:schemeClr w14:val="tx1"/>
                        </w14:solidFill>
                      </w14:textFill>
                    </w:rPr>
                  </w:pPr>
                  <w:r>
                    <w:rPr>
                      <w:color w:val="000000" w:themeColor="text1"/>
                      <w14:textFill>
                        <w14:solidFill>
                          <w14:schemeClr w14:val="tx1"/>
                        </w14:solidFill>
                      </w14:textFill>
                    </w:rPr>
                    <w:t>西</w:t>
                  </w:r>
                  <w:r>
                    <w:rPr>
                      <w:rFonts w:hint="eastAsia"/>
                      <w:color w:val="000000" w:themeColor="text1"/>
                      <w14:textFill>
                        <w14:solidFill>
                          <w14:schemeClr w14:val="tx1"/>
                        </w14:solidFill>
                      </w14:textFill>
                    </w:rPr>
                    <w:t>南</w:t>
                  </w:r>
                  <w:r>
                    <w:rPr>
                      <w:color w:val="000000" w:themeColor="text1"/>
                      <w14:textFill>
                        <w14:solidFill>
                          <w14:schemeClr w14:val="tx1"/>
                        </w14:solidFill>
                      </w14:textFill>
                    </w:rPr>
                    <w:t>面</w:t>
                  </w:r>
                  <w:r>
                    <w:rPr>
                      <w:color w:val="000000" w:themeColor="text1"/>
                      <w:lang w:val="en-US"/>
                      <w14:textFill>
                        <w14:solidFill>
                          <w14:schemeClr w14:val="tx1"/>
                        </w14:solidFill>
                      </w14:textFill>
                    </w:rPr>
                    <w:t>（</w:t>
                  </w:r>
                  <w:r>
                    <w:rPr>
                      <w:rFonts w:hint="eastAsia"/>
                      <w:color w:val="000000" w:themeColor="text1"/>
                      <w14:textFill>
                        <w14:solidFill>
                          <w14:schemeClr w14:val="tx1"/>
                        </w14:solidFill>
                      </w14:textFill>
                    </w:rPr>
                    <w:t>高安市瑞琨科技有限公司</w:t>
                  </w:r>
                  <w:r>
                    <w:rPr>
                      <w:color w:val="000000" w:themeColor="text1"/>
                      <w:lang w:val="en-US"/>
                      <w14:textFill>
                        <w14:solidFill>
                          <w14:schemeClr w14:val="tx1"/>
                        </w14:solidFill>
                      </w14:textFill>
                    </w:rPr>
                    <w:t>）</w:t>
                  </w:r>
                </w:p>
              </w:tc>
              <w:tc>
                <w:tcPr>
                  <w:tcW w:w="3985" w:type="dxa"/>
                  <w:vAlign w:val="center"/>
                </w:tcPr>
                <w:p w14:paraId="6E4249FA">
                  <w:pPr>
                    <w:pStyle w:val="72"/>
                    <w:rPr>
                      <w:color w:val="000000" w:themeColor="text1"/>
                      <w14:textFill>
                        <w14:solidFill>
                          <w14:schemeClr w14:val="tx1"/>
                        </w14:solidFill>
                      </w14:textFill>
                    </w:rPr>
                  </w:pPr>
                  <w:r>
                    <w:rPr>
                      <w:rFonts w:hint="eastAsia"/>
                      <w:color w:val="000000" w:themeColor="text1"/>
                      <w14:textFill>
                        <w14:solidFill>
                          <w14:schemeClr w14:val="tx1"/>
                        </w14:solidFill>
                      </w14:textFill>
                    </w:rPr>
                    <w:t>西</w:t>
                  </w:r>
                  <w:r>
                    <w:rPr>
                      <w:color w:val="000000" w:themeColor="text1"/>
                      <w14:textFill>
                        <w14:solidFill>
                          <w14:schemeClr w14:val="tx1"/>
                        </w14:solidFill>
                      </w14:textFill>
                    </w:rPr>
                    <w:t>北面（</w:t>
                  </w:r>
                  <w:r>
                    <w:rPr>
                      <w:rFonts w:hint="eastAsia"/>
                      <w:color w:val="000000" w:themeColor="text1"/>
                      <w14:textFill>
                        <w14:solidFill>
                          <w14:schemeClr w14:val="tx1"/>
                        </w14:solidFill>
                      </w14:textFill>
                    </w:rPr>
                    <w:t>高安市黄沙柒星建材厂</w:t>
                  </w:r>
                  <w:r>
                    <w:rPr>
                      <w:color w:val="000000" w:themeColor="text1"/>
                      <w14:textFill>
                        <w14:solidFill>
                          <w14:schemeClr w14:val="tx1"/>
                        </w14:solidFill>
                      </w14:textFill>
                    </w:rPr>
                    <w:t>）</w:t>
                  </w:r>
                </w:p>
              </w:tc>
            </w:tr>
          </w:tbl>
          <w:p w14:paraId="6E96769F">
            <w:pPr>
              <w:adjustRightInd w:val="0"/>
              <w:snapToGrid w:val="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图1-1  项目四至情况图</w:t>
            </w:r>
          </w:p>
          <w:p w14:paraId="1D519652">
            <w:pPr>
              <w:pStyle w:val="128"/>
              <w:adjustRightInd w:val="0"/>
              <w:snapToGrid w:val="0"/>
              <w:spacing w:line="360" w:lineRule="auto"/>
              <w:ind w:left="510" w:firstLine="0" w:firstLineChars="0"/>
              <w:jc w:val="left"/>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三、</w:t>
            </w:r>
            <w:r>
              <w:rPr>
                <w:rFonts w:eastAsiaTheme="minorEastAsia"/>
                <w:b/>
                <w:bCs/>
                <w:color w:val="000000" w:themeColor="text1"/>
                <w:sz w:val="24"/>
                <w14:textFill>
                  <w14:solidFill>
                    <w14:schemeClr w14:val="tx1"/>
                  </w14:solidFill>
                </w14:textFill>
              </w:rPr>
              <w:t>“三线一单”控制要求符合性分析</w:t>
            </w:r>
          </w:p>
          <w:p w14:paraId="5E008082">
            <w:pPr>
              <w:pStyle w:val="128"/>
              <w:snapToGrid w:val="0"/>
              <w:spacing w:line="360" w:lineRule="auto"/>
              <w:ind w:left="420" w:firstLine="0" w:firstLineChars="0"/>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1、生态保护红线</w:t>
            </w:r>
          </w:p>
          <w:p w14:paraId="544EE852">
            <w:pPr>
              <w:spacing w:line="360" w:lineRule="auto"/>
              <w:ind w:firstLine="470" w:firstLineChars="196"/>
              <w:rPr>
                <w:bCs/>
                <w:smallCaps/>
                <w:color w:val="000000" w:themeColor="text1"/>
                <w:kern w:val="0"/>
                <w:sz w:val="24"/>
                <w14:textFill>
                  <w14:solidFill>
                    <w14:schemeClr w14:val="tx1"/>
                  </w14:solidFill>
                </w14:textFill>
              </w:rPr>
            </w:pPr>
            <w:r>
              <w:rPr>
                <w:rFonts w:eastAsiaTheme="minorEastAsia"/>
                <w:color w:val="000000" w:themeColor="text1"/>
                <w:sz w:val="24"/>
                <w14:textFill>
                  <w14:solidFill>
                    <w14:schemeClr w14:val="tx1"/>
                  </w14:solidFill>
                </w14:textFill>
              </w:rPr>
              <w:t>本项目位于</w:t>
            </w:r>
            <w:r>
              <w:rPr>
                <w:color w:val="000000" w:themeColor="text1"/>
                <w:sz w:val="24"/>
                <w14:textFill>
                  <w14:solidFill>
                    <w14:schemeClr w14:val="tx1"/>
                  </w14:solidFill>
                </w14:textFill>
              </w:rPr>
              <w:t>高安市</w:t>
            </w:r>
            <w:r>
              <w:rPr>
                <w:rFonts w:hint="eastAsia"/>
                <w:color w:val="000000" w:themeColor="text1"/>
                <w:sz w:val="24"/>
                <w14:textFill>
                  <w14:solidFill>
                    <w14:schemeClr w14:val="tx1"/>
                  </w14:solidFill>
                </w14:textFill>
              </w:rPr>
              <w:t>黄沙岗镇挂榜村柒家村（高安市黄沙柒星建材厂内）</w:t>
            </w:r>
            <w:r>
              <w:rPr>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项目租赁</w:t>
            </w:r>
            <w:r>
              <w:rPr>
                <w:rFonts w:hint="eastAsia"/>
                <w:color w:val="000000" w:themeColor="text1"/>
                <w:sz w:val="24"/>
                <w14:textFill>
                  <w14:solidFill>
                    <w14:schemeClr w14:val="tx1"/>
                  </w14:solidFill>
                </w14:textFill>
              </w:rPr>
              <w:t>高安市黄沙柒星建材厂现有</w:t>
            </w:r>
            <w:r>
              <w:rPr>
                <w:rFonts w:eastAsiaTheme="minorEastAsia"/>
                <w:color w:val="000000" w:themeColor="text1"/>
                <w:sz w:val="24"/>
                <w14:textFill>
                  <w14:solidFill>
                    <w14:schemeClr w14:val="tx1"/>
                  </w14:solidFill>
                </w14:textFill>
              </w:rPr>
              <w:t>厂房，用地性质为工业用地</w:t>
            </w:r>
            <w:r>
              <w:rPr>
                <w:bCs/>
                <w:smallCaps/>
                <w:color w:val="000000" w:themeColor="text1"/>
                <w:kern w:val="0"/>
                <w:sz w:val="24"/>
                <w14:textFill>
                  <w14:solidFill>
                    <w14:schemeClr w14:val="tx1"/>
                  </w14:solidFill>
                </w14:textFill>
              </w:rPr>
              <w:t>。项目不在当地集中式饮用水源、风景名胜区、自然保护区等生态保护区内，满足生态保护红线要求。项目与</w:t>
            </w:r>
            <w:r>
              <w:rPr>
                <w:rFonts w:hint="eastAsia"/>
                <w:bCs/>
                <w:smallCaps/>
                <w:color w:val="000000" w:themeColor="text1"/>
                <w:kern w:val="0"/>
                <w:sz w:val="24"/>
                <w14:textFill>
                  <w14:solidFill>
                    <w14:schemeClr w14:val="tx1"/>
                  </w14:solidFill>
                </w14:textFill>
              </w:rPr>
              <w:t>高安市</w:t>
            </w:r>
            <w:r>
              <w:rPr>
                <w:bCs/>
                <w:smallCaps/>
                <w:color w:val="000000" w:themeColor="text1"/>
                <w:kern w:val="0"/>
                <w:sz w:val="24"/>
                <w14:textFill>
                  <w14:solidFill>
                    <w14:schemeClr w14:val="tx1"/>
                  </w14:solidFill>
                </w14:textFill>
              </w:rPr>
              <w:t>生态红线位置关系详见附图</w:t>
            </w:r>
            <w:r>
              <w:rPr>
                <w:rFonts w:hint="eastAsia"/>
                <w:bCs/>
                <w:smallCaps/>
                <w:color w:val="000000" w:themeColor="text1"/>
                <w:kern w:val="0"/>
                <w:sz w:val="24"/>
                <w14:textFill>
                  <w14:solidFill>
                    <w14:schemeClr w14:val="tx1"/>
                  </w14:solidFill>
                </w14:textFill>
              </w:rPr>
              <w:t>6</w:t>
            </w:r>
            <w:r>
              <w:rPr>
                <w:bCs/>
                <w:smallCaps/>
                <w:color w:val="000000" w:themeColor="text1"/>
                <w:kern w:val="0"/>
                <w:sz w:val="24"/>
                <w14:textFill>
                  <w14:solidFill>
                    <w14:schemeClr w14:val="tx1"/>
                  </w14:solidFill>
                </w14:textFill>
              </w:rPr>
              <w:t>。</w:t>
            </w:r>
          </w:p>
          <w:p w14:paraId="72337D9C">
            <w:pPr>
              <w:pStyle w:val="128"/>
              <w:snapToGrid w:val="0"/>
              <w:spacing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2、环境质量底线</w:t>
            </w:r>
          </w:p>
          <w:p w14:paraId="3C66B21F">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项目所在区域环境质量底线目标为：环境空气质量达到《环境空气质量标准》（GB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）中</w:t>
            </w:r>
            <w:r>
              <w:rPr>
                <w:rFonts w:hint="eastAsia"/>
                <w:color w:val="000000" w:themeColor="text1"/>
                <w:sz w:val="24"/>
                <w14:textFill>
                  <w14:solidFill>
                    <w14:schemeClr w14:val="tx1"/>
                  </w14:solidFill>
                </w14:textFill>
              </w:rPr>
              <w:t>过渡阶段</w:t>
            </w:r>
            <w:r>
              <w:rPr>
                <w:color w:val="000000" w:themeColor="text1"/>
                <w:sz w:val="24"/>
                <w14:textFill>
                  <w14:solidFill>
                    <w14:schemeClr w14:val="tx1"/>
                  </w14:solidFill>
                </w14:textFill>
              </w:rPr>
              <w:t>二级标准要求；地表水达到《地表水环境质量标准》（GB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3838-2002）Ⅲ类标准；区域声环境达到《声环境质量标准》(GB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3096-2008)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类标准要求。本项目</w:t>
            </w:r>
            <w:r>
              <w:rPr>
                <w:rFonts w:hint="eastAsia"/>
                <w:color w:val="000000" w:themeColor="text1"/>
                <w:sz w:val="24"/>
                <w14:textFill>
                  <w14:solidFill>
                    <w14:schemeClr w14:val="tx1"/>
                  </w14:solidFill>
                </w14:textFill>
              </w:rPr>
              <w:t>水帘废水作为危废处置，</w:t>
            </w:r>
            <w:r>
              <w:rPr>
                <w:color w:val="000000" w:themeColor="text1"/>
                <w:sz w:val="24"/>
                <w14:textFill>
                  <w14:solidFill>
                    <w14:schemeClr w14:val="tx1"/>
                  </w14:solidFill>
                </w14:textFill>
              </w:rPr>
              <w:t>生活污水</w:t>
            </w:r>
            <w:r>
              <w:rPr>
                <w:rFonts w:hint="eastAsia"/>
                <w:color w:val="000000" w:themeColor="text1"/>
                <w:sz w:val="24"/>
                <w14:textFill>
                  <w14:solidFill>
                    <w14:schemeClr w14:val="tx1"/>
                  </w14:solidFill>
                </w14:textFill>
              </w:rPr>
              <w:t>经处理后</w:t>
            </w:r>
            <w:r>
              <w:rPr>
                <w:color w:val="000000" w:themeColor="text1"/>
                <w:sz w:val="24"/>
                <w14:textFill>
                  <w14:solidFill>
                    <w14:schemeClr w14:val="tx1"/>
                  </w14:solidFill>
                </w14:textFill>
              </w:rPr>
              <w:t>不外排；项目废气在采取报告中提出的治理措施后，能够达到相应排放标准，因此对周边环境质量影响较小；项目产生的固体废物全部妥善处理，不直接排入外环境。项目三废均能有效处理，不会明显降低区域环境质量现状，拟建项目建设不会对当地环境质量底线造成冲击。</w:t>
            </w:r>
          </w:p>
          <w:p w14:paraId="4ACC3131">
            <w:pPr>
              <w:snapToGrid w:val="0"/>
              <w:spacing w:line="360" w:lineRule="auto"/>
              <w:ind w:firstLine="482" w:firstLineChars="200"/>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3、资源利用上线</w:t>
            </w:r>
          </w:p>
          <w:p w14:paraId="16880E27">
            <w:pPr>
              <w:spacing w:line="360" w:lineRule="auto"/>
              <w:ind w:firstLine="482"/>
              <w:rPr>
                <w:rFonts w:eastAsiaTheme="minorEastAsia"/>
                <w:bCs/>
                <w:smallCaps/>
                <w:color w:val="000000" w:themeColor="text1"/>
                <w:kern w:val="0"/>
                <w:sz w:val="24"/>
                <w14:textFill>
                  <w14:solidFill>
                    <w14:schemeClr w14:val="tx1"/>
                  </w14:solidFill>
                </w14:textFill>
              </w:rPr>
            </w:pPr>
            <w:r>
              <w:rPr>
                <w:color w:val="000000" w:themeColor="text1"/>
                <w:sz w:val="24"/>
                <w14:textFill>
                  <w14:solidFill>
                    <w14:schemeClr w14:val="tx1"/>
                  </w14:solidFill>
                </w14:textFill>
              </w:rPr>
              <w:t>本项目用水由市政供水管网供给；本项目所用能源主要为电能；本项目建成运行后通过内部管理、设备选择、原辅材料的选用和管理、废物回收利用等多方面采取合理可行的防治措施，以“节能、降耗、减污”为目标，有效的控制污染。项目租赁空置厂房，用地性质为工业用地，地块污染风险可以忽略，符合建设用地控制目标及管控要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综上，项目的能源、水、土地等资源利用不会突破区域的资源利用上线。</w:t>
            </w:r>
          </w:p>
          <w:p w14:paraId="7C93B07A">
            <w:pPr>
              <w:pStyle w:val="128"/>
              <w:snapToGrid w:val="0"/>
              <w:spacing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4、生态环境准入清单</w:t>
            </w:r>
          </w:p>
          <w:p w14:paraId="48E62F02">
            <w:pPr>
              <w:spacing w:line="360" w:lineRule="auto"/>
              <w:ind w:firstLine="482"/>
              <w:rPr>
                <w:color w:val="000000" w:themeColor="text1"/>
                <w:sz w:val="24"/>
                <w14:textFill>
                  <w14:solidFill>
                    <w14:schemeClr w14:val="tx1"/>
                  </w14:solidFill>
                </w14:textFill>
              </w:rPr>
            </w:pPr>
            <w:r>
              <w:rPr>
                <w:color w:val="000000" w:themeColor="text1"/>
                <w:sz w:val="24"/>
                <w14:textFill>
                  <w14:solidFill>
                    <w14:schemeClr w14:val="tx1"/>
                  </w14:solidFill>
                </w14:textFill>
              </w:rPr>
              <w:t>根据《江西省第一批国家重点生态功能区产业准入负面清单》（赣发改规划〔2017〕448号）及《江西省发展改革委关于印发江西省第二批重点生态功能区产业准入负面清单的通知》（赣发改规划〔2018〕112号），高安市均不涉及生态功能区产业准入负面清单。因此项目符合生态环境准入清单要求。</w:t>
            </w:r>
          </w:p>
          <w:p w14:paraId="41A62EC7">
            <w:pPr>
              <w:pStyle w:val="128"/>
              <w:snapToGrid w:val="0"/>
              <w:spacing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5、与《宜春市人民政府办公室关于公布宜春市生态环境分区管控成果（2023版）的通知》（宜府办发〔2024〕9号）的相符性分析</w:t>
            </w:r>
          </w:p>
          <w:p w14:paraId="1F5D53F9">
            <w:pPr>
              <w:pStyle w:val="204"/>
              <w:ind w:firstLine="480"/>
              <w:rPr>
                <w:color w:val="000000" w:themeColor="text1"/>
                <w14:textFill>
                  <w14:solidFill>
                    <w14:schemeClr w14:val="tx1"/>
                  </w14:solidFill>
                </w14:textFill>
              </w:rPr>
            </w:pPr>
            <w:r>
              <w:rPr>
                <w:color w:val="000000" w:themeColor="text1"/>
                <w14:textFill>
                  <w14:solidFill>
                    <w14:schemeClr w14:val="tx1"/>
                  </w14:solidFill>
                </w14:textFill>
              </w:rPr>
              <w:t>为深入贯彻《</w:t>
            </w:r>
            <w:r>
              <w:rPr>
                <w:rFonts w:hint="eastAsia"/>
                <w:color w:val="000000" w:themeColor="text1"/>
                <w14:textFill>
                  <w14:solidFill>
                    <w14:schemeClr w14:val="tx1"/>
                  </w14:solidFill>
                </w14:textFill>
              </w:rPr>
              <w:t>中共中央、国务院</w:t>
            </w:r>
            <w:r>
              <w:rPr>
                <w:color w:val="000000" w:themeColor="text1"/>
                <w14:textFill>
                  <w14:solidFill>
                    <w14:schemeClr w14:val="tx1"/>
                  </w14:solidFill>
                </w14:textFill>
              </w:rPr>
              <w:t>关于全面加强生态环境保护坚决打好污染防治攻坚战的意见》，全面落实“共抓大保护、不搞大开发”要求，推动全市实现高质量发展和生态环境高水平保护，加快实施生态保护红线、环境质量底线、资源利用上线和生态环境准入清单（以下统称“三线一单”）生态环境分区管控体系，宜春市人民政府特制定了《宜春市“三线一单”生态环境分区管控方案》。根据生态环境部《2023年生态环境分区管控成果动态更新工作方案》（环办环评函〔2023〕81号）、《江西省2023年生态环境分区管控成果动态更新工作方案》（赣环环评函〔2023〕9号）有关要求，宜春市已完成生态环境分区管控成果动态更新工作，并发布《宜春市人民政府办公室关于公布宜春市生态环境分区管控成果（2023版）的通知》（宜府办发〔2024〕9号）。</w:t>
            </w:r>
          </w:p>
          <w:p w14:paraId="5A6B3C77">
            <w:pPr>
              <w:pStyle w:val="204"/>
              <w:ind w:firstLine="480"/>
              <w:rPr>
                <w:color w:val="000000" w:themeColor="text1"/>
                <w14:textFill>
                  <w14:solidFill>
                    <w14:schemeClr w14:val="tx1"/>
                  </w14:solidFill>
                </w14:textFill>
              </w:rPr>
            </w:pPr>
            <w:r>
              <w:rPr>
                <w:color w:val="000000" w:themeColor="text1"/>
                <w14:textFill>
                  <w14:solidFill>
                    <w14:schemeClr w14:val="tx1"/>
                  </w14:solidFill>
                </w14:textFill>
              </w:rPr>
              <w:t>宜春市生态环境总体管控清单从空间布局约束、污染物排放管理、环境风险防控和资源利用效率等4个维度提出准入要求，适用全市范围。</w:t>
            </w:r>
          </w:p>
          <w:p w14:paraId="5EFB863B">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表1-2  宜春市生态环境管控总体准入要求表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000"/>
              <w:gridCol w:w="3705"/>
              <w:gridCol w:w="2022"/>
              <w:gridCol w:w="663"/>
            </w:tblGrid>
            <w:tr w14:paraId="26AD8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noWrap/>
                  <w:vAlign w:val="center"/>
                </w:tcPr>
                <w:p w14:paraId="72597FF0">
                  <w:pPr>
                    <w:topLinePunct/>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维度</w:t>
                  </w:r>
                </w:p>
              </w:tc>
              <w:tc>
                <w:tcPr>
                  <w:tcW w:w="994" w:type="dxa"/>
                  <w:vAlign w:val="center"/>
                </w:tcPr>
                <w:p w14:paraId="6E8E19B7">
                  <w:pPr>
                    <w:topLinePunct/>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清单编制要求</w:t>
                  </w:r>
                </w:p>
              </w:tc>
              <w:tc>
                <w:tcPr>
                  <w:tcW w:w="3681" w:type="dxa"/>
                  <w:vAlign w:val="center"/>
                </w:tcPr>
                <w:p w14:paraId="5C7D6150">
                  <w:pPr>
                    <w:topLinePunct/>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准入要求</w:t>
                  </w:r>
                </w:p>
              </w:tc>
              <w:tc>
                <w:tcPr>
                  <w:tcW w:w="2009" w:type="dxa"/>
                  <w:vAlign w:val="center"/>
                </w:tcPr>
                <w:p w14:paraId="510B2030">
                  <w:pPr>
                    <w:topLinePunct/>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本项目情况</w:t>
                  </w:r>
                </w:p>
              </w:tc>
              <w:tc>
                <w:tcPr>
                  <w:tcW w:w="659" w:type="dxa"/>
                  <w:vAlign w:val="center"/>
                </w:tcPr>
                <w:p w14:paraId="32DEC162">
                  <w:pPr>
                    <w:topLinePunct/>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相符性</w:t>
                  </w:r>
                </w:p>
              </w:tc>
            </w:tr>
            <w:tr w14:paraId="41EBB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restart"/>
                  <w:noWrap/>
                  <w:vAlign w:val="center"/>
                </w:tcPr>
                <w:p w14:paraId="6B39785D">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空间布局约束</w:t>
                  </w:r>
                </w:p>
              </w:tc>
              <w:tc>
                <w:tcPr>
                  <w:tcW w:w="994" w:type="dxa"/>
                  <w:vAlign w:val="center"/>
                </w:tcPr>
                <w:p w14:paraId="16CB77C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禁止开发建设活动的要求</w:t>
                  </w:r>
                </w:p>
              </w:tc>
              <w:tc>
                <w:tcPr>
                  <w:tcW w:w="3681" w:type="dxa"/>
                  <w:vAlign w:val="center"/>
                </w:tcPr>
                <w:p w14:paraId="16BFE298">
                  <w:pPr>
                    <w:topLinePun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禁止新建《产业结构调整指导目录》限制类和淘汰类项目，现有产业改、扩建不得使用《</w:t>
                  </w:r>
                  <w:r>
                    <w:rPr>
                      <w:rStyle w:val="50"/>
                      <w:color w:val="000000" w:themeColor="text1"/>
                      <w:lang w:val="zh-CN"/>
                      <w14:textFill>
                        <w14:solidFill>
                          <w14:schemeClr w14:val="tx1"/>
                        </w14:solidFill>
                      </w14:textFill>
                    </w:rPr>
                    <w:t>产业</w:t>
                  </w:r>
                  <w:r>
                    <w:rPr>
                      <w:rFonts w:eastAsiaTheme="minorEastAsia"/>
                      <w:color w:val="000000" w:themeColor="text1"/>
                      <w:szCs w:val="21"/>
                      <w14:textFill>
                        <w14:solidFill>
                          <w14:schemeClr w14:val="tx1"/>
                        </w14:solidFill>
                      </w14:textFill>
                    </w:rPr>
                    <w:t>结构调整指导目录》规定的淘汰类规模和生产工艺。</w:t>
                  </w:r>
                </w:p>
              </w:tc>
              <w:tc>
                <w:tcPr>
                  <w:tcW w:w="2009" w:type="dxa"/>
                  <w:vAlign w:val="center"/>
                </w:tcPr>
                <w:p w14:paraId="5A64A301">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本项目为</w:t>
                  </w:r>
                  <w:r>
                    <w:rPr>
                      <w:rFonts w:hint="eastAsia"/>
                      <w:color w:val="000000" w:themeColor="text1"/>
                      <w:szCs w:val="21"/>
                      <w14:textFill>
                        <w14:solidFill>
                          <w14:schemeClr w14:val="tx1"/>
                        </w14:solidFill>
                      </w14:textFill>
                    </w:rPr>
                    <w:t>新建项目，为</w:t>
                  </w:r>
                  <w:r>
                    <w:rPr>
                      <w:color w:val="000000" w:themeColor="text1"/>
                      <w:szCs w:val="21"/>
                      <w14:textFill>
                        <w14:solidFill>
                          <w14:schemeClr w14:val="tx1"/>
                        </w14:solidFill>
                      </w14:textFill>
                    </w:rPr>
                    <w:t>允许类项目</w:t>
                  </w:r>
                </w:p>
              </w:tc>
              <w:tc>
                <w:tcPr>
                  <w:tcW w:w="659" w:type="dxa"/>
                  <w:vAlign w:val="center"/>
                </w:tcPr>
                <w:p w14:paraId="61CE49A2">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003A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0AF509CF">
                  <w:pPr>
                    <w:topLinePunct/>
                    <w:jc w:val="center"/>
                    <w:rPr>
                      <w:rFonts w:eastAsiaTheme="minorEastAsia"/>
                      <w:color w:val="000000" w:themeColor="text1"/>
                      <w:szCs w:val="21"/>
                      <w14:textFill>
                        <w14:solidFill>
                          <w14:schemeClr w14:val="tx1"/>
                        </w14:solidFill>
                      </w14:textFill>
                    </w:rPr>
                  </w:pPr>
                </w:p>
              </w:tc>
              <w:tc>
                <w:tcPr>
                  <w:tcW w:w="994" w:type="dxa"/>
                  <w:vMerge w:val="restart"/>
                  <w:vAlign w:val="center"/>
                </w:tcPr>
                <w:p w14:paraId="7586017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限制开发建设活动的要求</w:t>
                  </w:r>
                </w:p>
              </w:tc>
              <w:tc>
                <w:tcPr>
                  <w:tcW w:w="3681" w:type="dxa"/>
                  <w:vAlign w:val="center"/>
                </w:tcPr>
                <w:p w14:paraId="30F440ED">
                  <w:pPr>
                    <w:topLinePun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2009" w:type="dxa"/>
                  <w:vAlign w:val="center"/>
                </w:tcPr>
                <w:p w14:paraId="256B8B35">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本项目位于</w:t>
                  </w:r>
                  <w:r>
                    <w:rPr>
                      <w:rFonts w:hint="eastAsia"/>
                      <w:color w:val="000000" w:themeColor="text1"/>
                      <w:szCs w:val="21"/>
                      <w14:textFill>
                        <w14:solidFill>
                          <w14:schemeClr w14:val="tx1"/>
                        </w14:solidFill>
                      </w14:textFill>
                    </w:rPr>
                    <w:t>高安市黄沙岗镇挂榜村柒家村（高安市黄沙柒星建材厂内）</w:t>
                  </w:r>
                  <w:r>
                    <w:rPr>
                      <w:color w:val="000000" w:themeColor="text1"/>
                      <w:szCs w:val="21"/>
                      <w14:textFill>
                        <w14:solidFill>
                          <w14:schemeClr w14:val="tx1"/>
                        </w14:solidFill>
                      </w14:textFill>
                    </w:rPr>
                    <w:t>，不在赣江岸线一公里范围内。</w:t>
                  </w:r>
                </w:p>
              </w:tc>
              <w:tc>
                <w:tcPr>
                  <w:tcW w:w="659" w:type="dxa"/>
                  <w:vAlign w:val="center"/>
                </w:tcPr>
                <w:p w14:paraId="29C83231">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6AEF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58F47E98">
                  <w:pPr>
                    <w:topLinePunct/>
                    <w:jc w:val="center"/>
                    <w:rPr>
                      <w:rFonts w:eastAsiaTheme="minorEastAsia"/>
                      <w:color w:val="000000" w:themeColor="text1"/>
                      <w:szCs w:val="21"/>
                      <w14:textFill>
                        <w14:solidFill>
                          <w14:schemeClr w14:val="tx1"/>
                        </w14:solidFill>
                      </w14:textFill>
                    </w:rPr>
                  </w:pPr>
                </w:p>
              </w:tc>
              <w:tc>
                <w:tcPr>
                  <w:tcW w:w="994" w:type="dxa"/>
                  <w:vMerge w:val="continue"/>
                  <w:vAlign w:val="center"/>
                </w:tcPr>
                <w:p w14:paraId="36A97D64">
                  <w:pPr>
                    <w:topLinePunct/>
                    <w:jc w:val="center"/>
                    <w:rPr>
                      <w:rFonts w:eastAsiaTheme="minorEastAsia"/>
                      <w:color w:val="000000" w:themeColor="text1"/>
                      <w:szCs w:val="21"/>
                      <w14:textFill>
                        <w14:solidFill>
                          <w14:schemeClr w14:val="tx1"/>
                        </w14:solidFill>
                      </w14:textFill>
                    </w:rPr>
                  </w:pPr>
                </w:p>
              </w:tc>
              <w:tc>
                <w:tcPr>
                  <w:tcW w:w="3681" w:type="dxa"/>
                  <w:vAlign w:val="center"/>
                </w:tcPr>
                <w:p w14:paraId="1F3C23F8">
                  <w:pPr>
                    <w:topLinePun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不得在城镇居民聚集区域、规划区，主导风上风向，以城镇中心为界线，向外延伸5公里，新建化工（单纯混合、互配除外）、农药（原药生产）、钢铁、焦化、水泥（熟料）、有色金属冶炼等大气污染型项目。</w:t>
                  </w:r>
                </w:p>
              </w:tc>
              <w:tc>
                <w:tcPr>
                  <w:tcW w:w="2009" w:type="dxa"/>
                  <w:vAlign w:val="center"/>
                </w:tcPr>
                <w:p w14:paraId="613CB53D">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本项目属于专项运动器材及配件制造</w:t>
                  </w:r>
                  <w:r>
                    <w:rPr>
                      <w:rFonts w:hint="eastAsia"/>
                      <w:color w:val="000000" w:themeColor="text1"/>
                      <w:szCs w:val="21"/>
                      <w14:textFill>
                        <w14:solidFill>
                          <w14:schemeClr w14:val="tx1"/>
                        </w14:solidFill>
                      </w14:textFill>
                    </w:rPr>
                    <w:t>项目</w:t>
                  </w:r>
                  <w:r>
                    <w:rPr>
                      <w:color w:val="000000" w:themeColor="text1"/>
                      <w:szCs w:val="21"/>
                      <w14:textFill>
                        <w14:solidFill>
                          <w14:schemeClr w14:val="tx1"/>
                        </w14:solidFill>
                      </w14:textFill>
                    </w:rPr>
                    <w:t>，不</w:t>
                  </w:r>
                  <w:r>
                    <w:rPr>
                      <w:rFonts w:hint="eastAsia"/>
                      <w:color w:val="000000" w:themeColor="text1"/>
                      <w:szCs w:val="21"/>
                      <w14:textFill>
                        <w14:solidFill>
                          <w14:schemeClr w14:val="tx1"/>
                        </w14:solidFill>
                      </w14:textFill>
                    </w:rPr>
                    <w:t>属于</w:t>
                  </w:r>
                  <w:r>
                    <w:rPr>
                      <w:color w:val="000000" w:themeColor="text1"/>
                      <w:szCs w:val="21"/>
                      <w14:textFill>
                        <w14:solidFill>
                          <w14:schemeClr w14:val="tx1"/>
                        </w14:solidFill>
                      </w14:textFill>
                    </w:rPr>
                    <w:t>新建化工（单纯混合、互配除外）、农药（原药生产）、钢铁、焦化、水泥（熟料）、有色金属冶炼等大气污染型项目。</w:t>
                  </w:r>
                </w:p>
              </w:tc>
              <w:tc>
                <w:tcPr>
                  <w:tcW w:w="659" w:type="dxa"/>
                  <w:vAlign w:val="center"/>
                </w:tcPr>
                <w:p w14:paraId="7101BE52">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57CC2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7ABCCAEE">
                  <w:pPr>
                    <w:topLinePunct/>
                    <w:jc w:val="center"/>
                    <w:rPr>
                      <w:rFonts w:eastAsiaTheme="minorEastAsia"/>
                      <w:color w:val="000000" w:themeColor="text1"/>
                      <w:szCs w:val="21"/>
                      <w14:textFill>
                        <w14:solidFill>
                          <w14:schemeClr w14:val="tx1"/>
                        </w14:solidFill>
                      </w14:textFill>
                    </w:rPr>
                  </w:pPr>
                </w:p>
              </w:tc>
              <w:tc>
                <w:tcPr>
                  <w:tcW w:w="994" w:type="dxa"/>
                  <w:vMerge w:val="continue"/>
                  <w:vAlign w:val="center"/>
                </w:tcPr>
                <w:p w14:paraId="37C204B9">
                  <w:pPr>
                    <w:topLinePunct/>
                    <w:jc w:val="center"/>
                    <w:rPr>
                      <w:rFonts w:eastAsiaTheme="minorEastAsia"/>
                      <w:color w:val="000000" w:themeColor="text1"/>
                      <w:szCs w:val="21"/>
                      <w14:textFill>
                        <w14:solidFill>
                          <w14:schemeClr w14:val="tx1"/>
                        </w14:solidFill>
                      </w14:textFill>
                    </w:rPr>
                  </w:pPr>
                </w:p>
              </w:tc>
              <w:tc>
                <w:tcPr>
                  <w:tcW w:w="3681" w:type="dxa"/>
                  <w:vAlign w:val="center"/>
                </w:tcPr>
                <w:p w14:paraId="293BF537">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生态保护红线内，自然保护地核心保护区原则上禁止人为活动，其它区域严格禁止开发性、生产性建设活动。</w:t>
                  </w:r>
                </w:p>
              </w:tc>
              <w:tc>
                <w:tcPr>
                  <w:tcW w:w="2009" w:type="dxa"/>
                  <w:vAlign w:val="center"/>
                </w:tcPr>
                <w:p w14:paraId="7C3B07CF">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不在</w:t>
                  </w:r>
                  <w:r>
                    <w:rPr>
                      <w:color w:val="000000" w:themeColor="text1"/>
                      <w:szCs w:val="21"/>
                      <w14:textFill>
                        <w14:solidFill>
                          <w14:schemeClr w14:val="tx1"/>
                        </w14:solidFill>
                      </w14:textFill>
                    </w:rPr>
                    <w:t>各类保护区及生态保护红线</w:t>
                  </w:r>
                  <w:r>
                    <w:rPr>
                      <w:rFonts w:hint="eastAsia"/>
                      <w:color w:val="000000" w:themeColor="text1"/>
                      <w:szCs w:val="21"/>
                      <w14:textFill>
                        <w14:solidFill>
                          <w14:schemeClr w14:val="tx1"/>
                        </w14:solidFill>
                      </w14:textFill>
                    </w:rPr>
                    <w:t>范围内</w:t>
                  </w:r>
                </w:p>
              </w:tc>
              <w:tc>
                <w:tcPr>
                  <w:tcW w:w="659" w:type="dxa"/>
                  <w:vAlign w:val="center"/>
                </w:tcPr>
                <w:p w14:paraId="7FA77F50">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2443C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4F26899E">
                  <w:pPr>
                    <w:topLinePunct/>
                    <w:jc w:val="center"/>
                    <w:rPr>
                      <w:rFonts w:eastAsiaTheme="minorEastAsia"/>
                      <w:color w:val="000000" w:themeColor="text1"/>
                      <w:szCs w:val="21"/>
                      <w14:textFill>
                        <w14:solidFill>
                          <w14:schemeClr w14:val="tx1"/>
                        </w14:solidFill>
                      </w14:textFill>
                    </w:rPr>
                  </w:pPr>
                </w:p>
              </w:tc>
              <w:tc>
                <w:tcPr>
                  <w:tcW w:w="994" w:type="dxa"/>
                  <w:vMerge w:val="continue"/>
                  <w:vAlign w:val="center"/>
                </w:tcPr>
                <w:p w14:paraId="147A6125">
                  <w:pPr>
                    <w:topLinePunct/>
                    <w:jc w:val="center"/>
                    <w:rPr>
                      <w:rFonts w:eastAsiaTheme="minorEastAsia"/>
                      <w:color w:val="000000" w:themeColor="text1"/>
                      <w:szCs w:val="21"/>
                      <w14:textFill>
                        <w14:solidFill>
                          <w14:schemeClr w14:val="tx1"/>
                        </w14:solidFill>
                      </w14:textFill>
                    </w:rPr>
                  </w:pPr>
                </w:p>
              </w:tc>
              <w:tc>
                <w:tcPr>
                  <w:tcW w:w="3681" w:type="dxa"/>
                  <w:vAlign w:val="center"/>
                </w:tcPr>
                <w:p w14:paraId="35ED8DC0">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加强重金属污染源头防控，减少使用高铊矿石原料。废水、废气排放的涉铊企业要设置除铊治理设施，需相应达到排放标准要求，对于生产废水零排放的项目，企业废水总排口中铊不得检出。</w:t>
                  </w:r>
                </w:p>
              </w:tc>
              <w:tc>
                <w:tcPr>
                  <w:tcW w:w="2009" w:type="dxa"/>
                  <w:vAlign w:val="center"/>
                </w:tcPr>
                <w:p w14:paraId="7563D943">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本项目不涉及重金属污染源</w:t>
                  </w:r>
                </w:p>
              </w:tc>
              <w:tc>
                <w:tcPr>
                  <w:tcW w:w="659" w:type="dxa"/>
                  <w:vAlign w:val="center"/>
                </w:tcPr>
                <w:p w14:paraId="1292C95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6C701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587D203E">
                  <w:pPr>
                    <w:topLinePunct/>
                    <w:jc w:val="center"/>
                    <w:rPr>
                      <w:rFonts w:eastAsiaTheme="minorEastAsia"/>
                      <w:color w:val="000000" w:themeColor="text1"/>
                      <w:szCs w:val="21"/>
                      <w14:textFill>
                        <w14:solidFill>
                          <w14:schemeClr w14:val="tx1"/>
                        </w14:solidFill>
                      </w14:textFill>
                    </w:rPr>
                  </w:pPr>
                </w:p>
              </w:tc>
              <w:tc>
                <w:tcPr>
                  <w:tcW w:w="994" w:type="dxa"/>
                  <w:vAlign w:val="center"/>
                </w:tcPr>
                <w:p w14:paraId="534ADF30">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不符合空间布局要求活动的退出要求</w:t>
                  </w:r>
                </w:p>
              </w:tc>
              <w:tc>
                <w:tcPr>
                  <w:tcW w:w="3681" w:type="dxa"/>
                  <w:vAlign w:val="center"/>
                </w:tcPr>
                <w:p w14:paraId="7A610728">
                  <w:pPr>
                    <w:topLinePun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城市建成区现有重污染企业（钢铁、水泥、浮化玻璃等）限期退出或改造；依法依规清除距离赣江岸线1公里范围内未入园的化工企业，依法关闭“小化工”企业，全面加强化工企业环境监管。</w:t>
                  </w:r>
                </w:p>
              </w:tc>
              <w:tc>
                <w:tcPr>
                  <w:tcW w:w="2009" w:type="dxa"/>
                  <w:vAlign w:val="center"/>
                </w:tcPr>
                <w:p w14:paraId="775C77BF">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本项目不属于重污染企业（钢铁、水泥、浮化玻璃等）及化工企业</w:t>
                  </w:r>
                </w:p>
              </w:tc>
              <w:tc>
                <w:tcPr>
                  <w:tcW w:w="659" w:type="dxa"/>
                  <w:vAlign w:val="center"/>
                </w:tcPr>
                <w:p w14:paraId="316AE215">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5252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restart"/>
                  <w:noWrap/>
                  <w:vAlign w:val="center"/>
                </w:tcPr>
                <w:p w14:paraId="2348E55F">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污染物排放管控</w:t>
                  </w:r>
                </w:p>
              </w:tc>
              <w:tc>
                <w:tcPr>
                  <w:tcW w:w="994" w:type="dxa"/>
                  <w:vAlign w:val="center"/>
                </w:tcPr>
                <w:p w14:paraId="3E9436D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允许排放量要求</w:t>
                  </w:r>
                </w:p>
              </w:tc>
              <w:tc>
                <w:tcPr>
                  <w:tcW w:w="3681" w:type="dxa"/>
                  <w:vAlign w:val="center"/>
                </w:tcPr>
                <w:p w14:paraId="5709B5D1">
                  <w:pPr>
                    <w:pStyle w:val="271"/>
                    <w:kinsoku/>
                    <w:topLinePunct/>
                    <w:autoSpaceDE/>
                    <w:autoSpaceDN/>
                    <w:jc w:val="both"/>
                    <w:rPr>
                      <w:rFonts w:ascii="Times New Roman" w:hAnsi="Times New Roman" w:cs="Times New Roman"/>
                      <w:color w:val="000000" w:themeColor="text1"/>
                      <w:kern w:val="2"/>
                      <w:sz w:val="2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到2025年，全市氮氧化物、挥发性有机物、化学需氧量、氨氮重点工程减排量分别达到2665吨、1920吨、10088吨、653吨。</w:t>
                  </w:r>
                </w:p>
                <w:p w14:paraId="2A910498">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强化涉铊项目环境监管，铊污染物水环境承载能力不足的地区限制引入碳酸锂等涉铊项目。</w:t>
                  </w:r>
                </w:p>
              </w:tc>
              <w:tc>
                <w:tcPr>
                  <w:tcW w:w="2009" w:type="dxa"/>
                  <w:vAlign w:val="center"/>
                </w:tcPr>
                <w:p w14:paraId="186A03C1">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本项目挥发性有机物严格按总量要求控制</w:t>
                  </w:r>
                </w:p>
              </w:tc>
              <w:tc>
                <w:tcPr>
                  <w:tcW w:w="659" w:type="dxa"/>
                  <w:vAlign w:val="center"/>
                </w:tcPr>
                <w:p w14:paraId="361EAFFF">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71EA4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noWrap/>
                  <w:vAlign w:val="center"/>
                </w:tcPr>
                <w:p w14:paraId="4633FE0E">
                  <w:pPr>
                    <w:topLinePunct/>
                    <w:jc w:val="center"/>
                    <w:rPr>
                      <w:rFonts w:eastAsiaTheme="minorEastAsia"/>
                      <w:color w:val="000000" w:themeColor="text1"/>
                      <w:szCs w:val="21"/>
                      <w14:textFill>
                        <w14:solidFill>
                          <w14:schemeClr w14:val="tx1"/>
                        </w14:solidFill>
                      </w14:textFill>
                    </w:rPr>
                  </w:pPr>
                </w:p>
              </w:tc>
              <w:tc>
                <w:tcPr>
                  <w:tcW w:w="994" w:type="dxa"/>
                  <w:vAlign w:val="center"/>
                </w:tcPr>
                <w:p w14:paraId="53A632B4">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现有源提标升级改造</w:t>
                  </w:r>
                </w:p>
              </w:tc>
              <w:tc>
                <w:tcPr>
                  <w:tcW w:w="3681" w:type="dxa"/>
                  <w:vAlign w:val="center"/>
                </w:tcPr>
                <w:p w14:paraId="29F41881">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2009" w:type="dxa"/>
                  <w:vAlign w:val="center"/>
                </w:tcPr>
                <w:p w14:paraId="145CE309">
                  <w:pPr>
                    <w:topLinePunct/>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按要求执行</w:t>
                  </w:r>
                </w:p>
              </w:tc>
              <w:tc>
                <w:tcPr>
                  <w:tcW w:w="659" w:type="dxa"/>
                  <w:vAlign w:val="center"/>
                </w:tcPr>
                <w:p w14:paraId="4A7E7F66">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59196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noWrap/>
                  <w:vAlign w:val="center"/>
                </w:tcPr>
                <w:p w14:paraId="44FB032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环境风险防控</w:t>
                  </w:r>
                </w:p>
              </w:tc>
              <w:tc>
                <w:tcPr>
                  <w:tcW w:w="994" w:type="dxa"/>
                  <w:vAlign w:val="center"/>
                </w:tcPr>
                <w:p w14:paraId="6CB5DAA5">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联防联控要求</w:t>
                  </w:r>
                </w:p>
              </w:tc>
              <w:tc>
                <w:tcPr>
                  <w:tcW w:w="3681" w:type="dxa"/>
                  <w:vAlign w:val="center"/>
                </w:tcPr>
                <w:p w14:paraId="1791CB1A">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建立企业、园区、地方政府之间环境风险联防联控体系和联合应急体系；增强与萍乡、新余等地的联系，完善流域合作，推动建立跨区域的袁河流域水污染防治联动协作机制。</w:t>
                  </w:r>
                </w:p>
              </w:tc>
              <w:tc>
                <w:tcPr>
                  <w:tcW w:w="2009" w:type="dxa"/>
                  <w:vAlign w:val="center"/>
                </w:tcPr>
                <w:p w14:paraId="4F29724C">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不涉及</w:t>
                  </w:r>
                </w:p>
              </w:tc>
              <w:tc>
                <w:tcPr>
                  <w:tcW w:w="659" w:type="dxa"/>
                  <w:vAlign w:val="center"/>
                </w:tcPr>
                <w:p w14:paraId="04129CE3">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E022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restart"/>
                  <w:noWrap/>
                  <w:vAlign w:val="center"/>
                </w:tcPr>
                <w:p w14:paraId="3F1E9A95">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资源利用效率要求</w:t>
                  </w:r>
                </w:p>
              </w:tc>
              <w:tc>
                <w:tcPr>
                  <w:tcW w:w="994" w:type="dxa"/>
                  <w:vAlign w:val="center"/>
                </w:tcPr>
                <w:p w14:paraId="141D2C42">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水资源利用总量要求</w:t>
                  </w:r>
                </w:p>
              </w:tc>
              <w:tc>
                <w:tcPr>
                  <w:tcW w:w="3681" w:type="dxa"/>
                  <w:vAlign w:val="center"/>
                </w:tcPr>
                <w:p w14:paraId="3E37A98E">
                  <w:pPr>
                    <w:pStyle w:val="271"/>
                    <w:kinsoku/>
                    <w:topLinePunct/>
                    <w:autoSpaceDE/>
                    <w:autoSpaceDN/>
                    <w:jc w:val="both"/>
                    <w:rPr>
                      <w:rFonts w:ascii="Times New Roman" w:hAnsi="Times New Roman" w:cs="Times New Roman"/>
                      <w:color w:val="000000" w:themeColor="text1"/>
                      <w:kern w:val="2"/>
                      <w:sz w:val="2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到2025年全市水资源利用量控制在36.87亿立方米，万元国内生产总值用水量比2020年下降23%，万元工业增加值用水量比2020年下降16%。</w:t>
                  </w:r>
                </w:p>
              </w:tc>
              <w:tc>
                <w:tcPr>
                  <w:tcW w:w="2009" w:type="dxa"/>
                  <w:vAlign w:val="center"/>
                </w:tcPr>
                <w:p w14:paraId="787094A9">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按要求执行</w:t>
                  </w:r>
                </w:p>
              </w:tc>
              <w:tc>
                <w:tcPr>
                  <w:tcW w:w="659" w:type="dxa"/>
                  <w:vAlign w:val="center"/>
                </w:tcPr>
                <w:p w14:paraId="1203FCB3">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255F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73DF8A40">
                  <w:pPr>
                    <w:topLinePunct/>
                    <w:jc w:val="center"/>
                    <w:rPr>
                      <w:rFonts w:eastAsiaTheme="minorEastAsia"/>
                      <w:color w:val="000000" w:themeColor="text1"/>
                      <w:szCs w:val="21"/>
                      <w14:textFill>
                        <w14:solidFill>
                          <w14:schemeClr w14:val="tx1"/>
                        </w14:solidFill>
                      </w14:textFill>
                    </w:rPr>
                  </w:pPr>
                </w:p>
              </w:tc>
              <w:tc>
                <w:tcPr>
                  <w:tcW w:w="994" w:type="dxa"/>
                  <w:vAlign w:val="center"/>
                </w:tcPr>
                <w:p w14:paraId="61C7C0CB">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地下水开采要求</w:t>
                  </w:r>
                </w:p>
              </w:tc>
              <w:tc>
                <w:tcPr>
                  <w:tcW w:w="3681" w:type="dxa"/>
                  <w:vAlign w:val="center"/>
                </w:tcPr>
                <w:p w14:paraId="473C1C37">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禁止在塌陷区、地质灾害危险区域开采地下水。</w:t>
                  </w:r>
                </w:p>
              </w:tc>
              <w:tc>
                <w:tcPr>
                  <w:tcW w:w="2009" w:type="dxa"/>
                  <w:vAlign w:val="center"/>
                </w:tcPr>
                <w:p w14:paraId="6813361B">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本项目不</w:t>
                  </w:r>
                  <w:r>
                    <w:rPr>
                      <w:color w:val="000000" w:themeColor="text1"/>
                      <w:szCs w:val="21"/>
                      <w14:textFill>
                        <w14:solidFill>
                          <w14:schemeClr w14:val="tx1"/>
                        </w14:solidFill>
                      </w14:textFill>
                    </w:rPr>
                    <w:t>在塌陷区、地质灾害危险区域开采地下水</w:t>
                  </w:r>
                </w:p>
              </w:tc>
              <w:tc>
                <w:tcPr>
                  <w:tcW w:w="659" w:type="dxa"/>
                  <w:vAlign w:val="center"/>
                </w:tcPr>
                <w:p w14:paraId="440F98A1">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AFB5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4E124998">
                  <w:pPr>
                    <w:topLinePunct/>
                    <w:jc w:val="center"/>
                    <w:rPr>
                      <w:rFonts w:eastAsiaTheme="minorEastAsia"/>
                      <w:color w:val="000000" w:themeColor="text1"/>
                      <w:szCs w:val="21"/>
                      <w14:textFill>
                        <w14:solidFill>
                          <w14:schemeClr w14:val="tx1"/>
                        </w14:solidFill>
                      </w14:textFill>
                    </w:rPr>
                  </w:pPr>
                </w:p>
              </w:tc>
              <w:tc>
                <w:tcPr>
                  <w:tcW w:w="994" w:type="dxa"/>
                  <w:vAlign w:val="center"/>
                </w:tcPr>
                <w:p w14:paraId="2E9E369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能源利用总量及效率要求</w:t>
                  </w:r>
                </w:p>
              </w:tc>
              <w:tc>
                <w:tcPr>
                  <w:tcW w:w="3681" w:type="dxa"/>
                  <w:vAlign w:val="center"/>
                </w:tcPr>
                <w:p w14:paraId="06A2228B">
                  <w:pPr>
                    <w:pStyle w:val="271"/>
                    <w:kinsoku/>
                    <w:topLinePunct/>
                    <w:autoSpaceDE/>
                    <w:autoSpaceDN/>
                    <w:jc w:val="both"/>
                    <w:rPr>
                      <w:rFonts w:ascii="Times New Roman" w:hAnsi="Times New Roman" w:cs="Times New Roman"/>
                      <w:color w:val="000000" w:themeColor="text1"/>
                      <w:kern w:val="2"/>
                      <w:sz w:val="2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到2025年，全市单位生产总值能源消耗比2020年下降15.5%，力争达到16%，能源消费总量得到合理控制。</w:t>
                  </w:r>
                </w:p>
              </w:tc>
              <w:tc>
                <w:tcPr>
                  <w:tcW w:w="2009" w:type="dxa"/>
                  <w:vAlign w:val="center"/>
                </w:tcPr>
                <w:p w14:paraId="1513EB7E">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按要求执行</w:t>
                  </w:r>
                </w:p>
              </w:tc>
              <w:tc>
                <w:tcPr>
                  <w:tcW w:w="659" w:type="dxa"/>
                  <w:vAlign w:val="center"/>
                </w:tcPr>
                <w:p w14:paraId="383DEEB5">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42DC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6" w:type="dxa"/>
                  <w:vMerge w:val="continue"/>
                  <w:vAlign w:val="center"/>
                </w:tcPr>
                <w:p w14:paraId="5731F737">
                  <w:pPr>
                    <w:topLinePunct/>
                    <w:jc w:val="center"/>
                    <w:rPr>
                      <w:rFonts w:eastAsiaTheme="minorEastAsia"/>
                      <w:color w:val="000000" w:themeColor="text1"/>
                      <w:szCs w:val="21"/>
                      <w14:textFill>
                        <w14:solidFill>
                          <w14:schemeClr w14:val="tx1"/>
                        </w14:solidFill>
                      </w14:textFill>
                    </w:rPr>
                  </w:pPr>
                </w:p>
              </w:tc>
              <w:tc>
                <w:tcPr>
                  <w:tcW w:w="994" w:type="dxa"/>
                  <w:vAlign w:val="center"/>
                </w:tcPr>
                <w:p w14:paraId="32E5D1D9">
                  <w:pPr>
                    <w:topLinePun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禁燃区要求</w:t>
                  </w:r>
                </w:p>
              </w:tc>
              <w:tc>
                <w:tcPr>
                  <w:tcW w:w="3681" w:type="dxa"/>
                  <w:vAlign w:val="center"/>
                </w:tcPr>
                <w:p w14:paraId="35B035A5">
                  <w:pPr>
                    <w:topLinePunct/>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禁止新建、扩建燃用高污染燃料的项目和设施，已建成的应逐步或依法限期改用天然气、电力或者其它清洁能源。</w:t>
                  </w:r>
                </w:p>
              </w:tc>
              <w:tc>
                <w:tcPr>
                  <w:tcW w:w="2009" w:type="dxa"/>
                  <w:vAlign w:val="center"/>
                </w:tcPr>
                <w:p w14:paraId="4406BD2E">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w:t>
                  </w:r>
                  <w:r>
                    <w:rPr>
                      <w:rFonts w:hint="eastAsia"/>
                      <w:color w:val="000000" w:themeColor="text1"/>
                      <w:szCs w:val="21"/>
                      <w14:textFill>
                        <w14:solidFill>
                          <w14:schemeClr w14:val="tx1"/>
                        </w14:solidFill>
                      </w14:textFill>
                    </w:rPr>
                    <w:t>属于</w:t>
                  </w:r>
                  <w:r>
                    <w:rPr>
                      <w:color w:val="000000" w:themeColor="text1"/>
                      <w:szCs w:val="21"/>
                      <w14:textFill>
                        <w14:solidFill>
                          <w14:schemeClr w14:val="tx1"/>
                        </w14:solidFill>
                      </w14:textFill>
                    </w:rPr>
                    <w:t>燃用高污染燃料的项目和设施</w:t>
                  </w:r>
                </w:p>
              </w:tc>
              <w:tc>
                <w:tcPr>
                  <w:tcW w:w="659" w:type="dxa"/>
                  <w:vAlign w:val="center"/>
                </w:tcPr>
                <w:p w14:paraId="51945711">
                  <w:pPr>
                    <w:topLinePunct/>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bl>
          <w:p w14:paraId="327CF3A3">
            <w:pPr>
              <w:pStyle w:val="133"/>
              <w:snapToGrid w:val="0"/>
              <w:spacing w:line="360" w:lineRule="auto"/>
              <w:ind w:firstLine="480" w:firstLineChars="200"/>
              <w:jc w:val="both"/>
              <w:rPr>
                <w:rFonts w:ascii="Times New Roman" w:cs="Times New Roman"/>
                <w:color w:val="000000" w:themeColor="text1"/>
                <w14:textFill>
                  <w14:solidFill>
                    <w14:schemeClr w14:val="tx1"/>
                  </w14:solidFill>
                </w14:textFill>
              </w:rPr>
            </w:pPr>
            <w:r>
              <w:rPr>
                <w:rFonts w:ascii="Times New Roman" w:cs="Times New Roman"/>
                <w:color w:val="000000" w:themeColor="text1"/>
                <w:lang w:val="en"/>
                <w14:textFill>
                  <w14:solidFill>
                    <w14:schemeClr w14:val="tx1"/>
                  </w14:solidFill>
                </w14:textFill>
              </w:rPr>
              <w:t>本项目位于</w:t>
            </w:r>
            <w:r>
              <w:rPr>
                <w:rFonts w:hint="eastAsia" w:ascii="Times New Roman" w:cs="Times New Roman"/>
                <w:color w:val="000000" w:themeColor="text1"/>
                <w:lang w:val="en"/>
                <w14:textFill>
                  <w14:solidFill>
                    <w14:schemeClr w14:val="tx1"/>
                  </w14:solidFill>
                </w14:textFill>
              </w:rPr>
              <w:t>高安市黄沙岗镇挂榜村柒家村（高安市黄沙柒星建材厂内）</w:t>
            </w:r>
            <w:r>
              <w:rPr>
                <w:rFonts w:ascii="Times New Roman" w:cs="Times New Roman"/>
                <w:color w:val="000000" w:themeColor="text1"/>
                <w:lang w:val="en"/>
                <w14:textFill>
                  <w14:solidFill>
                    <w14:schemeClr w14:val="tx1"/>
                  </w14:solidFill>
                </w14:textFill>
              </w:rPr>
              <w:t>，属于江西省宜春市高安市</w:t>
            </w:r>
            <w:r>
              <w:rPr>
                <w:rFonts w:hint="eastAsia" w:ascii="Times New Roman" w:cs="Times New Roman"/>
                <w:color w:val="000000" w:themeColor="text1"/>
                <w:lang w:val="en"/>
                <w14:textFill>
                  <w14:solidFill>
                    <w14:schemeClr w14:val="tx1"/>
                  </w14:solidFill>
                </w14:textFill>
              </w:rPr>
              <w:t>一般</w:t>
            </w:r>
            <w:r>
              <w:rPr>
                <w:rFonts w:ascii="Times New Roman" w:cs="Times New Roman"/>
                <w:color w:val="000000" w:themeColor="text1"/>
                <w:lang w:val="en"/>
                <w14:textFill>
                  <w14:solidFill>
                    <w14:schemeClr w14:val="tx1"/>
                  </w14:solidFill>
                </w14:textFill>
              </w:rPr>
              <w:t>管控单元</w:t>
            </w:r>
            <w:r>
              <w:rPr>
                <w:rFonts w:hint="eastAsia" w:ascii="Times New Roman" w:cs="Times New Roman"/>
                <w:color w:val="000000" w:themeColor="text1"/>
                <w:lang w:val="en"/>
                <w14:textFill>
                  <w14:solidFill>
                    <w14:schemeClr w14:val="tx1"/>
                  </w14:solidFill>
                </w14:textFill>
              </w:rPr>
              <w:t>1</w:t>
            </w:r>
            <w:r>
              <w:rPr>
                <w:rFonts w:ascii="Times New Roman" w:cs="Times New Roman"/>
                <w:color w:val="000000" w:themeColor="text1"/>
                <w:lang w:val="en"/>
                <w14:textFill>
                  <w14:solidFill>
                    <w14:schemeClr w14:val="tx1"/>
                  </w14:solidFill>
                </w14:textFill>
              </w:rPr>
              <w:t>（环境管控单元编码：ZH360983</w:t>
            </w:r>
            <w:r>
              <w:rPr>
                <w:rFonts w:hint="eastAsia" w:ascii="Times New Roman" w:cs="Times New Roman"/>
                <w:color w:val="000000" w:themeColor="text1"/>
                <w:lang w:val="en"/>
                <w14:textFill>
                  <w14:solidFill>
                    <w14:schemeClr w14:val="tx1"/>
                  </w14:solidFill>
                </w14:textFill>
              </w:rPr>
              <w:t>3</w:t>
            </w:r>
            <w:r>
              <w:rPr>
                <w:rFonts w:ascii="Times New Roman" w:cs="Times New Roman"/>
                <w:color w:val="000000" w:themeColor="text1"/>
                <w:lang w:val="en"/>
                <w14:textFill>
                  <w14:solidFill>
                    <w14:schemeClr w14:val="tx1"/>
                  </w14:solidFill>
                </w14:textFill>
              </w:rPr>
              <w:t>000</w:t>
            </w:r>
            <w:r>
              <w:rPr>
                <w:rFonts w:hint="eastAsia" w:ascii="Times New Roman" w:cs="Times New Roman"/>
                <w:color w:val="000000" w:themeColor="text1"/>
                <w:lang w:val="en"/>
                <w14:textFill>
                  <w14:solidFill>
                    <w14:schemeClr w14:val="tx1"/>
                  </w14:solidFill>
                </w14:textFill>
              </w:rPr>
              <w:t>1</w:t>
            </w:r>
            <w:r>
              <w:rPr>
                <w:rFonts w:ascii="Times New Roman" w:cs="Times New Roman"/>
                <w:color w:val="000000" w:themeColor="text1"/>
                <w:lang w:val="en"/>
                <w14:textFill>
                  <w14:solidFill>
                    <w14:schemeClr w14:val="tx1"/>
                  </w14:solidFill>
                </w14:textFill>
              </w:rPr>
              <w:t>）。具体准入要求见表</w:t>
            </w:r>
            <w:r>
              <w:rPr>
                <w:rFonts w:ascii="Times New Roman" w:cs="Times New Roman"/>
                <w:color w:val="000000" w:themeColor="text1"/>
                <w14:textFill>
                  <w14:solidFill>
                    <w14:schemeClr w14:val="tx1"/>
                  </w14:solidFill>
                </w14:textFill>
              </w:rPr>
              <w:t>1-3。</w:t>
            </w:r>
          </w:p>
          <w:p w14:paraId="7E9B7CBE">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表1-3  高安市一般管控单元1准入要求表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487"/>
              <w:gridCol w:w="1142"/>
              <w:gridCol w:w="3096"/>
              <w:gridCol w:w="2141"/>
              <w:gridCol w:w="687"/>
            </w:tblGrid>
            <w:tr w14:paraId="589C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shd w:val="clear" w:color="auto" w:fill="FFFFFF"/>
                  <w:noWrap/>
                  <w:tcMar>
                    <w:top w:w="15" w:type="dxa"/>
                    <w:left w:w="15" w:type="dxa"/>
                    <w:bottom w:w="0" w:type="dxa"/>
                    <w:right w:w="15" w:type="dxa"/>
                  </w:tcMar>
                  <w:vAlign w:val="center"/>
                </w:tcPr>
                <w:p w14:paraId="2E0D7EA2">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维度</w:t>
                  </w:r>
                </w:p>
              </w:tc>
              <w:tc>
                <w:tcPr>
                  <w:tcW w:w="1619" w:type="dxa"/>
                  <w:gridSpan w:val="2"/>
                  <w:shd w:val="clear" w:color="auto" w:fill="FFFFFF"/>
                  <w:vAlign w:val="center"/>
                </w:tcPr>
                <w:p w14:paraId="56BFDF32">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清单编制要求</w:t>
                  </w:r>
                </w:p>
              </w:tc>
              <w:tc>
                <w:tcPr>
                  <w:tcW w:w="3076" w:type="dxa"/>
                  <w:shd w:val="clear" w:color="auto" w:fill="FFFFFF"/>
                  <w:tcMar>
                    <w:top w:w="15" w:type="dxa"/>
                    <w:left w:w="15" w:type="dxa"/>
                    <w:bottom w:w="0" w:type="dxa"/>
                    <w:right w:w="15" w:type="dxa"/>
                  </w:tcMar>
                  <w:vAlign w:val="center"/>
                </w:tcPr>
                <w:p w14:paraId="19E272E8">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准入清单</w:t>
                  </w:r>
                </w:p>
              </w:tc>
              <w:tc>
                <w:tcPr>
                  <w:tcW w:w="2127" w:type="dxa"/>
                  <w:shd w:val="clear" w:color="auto" w:fill="FFFFFF"/>
                  <w:vAlign w:val="center"/>
                </w:tcPr>
                <w:p w14:paraId="1F5EFDC8">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本项目情况</w:t>
                  </w:r>
                </w:p>
              </w:tc>
              <w:tc>
                <w:tcPr>
                  <w:tcW w:w="683" w:type="dxa"/>
                  <w:shd w:val="clear" w:color="auto" w:fill="FFFFFF"/>
                  <w:tcMar>
                    <w:top w:w="15" w:type="dxa"/>
                    <w:left w:w="15" w:type="dxa"/>
                    <w:bottom w:w="0" w:type="dxa"/>
                    <w:right w:w="15" w:type="dxa"/>
                  </w:tcMar>
                  <w:vAlign w:val="center"/>
                </w:tcPr>
                <w:p w14:paraId="1A3AB0C8">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14:paraId="495C2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restart"/>
                  <w:shd w:val="clear" w:color="auto" w:fill="FFFFFF"/>
                  <w:noWrap/>
                  <w:tcMar>
                    <w:top w:w="15" w:type="dxa"/>
                    <w:left w:w="15" w:type="dxa"/>
                    <w:bottom w:w="0" w:type="dxa"/>
                    <w:right w:w="15" w:type="dxa"/>
                  </w:tcMar>
                  <w:vAlign w:val="center"/>
                </w:tcPr>
                <w:p w14:paraId="0FCA603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空间布局约束</w:t>
                  </w:r>
                </w:p>
              </w:tc>
              <w:tc>
                <w:tcPr>
                  <w:tcW w:w="1619" w:type="dxa"/>
                  <w:gridSpan w:val="2"/>
                  <w:shd w:val="clear" w:color="auto" w:fill="FFFFFF"/>
                  <w:noWrap/>
                  <w:tcMar>
                    <w:top w:w="15" w:type="dxa"/>
                    <w:left w:w="15" w:type="dxa"/>
                    <w:bottom w:w="0" w:type="dxa"/>
                    <w:right w:w="15" w:type="dxa"/>
                  </w:tcMar>
                  <w:vAlign w:val="center"/>
                </w:tcPr>
                <w:p w14:paraId="61DA5015">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禁止开发建设活动的要求</w:t>
                  </w:r>
                </w:p>
              </w:tc>
              <w:tc>
                <w:tcPr>
                  <w:tcW w:w="3076" w:type="dxa"/>
                  <w:shd w:val="clear" w:color="auto" w:fill="FFFFFF"/>
                  <w:tcMar>
                    <w:top w:w="15" w:type="dxa"/>
                    <w:left w:w="15" w:type="dxa"/>
                    <w:bottom w:w="0" w:type="dxa"/>
                    <w:right w:w="15" w:type="dxa"/>
                  </w:tcMar>
                  <w:vAlign w:val="center"/>
                </w:tcPr>
                <w:p w14:paraId="0F3F2C9E">
                  <w:pPr>
                    <w:widowControl/>
                    <w:spacing w:line="260" w:lineRule="exact"/>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城镇开发边界外按照国家和江西省相关规定管控开发建设活动，原则上不得进行城镇集中建设，不得设立各类开发区</w:t>
                  </w:r>
                </w:p>
              </w:tc>
              <w:tc>
                <w:tcPr>
                  <w:tcW w:w="2127" w:type="dxa"/>
                  <w:shd w:val="clear" w:color="auto" w:fill="FFFFFF"/>
                  <w:vAlign w:val="center"/>
                </w:tcPr>
                <w:p w14:paraId="059F6DF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本项目利用高安市黄沙柒星建材厂现有工业用地进行建设，项目建设符合《江西省城镇开发边界管理实施细则（试行）》（赣自然资发〔2024〕2号）相关要求，不属于城镇集中建设及开发区</w:t>
                  </w:r>
                </w:p>
              </w:tc>
              <w:tc>
                <w:tcPr>
                  <w:tcW w:w="683" w:type="dxa"/>
                  <w:shd w:val="clear" w:color="auto" w:fill="FFFFFF"/>
                  <w:tcMar>
                    <w:top w:w="15" w:type="dxa"/>
                    <w:left w:w="15" w:type="dxa"/>
                    <w:bottom w:w="0" w:type="dxa"/>
                    <w:right w:w="15" w:type="dxa"/>
                  </w:tcMar>
                  <w:vAlign w:val="center"/>
                </w:tcPr>
                <w:p w14:paraId="504A318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0D8A2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shd w:val="clear" w:color="auto" w:fill="FFFFFF"/>
                  <w:noWrap/>
                  <w:tcMar>
                    <w:top w:w="15" w:type="dxa"/>
                    <w:left w:w="15" w:type="dxa"/>
                    <w:bottom w:w="0" w:type="dxa"/>
                    <w:right w:w="15" w:type="dxa"/>
                  </w:tcMar>
                  <w:vAlign w:val="center"/>
                </w:tcPr>
                <w:p w14:paraId="6F707A34">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490D11B4">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限制开发建设活动的要求</w:t>
                  </w:r>
                </w:p>
              </w:tc>
              <w:tc>
                <w:tcPr>
                  <w:tcW w:w="3076" w:type="dxa"/>
                  <w:shd w:val="clear" w:color="auto" w:fill="FFFFFF"/>
                  <w:tcMar>
                    <w:top w:w="15" w:type="dxa"/>
                    <w:left w:w="15" w:type="dxa"/>
                    <w:bottom w:w="0" w:type="dxa"/>
                    <w:right w:w="15" w:type="dxa"/>
                  </w:tcMar>
                  <w:vAlign w:val="center"/>
                </w:tcPr>
                <w:p w14:paraId="156D0720">
                  <w:pPr>
                    <w:widowControl/>
                    <w:spacing w:line="260" w:lineRule="exact"/>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加强基本农田保护，严格限制非农项目占用耕地；严格控制在优先保护类耕地集中区域新建有色金属冶炼、石油化工、化工、焦化、电镀、制革等行业企业及新、改、扩建增加重金属污染物排放的项目</w:t>
                  </w:r>
                </w:p>
              </w:tc>
              <w:tc>
                <w:tcPr>
                  <w:tcW w:w="2127" w:type="dxa"/>
                  <w:shd w:val="clear" w:color="auto" w:fill="FFFFFF"/>
                  <w:vAlign w:val="center"/>
                </w:tcPr>
                <w:p w14:paraId="12B71D3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本项目不占用耕地，不在优先保护类耕地集中区域且不属于上述行业，不涉及重金属污染物排放</w:t>
                  </w:r>
                </w:p>
              </w:tc>
              <w:tc>
                <w:tcPr>
                  <w:tcW w:w="683" w:type="dxa"/>
                  <w:shd w:val="clear" w:color="auto" w:fill="FFFFFF"/>
                  <w:tcMar>
                    <w:top w:w="15" w:type="dxa"/>
                    <w:left w:w="15" w:type="dxa"/>
                    <w:bottom w:w="0" w:type="dxa"/>
                    <w:right w:w="15" w:type="dxa"/>
                  </w:tcMar>
                  <w:vAlign w:val="center"/>
                </w:tcPr>
                <w:p w14:paraId="15E8582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1140F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shd w:val="clear" w:color="auto" w:fill="FFFFFF"/>
                  <w:noWrap/>
                  <w:tcMar>
                    <w:top w:w="15" w:type="dxa"/>
                    <w:left w:w="15" w:type="dxa"/>
                    <w:bottom w:w="0" w:type="dxa"/>
                    <w:right w:w="15" w:type="dxa"/>
                  </w:tcMar>
                  <w:vAlign w:val="center"/>
                </w:tcPr>
                <w:p w14:paraId="0816A1D1">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674A8B04">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不符合空间布局要求活动的退出要求</w:t>
                  </w:r>
                </w:p>
              </w:tc>
              <w:tc>
                <w:tcPr>
                  <w:tcW w:w="3076" w:type="dxa"/>
                  <w:shd w:val="clear" w:color="auto" w:fill="FFFFFF"/>
                  <w:tcMar>
                    <w:top w:w="15" w:type="dxa"/>
                    <w:left w:w="15" w:type="dxa"/>
                    <w:bottom w:w="0" w:type="dxa"/>
                    <w:right w:w="15" w:type="dxa"/>
                  </w:tcMar>
                  <w:vAlign w:val="center"/>
                </w:tcPr>
                <w:p w14:paraId="31C40C38">
                  <w:pPr>
                    <w:widowControl/>
                    <w:spacing w:line="260" w:lineRule="exact"/>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按照畜禽养殖</w:t>
                  </w:r>
                  <w:r>
                    <w:rPr>
                      <w:rFonts w:hint="eastAsia"/>
                      <w:color w:val="000000" w:themeColor="text1"/>
                      <w:kern w:val="0"/>
                      <w:szCs w:val="21"/>
                      <w:lang w:bidi="ar"/>
                      <w14:textFill>
                        <w14:solidFill>
                          <w14:schemeClr w14:val="tx1"/>
                        </w14:solidFill>
                      </w14:textFill>
                    </w:rPr>
                    <w:t>规</w:t>
                  </w:r>
                  <w:r>
                    <w:rPr>
                      <w:color w:val="000000" w:themeColor="text1"/>
                      <w:kern w:val="0"/>
                      <w:szCs w:val="21"/>
                      <w:lang w:bidi="ar"/>
                      <w14:textFill>
                        <w14:solidFill>
                          <w14:schemeClr w14:val="tx1"/>
                        </w14:solidFill>
                      </w14:textFill>
                    </w:rPr>
                    <w:t>划，现有禁养区养殖场逐步退出或关停</w:t>
                  </w:r>
                </w:p>
              </w:tc>
              <w:tc>
                <w:tcPr>
                  <w:tcW w:w="2127" w:type="dxa"/>
                  <w:shd w:val="clear" w:color="auto" w:fill="FFFFFF"/>
                  <w:vAlign w:val="center"/>
                </w:tcPr>
                <w:p w14:paraId="49158C2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不涉及</w:t>
                  </w:r>
                </w:p>
              </w:tc>
              <w:tc>
                <w:tcPr>
                  <w:tcW w:w="683" w:type="dxa"/>
                  <w:shd w:val="clear" w:color="auto" w:fill="FFFFFF"/>
                  <w:tcMar>
                    <w:top w:w="15" w:type="dxa"/>
                    <w:left w:w="15" w:type="dxa"/>
                    <w:bottom w:w="0" w:type="dxa"/>
                    <w:right w:w="15" w:type="dxa"/>
                  </w:tcMar>
                  <w:vAlign w:val="center"/>
                </w:tcPr>
                <w:p w14:paraId="5AAF46E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1E338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restart"/>
                  <w:shd w:val="clear" w:color="auto" w:fill="FFFFFF"/>
                  <w:noWrap/>
                  <w:tcMar>
                    <w:top w:w="15" w:type="dxa"/>
                    <w:left w:w="15" w:type="dxa"/>
                    <w:bottom w:w="0" w:type="dxa"/>
                    <w:right w:w="15" w:type="dxa"/>
                  </w:tcMar>
                  <w:vAlign w:val="center"/>
                </w:tcPr>
                <w:p w14:paraId="040C609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污染物排放管控</w:t>
                  </w:r>
                </w:p>
              </w:tc>
              <w:tc>
                <w:tcPr>
                  <w:tcW w:w="1619" w:type="dxa"/>
                  <w:gridSpan w:val="2"/>
                  <w:shd w:val="clear" w:color="auto" w:fill="FFFFFF"/>
                  <w:noWrap/>
                  <w:tcMar>
                    <w:top w:w="15" w:type="dxa"/>
                    <w:left w:w="15" w:type="dxa"/>
                    <w:bottom w:w="0" w:type="dxa"/>
                    <w:right w:w="15" w:type="dxa"/>
                  </w:tcMar>
                  <w:vAlign w:val="center"/>
                </w:tcPr>
                <w:p w14:paraId="69E2C611">
                  <w:pPr>
                    <w:widowControl/>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新增源等量或倍量替代</w:t>
                  </w:r>
                </w:p>
              </w:tc>
              <w:tc>
                <w:tcPr>
                  <w:tcW w:w="3076" w:type="dxa"/>
                  <w:shd w:val="clear" w:color="auto" w:fill="FFFFFF"/>
                  <w:tcMar>
                    <w:top w:w="15" w:type="dxa"/>
                    <w:left w:w="15" w:type="dxa"/>
                    <w:bottom w:w="0" w:type="dxa"/>
                    <w:right w:w="15" w:type="dxa"/>
                  </w:tcMar>
                  <w:vAlign w:val="center"/>
                </w:tcPr>
                <w:p w14:paraId="3BD55703">
                  <w:pPr>
                    <w:widowControl/>
                    <w:spacing w:line="260" w:lineRule="exact"/>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vAlign w:val="center"/>
                </w:tcPr>
                <w:p w14:paraId="0277E9F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4D5703A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7F50E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shd w:val="clear" w:color="auto" w:fill="FFFFFF"/>
                  <w:noWrap/>
                  <w:tcMar>
                    <w:top w:w="15" w:type="dxa"/>
                    <w:left w:w="15" w:type="dxa"/>
                    <w:bottom w:w="0" w:type="dxa"/>
                    <w:right w:w="15" w:type="dxa"/>
                  </w:tcMar>
                  <w:vAlign w:val="center"/>
                </w:tcPr>
                <w:p w14:paraId="39ED3FBA">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5DB29943">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现有源提标升级改造</w:t>
                  </w:r>
                </w:p>
              </w:tc>
              <w:tc>
                <w:tcPr>
                  <w:tcW w:w="3076" w:type="dxa"/>
                  <w:shd w:val="clear" w:color="auto" w:fill="FFFFFF"/>
                  <w:tcMar>
                    <w:top w:w="15" w:type="dxa"/>
                    <w:left w:w="15" w:type="dxa"/>
                    <w:bottom w:w="0" w:type="dxa"/>
                    <w:right w:w="15" w:type="dxa"/>
                  </w:tcMar>
                  <w:vAlign w:val="center"/>
                </w:tcPr>
                <w:p w14:paraId="27AE7F40">
                  <w:pPr>
                    <w:widowControl/>
                    <w:spacing w:line="260" w:lineRule="exact"/>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改造提升农村生活污水治理设施建设，2023年底前完成集中式（日处理规模20吨以上）设施改造，2025年底前基本完成现有设施改造</w:t>
                  </w:r>
                </w:p>
              </w:tc>
              <w:tc>
                <w:tcPr>
                  <w:tcW w:w="2127" w:type="dxa"/>
                  <w:shd w:val="clear" w:color="auto" w:fill="FFFFFF"/>
                  <w:vAlign w:val="center"/>
                </w:tcPr>
                <w:p w14:paraId="6C5480E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683" w:type="dxa"/>
                  <w:shd w:val="clear" w:color="auto" w:fill="FFFFFF"/>
                  <w:tcMar>
                    <w:top w:w="15" w:type="dxa"/>
                    <w:left w:w="15" w:type="dxa"/>
                    <w:bottom w:w="0" w:type="dxa"/>
                    <w:right w:w="15" w:type="dxa"/>
                  </w:tcMar>
                  <w:vAlign w:val="center"/>
                </w:tcPr>
                <w:p w14:paraId="00E2292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733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shd w:val="clear" w:color="auto" w:fill="FFFFFF"/>
                  <w:noWrap/>
                  <w:tcMar>
                    <w:top w:w="15" w:type="dxa"/>
                    <w:left w:w="15" w:type="dxa"/>
                    <w:bottom w:w="0" w:type="dxa"/>
                    <w:right w:w="15" w:type="dxa"/>
                  </w:tcMar>
                  <w:vAlign w:val="center"/>
                </w:tcPr>
                <w:p w14:paraId="5E30A3E2">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0B0BF756">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新增源排放标准限值</w:t>
                  </w:r>
                </w:p>
              </w:tc>
              <w:tc>
                <w:tcPr>
                  <w:tcW w:w="3076" w:type="dxa"/>
                  <w:shd w:val="clear" w:color="auto" w:fill="FFFFFF"/>
                  <w:tcMar>
                    <w:top w:w="15" w:type="dxa"/>
                    <w:left w:w="15" w:type="dxa"/>
                    <w:bottom w:w="0" w:type="dxa"/>
                    <w:right w:w="15" w:type="dxa"/>
                  </w:tcMar>
                  <w:vAlign w:val="center"/>
                </w:tcPr>
                <w:p w14:paraId="651C56BC">
                  <w:pPr>
                    <w:widowControl/>
                    <w:spacing w:line="260" w:lineRule="exact"/>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污染物排放应达到相应排放标准</w:t>
                  </w:r>
                </w:p>
              </w:tc>
              <w:tc>
                <w:tcPr>
                  <w:tcW w:w="2127" w:type="dxa"/>
                  <w:shd w:val="clear" w:color="auto" w:fill="FFFFFF"/>
                  <w:vAlign w:val="center"/>
                </w:tcPr>
                <w:p w14:paraId="0B3868D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本项目污染物排放能达到相应标准</w:t>
                  </w:r>
                </w:p>
              </w:tc>
              <w:tc>
                <w:tcPr>
                  <w:tcW w:w="683" w:type="dxa"/>
                  <w:shd w:val="clear" w:color="auto" w:fill="FFFFFF"/>
                  <w:tcMar>
                    <w:top w:w="15" w:type="dxa"/>
                    <w:left w:w="15" w:type="dxa"/>
                    <w:bottom w:w="0" w:type="dxa"/>
                    <w:right w:w="15" w:type="dxa"/>
                  </w:tcMar>
                  <w:vAlign w:val="center"/>
                </w:tcPr>
                <w:p w14:paraId="0E1B450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04E5F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shd w:val="clear" w:color="auto" w:fill="FFFFFF"/>
                  <w:noWrap/>
                  <w:tcMar>
                    <w:top w:w="15" w:type="dxa"/>
                    <w:left w:w="15" w:type="dxa"/>
                    <w:bottom w:w="0" w:type="dxa"/>
                    <w:right w:w="15" w:type="dxa"/>
                  </w:tcMar>
                  <w:vAlign w:val="center"/>
                </w:tcPr>
                <w:p w14:paraId="206C6BA4">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7A6A3F14">
                  <w:pPr>
                    <w:widowControl/>
                    <w:adjustRightInd w:val="0"/>
                    <w:snapToGrid w:val="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污染物排放绩效水平准入要求</w:t>
                  </w:r>
                </w:p>
              </w:tc>
              <w:tc>
                <w:tcPr>
                  <w:tcW w:w="3076" w:type="dxa"/>
                  <w:shd w:val="clear" w:color="auto" w:fill="FFFFFF"/>
                  <w:tcMar>
                    <w:top w:w="15" w:type="dxa"/>
                    <w:left w:w="15" w:type="dxa"/>
                    <w:bottom w:w="0" w:type="dxa"/>
                    <w:right w:w="15" w:type="dxa"/>
                  </w:tcMar>
                  <w:vAlign w:val="center"/>
                </w:tcPr>
                <w:p w14:paraId="5902CD90">
                  <w:pPr>
                    <w:widowControl/>
                    <w:spacing w:line="260" w:lineRule="exact"/>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污染物排放绩效水平应达到</w:t>
                  </w:r>
                  <w:r>
                    <w:rPr>
                      <w:rFonts w:hint="eastAsia"/>
                      <w:color w:val="000000" w:themeColor="text1"/>
                      <w:kern w:val="0"/>
                      <w:szCs w:val="21"/>
                      <w:lang w:bidi="ar"/>
                      <w14:textFill>
                        <w14:solidFill>
                          <w14:schemeClr w14:val="tx1"/>
                        </w14:solidFill>
                      </w14:textFill>
                    </w:rPr>
                    <w:t>相应水</w:t>
                  </w:r>
                  <w:r>
                    <w:rPr>
                      <w:color w:val="000000" w:themeColor="text1"/>
                      <w:kern w:val="0"/>
                      <w:szCs w:val="21"/>
                      <w:lang w:bidi="ar"/>
                      <w14:textFill>
                        <w14:solidFill>
                          <w14:schemeClr w14:val="tx1"/>
                        </w14:solidFill>
                      </w14:textFill>
                    </w:rPr>
                    <w:t>平</w:t>
                  </w:r>
                </w:p>
              </w:tc>
              <w:tc>
                <w:tcPr>
                  <w:tcW w:w="2127" w:type="dxa"/>
                  <w:shd w:val="clear" w:color="auto" w:fill="FFFFFF"/>
                  <w:vAlign w:val="center"/>
                </w:tcPr>
                <w:p w14:paraId="5B94EB5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本项目污染物排放绩效水平达到良好水平</w:t>
                  </w:r>
                </w:p>
              </w:tc>
              <w:tc>
                <w:tcPr>
                  <w:tcW w:w="683" w:type="dxa"/>
                  <w:shd w:val="clear" w:color="auto" w:fill="FFFFFF"/>
                  <w:tcMar>
                    <w:top w:w="15" w:type="dxa"/>
                    <w:left w:w="15" w:type="dxa"/>
                    <w:bottom w:w="0" w:type="dxa"/>
                    <w:right w:w="15" w:type="dxa"/>
                  </w:tcMar>
                  <w:vAlign w:val="center"/>
                </w:tcPr>
                <w:p w14:paraId="7B158D9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1D28D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4" w:type="dxa"/>
                  <w:vMerge w:val="restart"/>
                  <w:shd w:val="clear" w:color="auto" w:fill="FFFFFF"/>
                  <w:noWrap/>
                  <w:tcMar>
                    <w:top w:w="15" w:type="dxa"/>
                    <w:left w:w="15" w:type="dxa"/>
                    <w:bottom w:w="0" w:type="dxa"/>
                    <w:right w:w="15" w:type="dxa"/>
                  </w:tcMar>
                  <w:vAlign w:val="center"/>
                </w:tcPr>
                <w:p w14:paraId="0682C2C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环境风险管控</w:t>
                  </w:r>
                </w:p>
              </w:tc>
              <w:tc>
                <w:tcPr>
                  <w:tcW w:w="484" w:type="dxa"/>
                  <w:vMerge w:val="restart"/>
                  <w:shd w:val="clear" w:color="auto" w:fill="FFFFFF"/>
                  <w:noWrap/>
                  <w:tcMar>
                    <w:top w:w="15" w:type="dxa"/>
                    <w:left w:w="15" w:type="dxa"/>
                    <w:bottom w:w="0" w:type="dxa"/>
                    <w:right w:w="15" w:type="dxa"/>
                  </w:tcMar>
                  <w:vAlign w:val="center"/>
                </w:tcPr>
                <w:p w14:paraId="6177B31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用地环境风险管控</w:t>
                  </w:r>
                </w:p>
              </w:tc>
              <w:tc>
                <w:tcPr>
                  <w:tcW w:w="1135" w:type="dxa"/>
                  <w:shd w:val="clear" w:color="auto" w:fill="FFFFFF"/>
                  <w:vAlign w:val="center"/>
                </w:tcPr>
                <w:p w14:paraId="481DA4C3">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严格管控类农用地管控要求</w:t>
                  </w:r>
                </w:p>
              </w:tc>
              <w:tc>
                <w:tcPr>
                  <w:tcW w:w="3076" w:type="dxa"/>
                  <w:shd w:val="clear" w:color="auto" w:fill="FFFFFF"/>
                  <w:vAlign w:val="center"/>
                </w:tcPr>
                <w:p w14:paraId="3446A3E8">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tcMar>
                    <w:top w:w="15" w:type="dxa"/>
                    <w:left w:w="15" w:type="dxa"/>
                    <w:bottom w:w="0" w:type="dxa"/>
                    <w:right w:w="15" w:type="dxa"/>
                  </w:tcMar>
                  <w:vAlign w:val="center"/>
                </w:tcPr>
                <w:p w14:paraId="150AD7AC">
                  <w:pPr>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5C00938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0CB8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4" w:type="dxa"/>
                  <w:vMerge w:val="continue"/>
                  <w:shd w:val="clear" w:color="auto" w:fill="FFFFFF"/>
                  <w:noWrap/>
                  <w:tcMar>
                    <w:top w:w="15" w:type="dxa"/>
                    <w:left w:w="15" w:type="dxa"/>
                    <w:bottom w:w="0" w:type="dxa"/>
                    <w:right w:w="15" w:type="dxa"/>
                  </w:tcMar>
                  <w:vAlign w:val="center"/>
                </w:tcPr>
                <w:p w14:paraId="4293441A">
                  <w:pPr>
                    <w:jc w:val="center"/>
                    <w:rPr>
                      <w:color w:val="000000" w:themeColor="text1"/>
                      <w:szCs w:val="21"/>
                      <w14:textFill>
                        <w14:solidFill>
                          <w14:schemeClr w14:val="tx1"/>
                        </w14:solidFill>
                      </w14:textFill>
                    </w:rPr>
                  </w:pPr>
                </w:p>
              </w:tc>
              <w:tc>
                <w:tcPr>
                  <w:tcW w:w="484" w:type="dxa"/>
                  <w:vMerge w:val="continue"/>
                  <w:shd w:val="clear" w:color="auto" w:fill="FFFFFF"/>
                  <w:noWrap/>
                  <w:tcMar>
                    <w:top w:w="15" w:type="dxa"/>
                    <w:left w:w="15" w:type="dxa"/>
                    <w:bottom w:w="0" w:type="dxa"/>
                    <w:right w:w="15" w:type="dxa"/>
                  </w:tcMar>
                  <w:vAlign w:val="center"/>
                </w:tcPr>
                <w:p w14:paraId="26A8608E">
                  <w:pPr>
                    <w:jc w:val="center"/>
                    <w:rPr>
                      <w:color w:val="000000" w:themeColor="text1"/>
                      <w:szCs w:val="21"/>
                      <w14:textFill>
                        <w14:solidFill>
                          <w14:schemeClr w14:val="tx1"/>
                        </w14:solidFill>
                      </w14:textFill>
                    </w:rPr>
                  </w:pPr>
                </w:p>
              </w:tc>
              <w:tc>
                <w:tcPr>
                  <w:tcW w:w="1135" w:type="dxa"/>
                  <w:shd w:val="clear" w:color="auto" w:fill="FFFFFF"/>
                  <w:vAlign w:val="center"/>
                </w:tcPr>
                <w:p w14:paraId="248CE986">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安全利用类农用地管控要求</w:t>
                  </w:r>
                </w:p>
              </w:tc>
              <w:tc>
                <w:tcPr>
                  <w:tcW w:w="3076" w:type="dxa"/>
                  <w:shd w:val="clear" w:color="auto" w:fill="FFFFFF"/>
                  <w:vAlign w:val="center"/>
                </w:tcPr>
                <w:p w14:paraId="4CE78D86">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安全利用类农用地，应制定农用地等安全利用方案，降低农产品超标风险</w:t>
                  </w:r>
                </w:p>
              </w:tc>
              <w:tc>
                <w:tcPr>
                  <w:tcW w:w="2127" w:type="dxa"/>
                  <w:shd w:val="clear" w:color="auto" w:fill="FFFFFF"/>
                  <w:tcMar>
                    <w:top w:w="15" w:type="dxa"/>
                    <w:left w:w="15" w:type="dxa"/>
                    <w:bottom w:w="0" w:type="dxa"/>
                    <w:right w:w="15" w:type="dxa"/>
                  </w:tcMar>
                  <w:vAlign w:val="center"/>
                </w:tcPr>
                <w:p w14:paraId="6A2D3155">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不涉及</w:t>
                  </w:r>
                </w:p>
              </w:tc>
              <w:tc>
                <w:tcPr>
                  <w:tcW w:w="683" w:type="dxa"/>
                  <w:shd w:val="clear" w:color="auto" w:fill="FFFFFF"/>
                  <w:tcMar>
                    <w:top w:w="15" w:type="dxa"/>
                    <w:left w:w="15" w:type="dxa"/>
                    <w:bottom w:w="0" w:type="dxa"/>
                    <w:right w:w="15" w:type="dxa"/>
                  </w:tcMar>
                  <w:vAlign w:val="center"/>
                </w:tcPr>
                <w:p w14:paraId="62CA7A0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2292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4" w:type="dxa"/>
                  <w:vMerge w:val="continue"/>
                  <w:shd w:val="clear" w:color="auto" w:fill="FFFFFF"/>
                  <w:noWrap/>
                  <w:tcMar>
                    <w:top w:w="15" w:type="dxa"/>
                    <w:left w:w="15" w:type="dxa"/>
                    <w:bottom w:w="0" w:type="dxa"/>
                    <w:right w:w="15" w:type="dxa"/>
                  </w:tcMar>
                  <w:vAlign w:val="center"/>
                </w:tcPr>
                <w:p w14:paraId="2E9AF3C3">
                  <w:pPr>
                    <w:jc w:val="center"/>
                    <w:rPr>
                      <w:color w:val="000000" w:themeColor="text1"/>
                      <w:szCs w:val="21"/>
                      <w14:textFill>
                        <w14:solidFill>
                          <w14:schemeClr w14:val="tx1"/>
                        </w14:solidFill>
                      </w14:textFill>
                    </w:rPr>
                  </w:pPr>
                </w:p>
              </w:tc>
              <w:tc>
                <w:tcPr>
                  <w:tcW w:w="484" w:type="dxa"/>
                  <w:vMerge w:val="continue"/>
                  <w:shd w:val="clear" w:color="auto" w:fill="FFFFFF"/>
                  <w:noWrap/>
                  <w:tcMar>
                    <w:top w:w="15" w:type="dxa"/>
                    <w:left w:w="15" w:type="dxa"/>
                    <w:bottom w:w="0" w:type="dxa"/>
                    <w:right w:w="15" w:type="dxa"/>
                  </w:tcMar>
                  <w:vAlign w:val="center"/>
                </w:tcPr>
                <w:p w14:paraId="09864A9F">
                  <w:pPr>
                    <w:jc w:val="center"/>
                    <w:rPr>
                      <w:color w:val="000000" w:themeColor="text1"/>
                      <w:szCs w:val="21"/>
                      <w14:textFill>
                        <w14:solidFill>
                          <w14:schemeClr w14:val="tx1"/>
                        </w14:solidFill>
                      </w14:textFill>
                    </w:rPr>
                  </w:pPr>
                </w:p>
              </w:tc>
              <w:tc>
                <w:tcPr>
                  <w:tcW w:w="1135" w:type="dxa"/>
                  <w:shd w:val="clear" w:color="auto" w:fill="FFFFFF"/>
                  <w:vAlign w:val="center"/>
                </w:tcPr>
                <w:p w14:paraId="7FE973E0">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污染地块管控要求</w:t>
                  </w:r>
                </w:p>
              </w:tc>
              <w:tc>
                <w:tcPr>
                  <w:tcW w:w="3076" w:type="dxa"/>
                  <w:shd w:val="clear" w:color="auto" w:fill="FFFFFF"/>
                  <w:vAlign w:val="center"/>
                </w:tcPr>
                <w:p w14:paraId="3A0F4878">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tcMar>
                    <w:top w:w="15" w:type="dxa"/>
                    <w:left w:w="15" w:type="dxa"/>
                    <w:bottom w:w="0" w:type="dxa"/>
                    <w:right w:w="15" w:type="dxa"/>
                  </w:tcMar>
                  <w:vAlign w:val="center"/>
                </w:tcPr>
                <w:p w14:paraId="775BF33D">
                  <w:pPr>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1D8F6E9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2E24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4" w:type="dxa"/>
                  <w:vMerge w:val="continue"/>
                  <w:shd w:val="clear" w:color="auto" w:fill="FFFFFF"/>
                  <w:noWrap/>
                  <w:tcMar>
                    <w:top w:w="15" w:type="dxa"/>
                    <w:left w:w="15" w:type="dxa"/>
                    <w:bottom w:w="0" w:type="dxa"/>
                    <w:right w:w="15" w:type="dxa"/>
                  </w:tcMar>
                  <w:vAlign w:val="center"/>
                </w:tcPr>
                <w:p w14:paraId="5EF00AEF">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39E048EB">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园区环境风险防控要求</w:t>
                  </w:r>
                </w:p>
              </w:tc>
              <w:tc>
                <w:tcPr>
                  <w:tcW w:w="3076" w:type="dxa"/>
                  <w:shd w:val="clear" w:color="auto" w:fill="FFFFFF"/>
                  <w:vAlign w:val="center"/>
                </w:tcPr>
                <w:p w14:paraId="6C5A2DE5">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tcMar>
                    <w:top w:w="15" w:type="dxa"/>
                    <w:left w:w="15" w:type="dxa"/>
                    <w:bottom w:w="0" w:type="dxa"/>
                    <w:right w:w="15" w:type="dxa"/>
                  </w:tcMar>
                  <w:vAlign w:val="center"/>
                </w:tcPr>
                <w:p w14:paraId="5A9F91D1">
                  <w:pPr>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36A9E0D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30606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4" w:type="dxa"/>
                  <w:vMerge w:val="continue"/>
                  <w:shd w:val="clear" w:color="auto" w:fill="FFFFFF"/>
                  <w:noWrap/>
                  <w:tcMar>
                    <w:top w:w="15" w:type="dxa"/>
                    <w:left w:w="15" w:type="dxa"/>
                    <w:bottom w:w="0" w:type="dxa"/>
                    <w:right w:w="15" w:type="dxa"/>
                  </w:tcMar>
                  <w:vAlign w:val="center"/>
                </w:tcPr>
                <w:p w14:paraId="3A291EF5">
                  <w:pPr>
                    <w:jc w:val="center"/>
                    <w:rPr>
                      <w:color w:val="000000" w:themeColor="text1"/>
                      <w:szCs w:val="21"/>
                      <w14:textFill>
                        <w14:solidFill>
                          <w14:schemeClr w14:val="tx1"/>
                        </w14:solidFill>
                      </w14:textFill>
                    </w:rPr>
                  </w:pPr>
                </w:p>
              </w:tc>
              <w:tc>
                <w:tcPr>
                  <w:tcW w:w="1619" w:type="dxa"/>
                  <w:gridSpan w:val="2"/>
                  <w:shd w:val="clear" w:color="auto" w:fill="FFFFFF"/>
                  <w:noWrap/>
                  <w:tcMar>
                    <w:top w:w="15" w:type="dxa"/>
                    <w:left w:w="15" w:type="dxa"/>
                    <w:bottom w:w="0" w:type="dxa"/>
                    <w:right w:w="15" w:type="dxa"/>
                  </w:tcMar>
                  <w:vAlign w:val="center"/>
                </w:tcPr>
                <w:p w14:paraId="56956D53">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企业环境风险防控要求</w:t>
                  </w:r>
                </w:p>
              </w:tc>
              <w:tc>
                <w:tcPr>
                  <w:tcW w:w="3076" w:type="dxa"/>
                  <w:shd w:val="clear" w:color="auto" w:fill="FFFFFF"/>
                  <w:vAlign w:val="center"/>
                </w:tcPr>
                <w:p w14:paraId="3D8FFE91">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tcMar>
                    <w:top w:w="15" w:type="dxa"/>
                    <w:left w:w="15" w:type="dxa"/>
                    <w:bottom w:w="0" w:type="dxa"/>
                    <w:right w:w="15" w:type="dxa"/>
                  </w:tcMar>
                  <w:vAlign w:val="center"/>
                </w:tcPr>
                <w:p w14:paraId="5825CC5A">
                  <w:pPr>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3D1D841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C1F8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24" w:type="dxa"/>
                  <w:vMerge w:val="restart"/>
                  <w:vAlign w:val="center"/>
                </w:tcPr>
                <w:p w14:paraId="7D1669D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资源利用效率要求</w:t>
                  </w:r>
                </w:p>
              </w:tc>
              <w:tc>
                <w:tcPr>
                  <w:tcW w:w="1619" w:type="dxa"/>
                  <w:gridSpan w:val="2"/>
                  <w:vAlign w:val="center"/>
                </w:tcPr>
                <w:p w14:paraId="5FE7CFB9">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水资源利用总量要求</w:t>
                  </w:r>
                </w:p>
              </w:tc>
              <w:tc>
                <w:tcPr>
                  <w:tcW w:w="3076" w:type="dxa"/>
                  <w:shd w:val="clear" w:color="auto" w:fill="FFFFFF"/>
                  <w:tcMar>
                    <w:top w:w="15" w:type="dxa"/>
                    <w:left w:w="15" w:type="dxa"/>
                    <w:bottom w:w="0" w:type="dxa"/>
                    <w:right w:w="15" w:type="dxa"/>
                  </w:tcMar>
                  <w:vAlign w:val="center"/>
                </w:tcPr>
                <w:p w14:paraId="5B18CC0A">
                  <w:pPr>
                    <w:widowControl/>
                    <w:spacing w:line="260" w:lineRule="exact"/>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vAlign w:val="center"/>
                </w:tcPr>
                <w:p w14:paraId="615881A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1B73FF8D">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w:t>
                  </w:r>
                </w:p>
              </w:tc>
            </w:tr>
            <w:tr w14:paraId="519A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24" w:type="dxa"/>
                  <w:vMerge w:val="continue"/>
                  <w:vAlign w:val="center"/>
                </w:tcPr>
                <w:p w14:paraId="71002003">
                  <w:pPr>
                    <w:jc w:val="center"/>
                    <w:rPr>
                      <w:color w:val="000000" w:themeColor="text1"/>
                      <w:szCs w:val="21"/>
                      <w14:textFill>
                        <w14:solidFill>
                          <w14:schemeClr w14:val="tx1"/>
                        </w14:solidFill>
                      </w14:textFill>
                    </w:rPr>
                  </w:pPr>
                </w:p>
              </w:tc>
              <w:tc>
                <w:tcPr>
                  <w:tcW w:w="1619" w:type="dxa"/>
                  <w:gridSpan w:val="2"/>
                  <w:vAlign w:val="center"/>
                </w:tcPr>
                <w:p w14:paraId="2CD906A1">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地下水开采要求</w:t>
                  </w:r>
                </w:p>
              </w:tc>
              <w:tc>
                <w:tcPr>
                  <w:tcW w:w="3076" w:type="dxa"/>
                  <w:shd w:val="clear" w:color="auto" w:fill="FFFFFF"/>
                  <w:tcMar>
                    <w:top w:w="15" w:type="dxa"/>
                    <w:left w:w="15" w:type="dxa"/>
                    <w:bottom w:w="0" w:type="dxa"/>
                    <w:right w:w="15" w:type="dxa"/>
                  </w:tcMar>
                  <w:vAlign w:val="center"/>
                </w:tcPr>
                <w:p w14:paraId="1CE02BED">
                  <w:pPr>
                    <w:widowControl/>
                    <w:spacing w:line="260" w:lineRule="exact"/>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vAlign w:val="center"/>
                </w:tcPr>
                <w:p w14:paraId="5F01E9F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677A159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756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Merge w:val="continue"/>
                  <w:vAlign w:val="center"/>
                </w:tcPr>
                <w:p w14:paraId="363768FD">
                  <w:pPr>
                    <w:jc w:val="center"/>
                    <w:rPr>
                      <w:color w:val="000000" w:themeColor="text1"/>
                      <w:szCs w:val="21"/>
                      <w14:textFill>
                        <w14:solidFill>
                          <w14:schemeClr w14:val="tx1"/>
                        </w14:solidFill>
                      </w14:textFill>
                    </w:rPr>
                  </w:pPr>
                </w:p>
              </w:tc>
              <w:tc>
                <w:tcPr>
                  <w:tcW w:w="1619" w:type="dxa"/>
                  <w:gridSpan w:val="2"/>
                  <w:vAlign w:val="center"/>
                </w:tcPr>
                <w:p w14:paraId="06C38649">
                  <w:pPr>
                    <w:widowControl/>
                    <w:tabs>
                      <w:tab w:val="left" w:pos="1925"/>
                    </w:tabs>
                    <w:adjustRightInd w:val="0"/>
                    <w:snapToGrid w:val="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能源利用总量及效率要求</w:t>
                  </w:r>
                </w:p>
              </w:tc>
              <w:tc>
                <w:tcPr>
                  <w:tcW w:w="3076" w:type="dxa"/>
                  <w:shd w:val="clear" w:color="auto" w:fill="FFFFFF"/>
                  <w:tcMar>
                    <w:top w:w="15" w:type="dxa"/>
                    <w:left w:w="15" w:type="dxa"/>
                    <w:bottom w:w="0" w:type="dxa"/>
                    <w:right w:w="15" w:type="dxa"/>
                  </w:tcMar>
                  <w:vAlign w:val="center"/>
                </w:tcPr>
                <w:p w14:paraId="16033FD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127" w:type="dxa"/>
                  <w:shd w:val="clear" w:color="auto" w:fill="FFFFFF"/>
                  <w:vAlign w:val="center"/>
                </w:tcPr>
                <w:p w14:paraId="15B5D49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83" w:type="dxa"/>
                  <w:shd w:val="clear" w:color="auto" w:fill="FFFFFF"/>
                  <w:tcMar>
                    <w:top w:w="15" w:type="dxa"/>
                    <w:left w:w="15" w:type="dxa"/>
                    <w:bottom w:w="0" w:type="dxa"/>
                    <w:right w:w="15" w:type="dxa"/>
                  </w:tcMar>
                  <w:vAlign w:val="center"/>
                </w:tcPr>
                <w:p w14:paraId="7BAA178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14:paraId="525C41BC">
            <w:pPr>
              <w:spacing w:line="360" w:lineRule="auto"/>
              <w:ind w:firstLine="482"/>
              <w:rPr>
                <w:color w:val="000000" w:themeColor="text1"/>
                <w:sz w:val="24"/>
                <w14:textFill>
                  <w14:solidFill>
                    <w14:schemeClr w14:val="tx1"/>
                  </w14:solidFill>
                </w14:textFill>
              </w:rPr>
            </w:pPr>
            <w:r>
              <w:rPr>
                <w:color w:val="000000" w:themeColor="text1"/>
                <w:sz w:val="24"/>
                <w14:textFill>
                  <w14:solidFill>
                    <w14:schemeClr w14:val="tx1"/>
                  </w14:solidFill>
                </w14:textFill>
              </w:rPr>
              <w:t>综上，本项目与《宜春市人民政府办公室关于公布宜春市生态环境分区管控成果（2023版）的通知》（宜府办发〔2024〕9号）文件要求相符。</w:t>
            </w:r>
          </w:p>
          <w:p w14:paraId="3852A276">
            <w:pPr>
              <w:spacing w:line="360" w:lineRule="auto"/>
              <w:ind w:firstLine="482" w:firstLineChars="200"/>
              <w:rPr>
                <w:b/>
                <w:color w:val="000000" w:themeColor="text1"/>
                <w:sz w:val="24"/>
                <w14:textFill>
                  <w14:solidFill>
                    <w14:schemeClr w14:val="tx1"/>
                  </w14:solidFill>
                </w14:textFill>
              </w:rPr>
            </w:pPr>
            <w:r>
              <w:rPr>
                <w:rFonts w:eastAsiaTheme="minorEastAsia"/>
                <w:b/>
                <w:bCs/>
                <w:color w:val="000000" w:themeColor="text1"/>
                <w:sz w:val="24"/>
                <w14:textFill>
                  <w14:solidFill>
                    <w14:schemeClr w14:val="tx1"/>
                  </w14:solidFill>
                </w14:textFill>
              </w:rPr>
              <w:t>四、</w:t>
            </w:r>
            <w:r>
              <w:rPr>
                <w:b/>
                <w:color w:val="000000" w:themeColor="text1"/>
                <w:sz w:val="24"/>
                <w14:textFill>
                  <w14:solidFill>
                    <w14:schemeClr w14:val="tx1"/>
                  </w14:solidFill>
                </w14:textFill>
              </w:rPr>
              <w:t>项目与《中华人民共和国长江保护法》的相符性分析</w:t>
            </w:r>
          </w:p>
          <w:p w14:paraId="552F688D">
            <w:pPr>
              <w:adjustRightInd w:val="0"/>
              <w:jc w:val="center"/>
              <w:textAlignment w:val="baseline"/>
              <w:rPr>
                <w:b/>
                <w:color w:val="000000" w:themeColor="text1"/>
                <w:kern w:val="0"/>
                <w:szCs w:val="21"/>
                <w:lang w:val="zh-CN"/>
                <w14:textFill>
                  <w14:solidFill>
                    <w14:schemeClr w14:val="tx1"/>
                  </w14:solidFill>
                </w14:textFill>
              </w:rPr>
            </w:pPr>
            <w:r>
              <w:rPr>
                <w:b/>
                <w:color w:val="000000" w:themeColor="text1"/>
                <w:kern w:val="0"/>
                <w:szCs w:val="21"/>
                <w:lang w:val="zh-CN"/>
                <w14:textFill>
                  <w14:solidFill>
                    <w14:schemeClr w14:val="tx1"/>
                  </w14:solidFill>
                </w14:textFill>
              </w:rPr>
              <w:t xml:space="preserve">表1-4  </w:t>
            </w:r>
            <w:r>
              <w:rPr>
                <w:rFonts w:hint="eastAsia"/>
                <w:b/>
                <w:color w:val="000000" w:themeColor="text1"/>
                <w:kern w:val="0"/>
                <w:szCs w:val="21"/>
                <w:lang w:val="zh-CN"/>
                <w14:textFill>
                  <w14:solidFill>
                    <w14:schemeClr w14:val="tx1"/>
                  </w14:solidFill>
                </w14:textFill>
              </w:rPr>
              <w:t>项目</w:t>
            </w:r>
            <w:r>
              <w:rPr>
                <w:b/>
                <w:color w:val="000000" w:themeColor="text1"/>
                <w:kern w:val="0"/>
                <w:szCs w:val="21"/>
                <w:lang w:val="zh-CN"/>
                <w14:textFill>
                  <w14:solidFill>
                    <w14:schemeClr w14:val="tx1"/>
                  </w14:solidFill>
                </w14:textFill>
              </w:rPr>
              <w:t>与《中华人民共和国长江保护法》相符性分析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5584"/>
              <w:gridCol w:w="1290"/>
              <w:gridCol w:w="706"/>
            </w:tblGrid>
            <w:tr w14:paraId="21EB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16CAC157">
                  <w:pPr>
                    <w:adjustRightInd w:val="0"/>
                    <w:jc w:val="center"/>
                    <w:textAlignment w:val="baseline"/>
                    <w:rPr>
                      <w:b/>
                      <w:color w:val="000000" w:themeColor="text1"/>
                      <w:kern w:val="0"/>
                      <w:szCs w:val="21"/>
                      <w:lang w:val="zh-CN"/>
                      <w14:textFill>
                        <w14:solidFill>
                          <w14:schemeClr w14:val="tx1"/>
                        </w14:solidFill>
                      </w14:textFill>
                    </w:rPr>
                  </w:pPr>
                  <w:r>
                    <w:rPr>
                      <w:b/>
                      <w:color w:val="000000" w:themeColor="text1"/>
                      <w:kern w:val="0"/>
                      <w:szCs w:val="21"/>
                      <w:lang w:val="zh-CN"/>
                      <w14:textFill>
                        <w14:solidFill>
                          <w14:schemeClr w14:val="tx1"/>
                        </w14:solidFill>
                      </w14:textFill>
                    </w:rPr>
                    <w:t>序号</w:t>
                  </w:r>
                </w:p>
              </w:tc>
              <w:tc>
                <w:tcPr>
                  <w:tcW w:w="3370" w:type="pct"/>
                  <w:vAlign w:val="center"/>
                </w:tcPr>
                <w:p w14:paraId="7B67F175">
                  <w:pPr>
                    <w:adjustRightInd w:val="0"/>
                    <w:jc w:val="center"/>
                    <w:textAlignment w:val="baseline"/>
                    <w:rPr>
                      <w:b/>
                      <w:color w:val="000000" w:themeColor="text1"/>
                      <w:kern w:val="0"/>
                      <w:szCs w:val="21"/>
                      <w:lang w:val="zh-CN"/>
                      <w14:textFill>
                        <w14:solidFill>
                          <w14:schemeClr w14:val="tx1"/>
                        </w14:solidFill>
                      </w14:textFill>
                    </w:rPr>
                  </w:pPr>
                  <w:r>
                    <w:rPr>
                      <w:b/>
                      <w:color w:val="000000" w:themeColor="text1"/>
                      <w:kern w:val="0"/>
                      <w:szCs w:val="21"/>
                      <w:lang w:val="zh-CN"/>
                      <w14:textFill>
                        <w14:solidFill>
                          <w14:schemeClr w14:val="tx1"/>
                        </w14:solidFill>
                      </w14:textFill>
                    </w:rPr>
                    <w:t>具体内容</w:t>
                  </w:r>
                </w:p>
              </w:tc>
              <w:tc>
                <w:tcPr>
                  <w:tcW w:w="779" w:type="pct"/>
                  <w:vAlign w:val="center"/>
                </w:tcPr>
                <w:p w14:paraId="5DA700F3">
                  <w:pPr>
                    <w:adjustRightInd w:val="0"/>
                    <w:jc w:val="center"/>
                    <w:textAlignment w:val="baseline"/>
                    <w:rPr>
                      <w:b/>
                      <w:color w:val="000000" w:themeColor="text1"/>
                      <w:kern w:val="0"/>
                      <w:szCs w:val="21"/>
                      <w:lang w:val="zh-CN"/>
                      <w14:textFill>
                        <w14:solidFill>
                          <w14:schemeClr w14:val="tx1"/>
                        </w14:solidFill>
                      </w14:textFill>
                    </w:rPr>
                  </w:pPr>
                  <w:r>
                    <w:rPr>
                      <w:b/>
                      <w:color w:val="000000" w:themeColor="text1"/>
                      <w:kern w:val="0"/>
                      <w:szCs w:val="21"/>
                      <w:lang w:val="zh-CN"/>
                      <w14:textFill>
                        <w14:solidFill>
                          <w14:schemeClr w14:val="tx1"/>
                        </w14:solidFill>
                      </w14:textFill>
                    </w:rPr>
                    <w:t>本项目情况</w:t>
                  </w:r>
                </w:p>
              </w:tc>
              <w:tc>
                <w:tcPr>
                  <w:tcW w:w="426" w:type="pct"/>
                  <w:vAlign w:val="center"/>
                </w:tcPr>
                <w:p w14:paraId="6ADC5666">
                  <w:pPr>
                    <w:adjustRightInd w:val="0"/>
                    <w:jc w:val="center"/>
                    <w:textAlignment w:val="baseline"/>
                    <w:rPr>
                      <w:b/>
                      <w:color w:val="000000" w:themeColor="text1"/>
                      <w:kern w:val="0"/>
                      <w:szCs w:val="21"/>
                      <w:lang w:val="zh-CN"/>
                      <w14:textFill>
                        <w14:solidFill>
                          <w14:schemeClr w14:val="tx1"/>
                        </w14:solidFill>
                      </w14:textFill>
                    </w:rPr>
                  </w:pPr>
                  <w:r>
                    <w:rPr>
                      <w:b/>
                      <w:color w:val="000000" w:themeColor="text1"/>
                      <w:kern w:val="0"/>
                      <w:szCs w:val="21"/>
                      <w:lang w:val="zh-CN"/>
                      <w14:textFill>
                        <w14:solidFill>
                          <w14:schemeClr w14:val="tx1"/>
                        </w14:solidFill>
                      </w14:textFill>
                    </w:rPr>
                    <w:t>相符性</w:t>
                  </w:r>
                </w:p>
              </w:tc>
            </w:tr>
            <w:tr w14:paraId="3B4C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5E8F1BE6">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w:t>
                  </w:r>
                </w:p>
              </w:tc>
              <w:tc>
                <w:tcPr>
                  <w:tcW w:w="3370" w:type="pct"/>
                  <w:vAlign w:val="center"/>
                </w:tcPr>
                <w:p w14:paraId="332E3167">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第三条 长江流域经济社会发展，应当坚持生态优先、绿色发展，共抓大保护、不搞大开发；长江保护应当坚持统筹协调、科学规划、创新驱动、系统治理。</w:t>
                  </w:r>
                </w:p>
              </w:tc>
              <w:tc>
                <w:tcPr>
                  <w:tcW w:w="779" w:type="pct"/>
                  <w:vAlign w:val="center"/>
                </w:tcPr>
                <w:p w14:paraId="0E2A1702">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按要求执行</w:t>
                  </w:r>
                </w:p>
              </w:tc>
              <w:tc>
                <w:tcPr>
                  <w:tcW w:w="426" w:type="pct"/>
                  <w:vAlign w:val="center"/>
                </w:tcPr>
                <w:p w14:paraId="7FC1725A">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3E8A1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0FC45CFF">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14:textFill>
                        <w14:solidFill>
                          <w14:schemeClr w14:val="tx1"/>
                        </w14:solidFill>
                      </w14:textFill>
                    </w:rPr>
                    <w:t>2</w:t>
                  </w:r>
                </w:p>
              </w:tc>
              <w:tc>
                <w:tcPr>
                  <w:tcW w:w="3370" w:type="pct"/>
                  <w:vAlign w:val="center"/>
                </w:tcPr>
                <w:p w14:paraId="7B305223">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第二十条 国家对长江流域国土空间实施用途管制。长江流域县级以上地方人民政府自然资源主管部门依照国土空间规划，对所辖长江流域国土空间实施分区、分类用途管制。</w:t>
                  </w:r>
                </w:p>
                <w:p w14:paraId="07CC0F11">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长江流域国土空间开发利用活动应当符合国土空间用途管制要求，并依法取得规划许可。对不符合国土空间用途管制要求的，县级以上人民政府自然资源主管部门不得办理规划许可。</w:t>
                  </w:r>
                </w:p>
              </w:tc>
              <w:tc>
                <w:tcPr>
                  <w:tcW w:w="779" w:type="pct"/>
                  <w:vAlign w:val="center"/>
                </w:tcPr>
                <w:p w14:paraId="3A6AA684">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本项目符合国土空间规划</w:t>
                  </w:r>
                </w:p>
              </w:tc>
              <w:tc>
                <w:tcPr>
                  <w:tcW w:w="426" w:type="pct"/>
                  <w:vAlign w:val="center"/>
                </w:tcPr>
                <w:p w14:paraId="2882D74B">
                  <w:pPr>
                    <w:jc w:val="center"/>
                    <w:rPr>
                      <w:color w:val="000000" w:themeColor="text1"/>
                      <w:szCs w:val="2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36A05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532F7003">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3</w:t>
                  </w:r>
                </w:p>
              </w:tc>
              <w:tc>
                <w:tcPr>
                  <w:tcW w:w="3370" w:type="pct"/>
                  <w:vAlign w:val="center"/>
                </w:tcPr>
                <w:p w14:paraId="5DE91042">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第二十一条 国务院水行政主管部门统筹长江流域水资源合理配置、统一调度和高效利用，组织实施取用水总量控制和消耗强度控制管理制度。</w:t>
                  </w:r>
                </w:p>
                <w:p w14:paraId="5121A6C4">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国务院生态环境主管部门根据水环境质量改善目标和水污染防治要求，确定长江流域各省级行政区域重点污染物排放总量控制指标。长江流域水质超标的水功能区，应当实施更严格的污染物排放总量削减要求。企业事业单位应当按照要求，采取污染物排放总量控制措施。</w:t>
                  </w:r>
                </w:p>
                <w:p w14:paraId="13079189">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国务院自然资源主管部门负责统筹长江流域新增建设用地总量控制和计划安排。</w:t>
                  </w:r>
                </w:p>
              </w:tc>
              <w:tc>
                <w:tcPr>
                  <w:tcW w:w="779" w:type="pct"/>
                  <w:vAlign w:val="center"/>
                </w:tcPr>
                <w:p w14:paraId="2466F090">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按要求执行</w:t>
                  </w:r>
                </w:p>
              </w:tc>
              <w:tc>
                <w:tcPr>
                  <w:tcW w:w="426" w:type="pct"/>
                  <w:vAlign w:val="center"/>
                </w:tcPr>
                <w:p w14:paraId="1C279C35">
                  <w:pPr>
                    <w:jc w:val="center"/>
                    <w:rPr>
                      <w:color w:val="000000" w:themeColor="text1"/>
                      <w:szCs w:val="2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15E69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3FA4C357">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4</w:t>
                  </w:r>
                </w:p>
              </w:tc>
              <w:tc>
                <w:tcPr>
                  <w:tcW w:w="3370" w:type="pct"/>
                  <w:vAlign w:val="center"/>
                </w:tcPr>
                <w:p w14:paraId="2EE6A517">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第二十二条 长江流域省级人民政府根据本行政区域的生态环境和资源利用状况，制定生态环境分区管控方案和生态环境准入清单，报国务院生态环境主管部门备案后实施。生态环境分区管控方案和生态环境准入清单应当与国土空间规划相衔接。</w:t>
                  </w:r>
                </w:p>
                <w:p w14:paraId="61583DF1">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长江流域产业结构和布局应当与长江流域生态系统和资源环境承载能力相适应。禁止在长江流域重点生态功能区布局对生态系统有严重影响的产业。禁止重污染企业和项目向长江中上游转移。</w:t>
                  </w:r>
                </w:p>
              </w:tc>
              <w:tc>
                <w:tcPr>
                  <w:tcW w:w="779" w:type="pct"/>
                  <w:vAlign w:val="center"/>
                </w:tcPr>
                <w:p w14:paraId="114D378C">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本项目不属于对生态系统有严重影响的产业，也不属于高污染项目</w:t>
                  </w:r>
                </w:p>
              </w:tc>
              <w:tc>
                <w:tcPr>
                  <w:tcW w:w="426" w:type="pct"/>
                  <w:vAlign w:val="center"/>
                </w:tcPr>
                <w:p w14:paraId="5A58A609">
                  <w:pPr>
                    <w:jc w:val="center"/>
                    <w:rPr>
                      <w:color w:val="000000" w:themeColor="text1"/>
                      <w:szCs w:val="2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622E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4B85CC35">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5</w:t>
                  </w:r>
                </w:p>
              </w:tc>
              <w:tc>
                <w:tcPr>
                  <w:tcW w:w="3370" w:type="pct"/>
                  <w:vAlign w:val="center"/>
                </w:tcPr>
                <w:p w14:paraId="66F7F15B">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第二十五条 国务院水行政主管部门加强长江流域河道、湖泊保护工作。长江流域县级以上地方人民政府负责划定河道、湖泊管理范围，并向社会公告，实行严格的河湖保护，禁止非法侵占河湖水域。</w:t>
                  </w:r>
                </w:p>
              </w:tc>
              <w:tc>
                <w:tcPr>
                  <w:tcW w:w="779" w:type="pct"/>
                  <w:vAlign w:val="center"/>
                </w:tcPr>
                <w:p w14:paraId="50F323AC">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本项目不侵占河湖水域</w:t>
                  </w:r>
                </w:p>
              </w:tc>
              <w:tc>
                <w:tcPr>
                  <w:tcW w:w="426" w:type="pct"/>
                  <w:vAlign w:val="center"/>
                </w:tcPr>
                <w:p w14:paraId="1AAC61BE">
                  <w:pPr>
                    <w:jc w:val="center"/>
                    <w:rPr>
                      <w:color w:val="000000" w:themeColor="text1"/>
                      <w:szCs w:val="2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41677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29C5E2D8">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6</w:t>
                  </w:r>
                </w:p>
              </w:tc>
              <w:tc>
                <w:tcPr>
                  <w:tcW w:w="3370" w:type="pct"/>
                  <w:vAlign w:val="center"/>
                </w:tcPr>
                <w:p w14:paraId="279C5468">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14:paraId="335EEEC0">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禁止在长江干支流岸线一公里范围内新建、扩建化工园区和化工项目。</w:t>
                  </w:r>
                </w:p>
                <w:p w14:paraId="5BFA14D7">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禁止在长江干流岸线三公里范围内和重要支流岸线一公里范围内新建、改建、扩建尾矿库；但是以提升安全、生态环境保护水平为目的的改建除外。</w:t>
                  </w:r>
                </w:p>
              </w:tc>
              <w:tc>
                <w:tcPr>
                  <w:tcW w:w="779" w:type="pct"/>
                  <w:vAlign w:val="center"/>
                </w:tcPr>
                <w:p w14:paraId="23FE54D3">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本项目不属于化工园区和化工项目，也不属于尾矿库</w:t>
                  </w:r>
                </w:p>
              </w:tc>
              <w:tc>
                <w:tcPr>
                  <w:tcW w:w="426" w:type="pct"/>
                  <w:vAlign w:val="center"/>
                </w:tcPr>
                <w:p w14:paraId="6F08D886">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29848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3A474670">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7</w:t>
                  </w:r>
                </w:p>
              </w:tc>
              <w:tc>
                <w:tcPr>
                  <w:tcW w:w="3370" w:type="pct"/>
                  <w:vAlign w:val="center"/>
                </w:tcPr>
                <w:p w14:paraId="5B65F879">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第二十八条 国家建立长江流域河道采砂规划和许可制度。长江流域河道采砂应当依法取得国务院水行政主管部门有关流域管理机构或者县级以上地方人民政府水行政主管部门的许可。</w:t>
                  </w:r>
                </w:p>
                <w:p w14:paraId="71FA263A">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国务院水行政主管部门有关流域管理机构和长江流域县级以上地方人民政府依法划定禁止采砂区和禁止采砂期，严格控制采砂区域、采砂总量和采砂区域内的采砂船舶数量。禁止在长江流域禁止采砂区和禁止采砂期从事采砂活动。</w:t>
                  </w:r>
                </w:p>
                <w:p w14:paraId="24996AF8">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国务院水行政主管部门会同国务院有关部门组织长江流域有关地方人民政府及其有关部门开展长江流域河道非法采砂联合执法工作。</w:t>
                  </w:r>
                </w:p>
              </w:tc>
              <w:tc>
                <w:tcPr>
                  <w:tcW w:w="779" w:type="pct"/>
                  <w:vAlign w:val="center"/>
                </w:tcPr>
                <w:p w14:paraId="2CA97526">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本项目不涉及河道采砂</w:t>
                  </w:r>
                </w:p>
              </w:tc>
              <w:tc>
                <w:tcPr>
                  <w:tcW w:w="426" w:type="pct"/>
                  <w:vAlign w:val="center"/>
                </w:tcPr>
                <w:p w14:paraId="7C001076">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6B967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5B5663EC">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8</w:t>
                  </w:r>
                </w:p>
              </w:tc>
              <w:tc>
                <w:tcPr>
                  <w:tcW w:w="3370" w:type="pct"/>
                  <w:vAlign w:val="center"/>
                </w:tcPr>
                <w:p w14:paraId="1C443D09">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第四十四条 国务院生态环境主管部门负责制定长江流域水环境质量标准，对国家水环境质量标准中未作规定的项目可以补充规定；对国家水环境质量标准中已经规定的项目，可以作出更加严格的规定。制定长江流域水环境质量标准应当征求国务院有关部门和有关省级人民政府的意见。长江流域省级人民政府可制定严于长江流域水环境质量标准的地方水环境质量标准，报国务院生态环境主管部门备案。</w:t>
                  </w:r>
                </w:p>
              </w:tc>
              <w:tc>
                <w:tcPr>
                  <w:tcW w:w="779" w:type="pct"/>
                  <w:vAlign w:val="center"/>
                </w:tcPr>
                <w:p w14:paraId="00E6561E">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按要求执行</w:t>
                  </w:r>
                </w:p>
              </w:tc>
              <w:tc>
                <w:tcPr>
                  <w:tcW w:w="426" w:type="pct"/>
                  <w:vAlign w:val="center"/>
                </w:tcPr>
                <w:p w14:paraId="1F827A31">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0350A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05DDE36E">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9</w:t>
                  </w:r>
                </w:p>
              </w:tc>
              <w:tc>
                <w:tcPr>
                  <w:tcW w:w="3370" w:type="pct"/>
                  <w:vAlign w:val="center"/>
                </w:tcPr>
                <w:p w14:paraId="2C6AB43A">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第四十五条 长江流域省级人民政府应当对没有国家水污染物排放标准的特色产业、特有污染物，或者国家有明确要求的特定水污染源或者水污染物，补充制定地方水污染物排放标准，报国务院生态环境主管部门备案。</w:t>
                  </w:r>
                </w:p>
                <w:p w14:paraId="1490D091">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有下列情形之一的，长江流域省级人民政府应当制定严于国家水污染物排放标准的地方水污染物排放标准，报国务院生态环境主管部门备案：</w:t>
                  </w:r>
                </w:p>
                <w:p w14:paraId="129E06B2">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（一）产业密集、水环境问题突出的；</w:t>
                  </w:r>
                </w:p>
                <w:p w14:paraId="5373A119">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（二）现有水污染物排放标准不能满足所辖长江流域水环境质量要求的；</w:t>
                  </w:r>
                </w:p>
                <w:p w14:paraId="15F80C09">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（三）流域或者区域水环境形势复杂，无法适用统一的污染物排放标准的。</w:t>
                  </w:r>
                </w:p>
              </w:tc>
              <w:tc>
                <w:tcPr>
                  <w:tcW w:w="779" w:type="pct"/>
                  <w:vAlign w:val="center"/>
                </w:tcPr>
                <w:p w14:paraId="67F2617A">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按要求执行</w:t>
                  </w:r>
                </w:p>
              </w:tc>
              <w:tc>
                <w:tcPr>
                  <w:tcW w:w="426" w:type="pct"/>
                  <w:vAlign w:val="center"/>
                </w:tcPr>
                <w:p w14:paraId="5892659A">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1A97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49411BA9">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10</w:t>
                  </w:r>
                </w:p>
              </w:tc>
              <w:tc>
                <w:tcPr>
                  <w:tcW w:w="3370" w:type="pct"/>
                  <w:vAlign w:val="center"/>
                </w:tcPr>
                <w:p w14:paraId="61CF10D7">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第四十六条 长江流域省级人民政府制定本行政区域的总磷污染控制方案，并组织实施。对磷矿、磷肥生产集中的长江干支流，有关省级人民政府应当制定更加严格的总磷排放管控要求，有效控制总磷排放总量。</w:t>
                  </w:r>
                </w:p>
                <w:p w14:paraId="5FC5EEE8">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磷矿开采加工、磷肥和含磷农药制造等企业，应当按照排污许可要求，采取有效措施控制总磷排放浓度和排放总量；对排污口和周边环境进行总磷监测，依法公开监测信息。</w:t>
                  </w:r>
                </w:p>
              </w:tc>
              <w:tc>
                <w:tcPr>
                  <w:tcW w:w="779" w:type="pct"/>
                  <w:vAlign w:val="center"/>
                </w:tcPr>
                <w:p w14:paraId="476B1C36">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按要求执行</w:t>
                  </w:r>
                </w:p>
              </w:tc>
              <w:tc>
                <w:tcPr>
                  <w:tcW w:w="426" w:type="pct"/>
                  <w:vAlign w:val="center"/>
                </w:tcPr>
                <w:p w14:paraId="73262CF7">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18BD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50BBAE2E">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11</w:t>
                  </w:r>
                </w:p>
              </w:tc>
              <w:tc>
                <w:tcPr>
                  <w:tcW w:w="3370" w:type="pct"/>
                  <w:vAlign w:val="center"/>
                </w:tcPr>
                <w:p w14:paraId="4B15F0BA">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第四十七条 长江流域县级以上地方人民政府应当统筹长江流域城乡污水集中处理设施及配套管网建设，并保障其正常运行，提高城乡污水收集处理能力。</w:t>
                  </w:r>
                </w:p>
                <w:p w14:paraId="23C0FD7E">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长江流域县级以上地方人民政府应当组织对本行政区域的江河、湖泊排污口开展排查整治，明确责任主体，实施分类管理。</w:t>
                  </w:r>
                </w:p>
                <w:p w14:paraId="3DC99028">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在长江流域江河、湖泊新设、改设或者扩大排污口，应当按照国家有关规定报经有管辖权的生态环境主管部门或者长江流域生态环境监督管理机构同意。对未达到水质目标的水功能区除污水集中处理设施排污口外，应当严格控制新设、改设或者扩大排污口。</w:t>
                  </w:r>
                </w:p>
              </w:tc>
              <w:tc>
                <w:tcPr>
                  <w:tcW w:w="779" w:type="pct"/>
                  <w:vAlign w:val="center"/>
                </w:tcPr>
                <w:p w14:paraId="78AC3003">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本项目不在长江流域、湖泊新设、改设或者扩大排污口</w:t>
                  </w:r>
                </w:p>
              </w:tc>
              <w:tc>
                <w:tcPr>
                  <w:tcW w:w="426" w:type="pct"/>
                  <w:vAlign w:val="center"/>
                </w:tcPr>
                <w:p w14:paraId="00BAC8FF">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20A90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3BC93224">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12</w:t>
                  </w:r>
                </w:p>
              </w:tc>
              <w:tc>
                <w:tcPr>
                  <w:tcW w:w="3370" w:type="pct"/>
                  <w:vAlign w:val="center"/>
                </w:tcPr>
                <w:p w14:paraId="30955866">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第四十八条 国家加强长江流域农业面源污染防治。长江流域农业生产应当科学使用农业投入品，减少化肥、农药施用，推广有机肥使用，科学处置农用薄膜、农作物秸秆等农业废弃物。</w:t>
                  </w:r>
                </w:p>
              </w:tc>
              <w:tc>
                <w:tcPr>
                  <w:tcW w:w="779" w:type="pct"/>
                  <w:vAlign w:val="center"/>
                </w:tcPr>
                <w:p w14:paraId="6C6CFD98">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本项目不涉及农业面源污染</w:t>
                  </w:r>
                </w:p>
              </w:tc>
              <w:tc>
                <w:tcPr>
                  <w:tcW w:w="426" w:type="pct"/>
                  <w:vAlign w:val="center"/>
                </w:tcPr>
                <w:p w14:paraId="2C49A76E">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2D253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0E850AAA">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13</w:t>
                  </w:r>
                </w:p>
              </w:tc>
              <w:tc>
                <w:tcPr>
                  <w:tcW w:w="3370" w:type="pct"/>
                  <w:vAlign w:val="center"/>
                </w:tcPr>
                <w:p w14:paraId="20F6DF45">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第四十九条 禁止在长江流域河湖管理范围内倾倒、填埋、堆放、弃置、处理固体废物。长江流域县级以上地方人民政府应当加强对固体废物非法转移和倾倒的联防联控。</w:t>
                  </w:r>
                </w:p>
              </w:tc>
              <w:tc>
                <w:tcPr>
                  <w:tcW w:w="779" w:type="pct"/>
                  <w:vAlign w:val="center"/>
                </w:tcPr>
                <w:p w14:paraId="39E026CB">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本项目不向长江流域倾倒、填埋、堆放、弃置、处理固体废物</w:t>
                  </w:r>
                </w:p>
              </w:tc>
              <w:tc>
                <w:tcPr>
                  <w:tcW w:w="426" w:type="pct"/>
                  <w:vAlign w:val="center"/>
                </w:tcPr>
                <w:p w14:paraId="673D1395">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15A1D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0728ABA7">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14</w:t>
                  </w:r>
                </w:p>
              </w:tc>
              <w:tc>
                <w:tcPr>
                  <w:tcW w:w="3370" w:type="pct"/>
                  <w:vAlign w:val="center"/>
                </w:tcPr>
                <w:p w14:paraId="3E4DCD88">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第五十条 长江流域县级以上地方人民政府应当组织对沿河湖垃圾填埋场、加油站、矿山、尾矿库、危险废物处置场、化工园区和化工项目等地下水重点污染源及周边地下水环境风险隐患开展调查评估，并采取相应风险防范和整治措施。</w:t>
                  </w:r>
                </w:p>
              </w:tc>
              <w:tc>
                <w:tcPr>
                  <w:tcW w:w="779" w:type="pct"/>
                  <w:vAlign w:val="center"/>
                </w:tcPr>
                <w:p w14:paraId="49D2A629">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本项目采取地下水环境相应风险防范和整治措施</w:t>
                  </w:r>
                </w:p>
              </w:tc>
              <w:tc>
                <w:tcPr>
                  <w:tcW w:w="426" w:type="pct"/>
                  <w:vAlign w:val="center"/>
                </w:tcPr>
                <w:p w14:paraId="313D3EE0">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r w14:paraId="0D9DD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Align w:val="center"/>
                </w:tcPr>
                <w:p w14:paraId="7BFE12B5">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15</w:t>
                  </w:r>
                </w:p>
              </w:tc>
              <w:tc>
                <w:tcPr>
                  <w:tcW w:w="3370" w:type="pct"/>
                  <w:vAlign w:val="center"/>
                </w:tcPr>
                <w:p w14:paraId="5D20A5C2">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第五十一条 国家建立长江流域危险货物运输船舶污染责任保险与财务担保相结合机制。具体办法由国务院交通运输主管部门会同国务院有关部门制定。</w:t>
                  </w:r>
                </w:p>
                <w:p w14:paraId="4883F4FE">
                  <w:pPr>
                    <w:adjustRightInd w:val="0"/>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禁止在长江流域水上运输剧毒化学品和国家规定禁止通过内河运输其他危险化学品。长江流域县级以上地方人民政府交通运输主管部门会同本级人民政府有关部门加强对长江流域危险化学品运输的管控。</w:t>
                  </w:r>
                </w:p>
              </w:tc>
              <w:tc>
                <w:tcPr>
                  <w:tcW w:w="779" w:type="pct"/>
                  <w:vAlign w:val="center"/>
                </w:tcPr>
                <w:p w14:paraId="095A953C">
                  <w:pPr>
                    <w:adjustRightInd w:val="0"/>
                    <w:jc w:val="center"/>
                    <w:textAlignment w:val="baseline"/>
                    <w:rPr>
                      <w:color w:val="000000" w:themeColor="text1"/>
                      <w:kern w:val="0"/>
                      <w:szCs w:val="21"/>
                      <w:lang w:val="zh-CN"/>
                      <w14:textFill>
                        <w14:solidFill>
                          <w14:schemeClr w14:val="tx1"/>
                        </w14:solidFill>
                      </w14:textFill>
                    </w:rPr>
                  </w:pPr>
                  <w:r>
                    <w:rPr>
                      <w:color w:val="000000" w:themeColor="text1"/>
                      <w:kern w:val="0"/>
                      <w:szCs w:val="21"/>
                      <w:lang w:val="zh-CN"/>
                      <w14:textFill>
                        <w14:solidFill>
                          <w14:schemeClr w14:val="tx1"/>
                        </w14:solidFill>
                      </w14:textFill>
                    </w:rPr>
                    <w:t>本项目不涉及</w:t>
                  </w:r>
                  <w:r>
                    <w:rPr>
                      <w:rFonts w:hint="eastAsia"/>
                      <w:color w:val="000000" w:themeColor="text1"/>
                      <w:kern w:val="0"/>
                      <w:szCs w:val="21"/>
                      <w:lang w:val="zh-CN"/>
                      <w14:textFill>
                        <w14:solidFill>
                          <w14:schemeClr w14:val="tx1"/>
                        </w14:solidFill>
                      </w14:textFill>
                    </w:rPr>
                    <w:t>长江流域水上运输剧毒化学品和</w:t>
                  </w:r>
                  <w:r>
                    <w:rPr>
                      <w:color w:val="000000" w:themeColor="text1"/>
                      <w:kern w:val="0"/>
                      <w:szCs w:val="21"/>
                      <w:lang w:val="zh-CN"/>
                      <w14:textFill>
                        <w14:solidFill>
                          <w14:schemeClr w14:val="tx1"/>
                        </w14:solidFill>
                      </w14:textFill>
                    </w:rPr>
                    <w:t>危险化学品</w:t>
                  </w:r>
                </w:p>
              </w:tc>
              <w:tc>
                <w:tcPr>
                  <w:tcW w:w="426" w:type="pct"/>
                  <w:vAlign w:val="center"/>
                </w:tcPr>
                <w:p w14:paraId="731BD3EB">
                  <w:pPr>
                    <w:jc w:val="center"/>
                    <w:rPr>
                      <w:color w:val="000000" w:themeColor="text1"/>
                      <w14:textFill>
                        <w14:solidFill>
                          <w14:schemeClr w14:val="tx1"/>
                        </w14:solidFill>
                      </w14:textFill>
                    </w:rPr>
                  </w:pPr>
                  <w:r>
                    <w:rPr>
                      <w:color w:val="000000" w:themeColor="text1"/>
                      <w:kern w:val="0"/>
                      <w:szCs w:val="21"/>
                      <w:lang w:val="zh-CN"/>
                      <w14:textFill>
                        <w14:solidFill>
                          <w14:schemeClr w14:val="tx1"/>
                        </w14:solidFill>
                      </w14:textFill>
                    </w:rPr>
                    <w:t>相符</w:t>
                  </w:r>
                </w:p>
              </w:tc>
            </w:tr>
          </w:tbl>
          <w:p w14:paraId="7B316D6D">
            <w:pPr>
              <w:pStyle w:val="261"/>
              <w:adjustRightInd w:val="0"/>
              <w:snapToGrid w:val="0"/>
              <w:spacing w:line="360" w:lineRule="auto"/>
              <w:ind w:firstLine="480"/>
              <w:rPr>
                <w:b/>
                <w:bCs/>
                <w:color w:val="000000" w:themeColor="text1"/>
                <w:sz w:val="24"/>
                <w14:textFill>
                  <w14:solidFill>
                    <w14:schemeClr w14:val="tx1"/>
                  </w14:solidFill>
                </w14:textFill>
              </w:rPr>
            </w:pPr>
            <w:r>
              <w:rPr>
                <w:color w:val="000000" w:themeColor="text1"/>
                <w:sz w:val="24"/>
                <w14:textFill>
                  <w14:solidFill>
                    <w14:schemeClr w14:val="tx1"/>
                  </w14:solidFill>
                </w14:textFill>
              </w:rPr>
              <w:t>综上，本项目建设与《中华人民共和国长江保护法》的相关要求相符。</w:t>
            </w:r>
          </w:p>
          <w:p w14:paraId="323FEB6E">
            <w:pPr>
              <w:pStyle w:val="261"/>
              <w:adjustRightInd w:val="0"/>
              <w:snapToGrid w:val="0"/>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五、项目与《长江经济带发展负面清单指南（试行，2022年版）》（长江办</w:t>
            </w:r>
            <w:r>
              <w:rPr>
                <w:b/>
                <w:color w:val="000000" w:themeColor="text1"/>
                <w:kern w:val="0"/>
                <w:sz w:val="24"/>
                <w:szCs w:val="20"/>
                <w14:textFill>
                  <w14:solidFill>
                    <w14:schemeClr w14:val="tx1"/>
                  </w14:solidFill>
                </w14:textFill>
              </w:rPr>
              <w:t>〔2022〕7号</w:t>
            </w:r>
            <w:r>
              <w:rPr>
                <w:b/>
                <w:bCs/>
                <w:color w:val="000000" w:themeColor="text1"/>
                <w:sz w:val="24"/>
                <w14:textFill>
                  <w14:solidFill>
                    <w14:schemeClr w14:val="tx1"/>
                  </w14:solidFill>
                </w14:textFill>
              </w:rPr>
              <w:t>）的相符性分析</w:t>
            </w:r>
          </w:p>
          <w:p w14:paraId="340D83DD">
            <w:pPr>
              <w:ind w:left="-24" w:firstLine="511"/>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表1-5  </w:t>
            </w:r>
            <w:r>
              <w:rPr>
                <w:rFonts w:hint="eastAsia"/>
                <w:b/>
                <w:bCs/>
                <w:color w:val="000000" w:themeColor="text1"/>
                <w:szCs w:val="21"/>
                <w14:textFill>
                  <w14:solidFill>
                    <w14:schemeClr w14:val="tx1"/>
                  </w14:solidFill>
                </w14:textFill>
              </w:rPr>
              <w:t>项目</w:t>
            </w:r>
            <w:r>
              <w:rPr>
                <w:b/>
                <w:bCs/>
                <w:color w:val="000000" w:themeColor="text1"/>
                <w:szCs w:val="21"/>
                <w14:textFill>
                  <w14:solidFill>
                    <w14:schemeClr w14:val="tx1"/>
                  </w14:solidFill>
                </w14:textFill>
              </w:rPr>
              <w:t>与《长江经济带发展负面清单指南（试行，2022版）》相符性分析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5244"/>
              <w:gridCol w:w="1844"/>
              <w:gridCol w:w="721"/>
            </w:tblGrid>
            <w:tr w14:paraId="11C58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Align w:val="center"/>
                </w:tcPr>
                <w:p w14:paraId="058880BE">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项目</w:t>
                  </w:r>
                </w:p>
              </w:tc>
              <w:tc>
                <w:tcPr>
                  <w:tcW w:w="3166" w:type="pct"/>
                  <w:vAlign w:val="center"/>
                </w:tcPr>
                <w:p w14:paraId="60BFA920">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具体要求</w:t>
                  </w:r>
                </w:p>
              </w:tc>
              <w:tc>
                <w:tcPr>
                  <w:tcW w:w="1113" w:type="pct"/>
                  <w:vAlign w:val="center"/>
                </w:tcPr>
                <w:p w14:paraId="33C821FE">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本项目情况</w:t>
                  </w:r>
                </w:p>
              </w:tc>
              <w:tc>
                <w:tcPr>
                  <w:tcW w:w="435" w:type="pct"/>
                  <w:vAlign w:val="center"/>
                </w:tcPr>
                <w:p w14:paraId="1FCCE04C">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相符性</w:t>
                  </w:r>
                </w:p>
              </w:tc>
            </w:tr>
            <w:tr w14:paraId="304D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restart"/>
                  <w:vAlign w:val="center"/>
                </w:tcPr>
                <w:p w14:paraId="60F1C797">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负面清单</w:t>
                  </w:r>
                </w:p>
              </w:tc>
              <w:tc>
                <w:tcPr>
                  <w:tcW w:w="3166" w:type="pct"/>
                  <w:vAlign w:val="center"/>
                </w:tcPr>
                <w:p w14:paraId="3682E4B7">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1.禁止建设不符合国家和省级港口布局规划以及港口总体规划的码头项目，禁止建设不符合《长江干线过江通道布局规划》的过长江通道项目</w:t>
                  </w:r>
                </w:p>
              </w:tc>
              <w:tc>
                <w:tcPr>
                  <w:tcW w:w="1113" w:type="pct"/>
                  <w:vAlign w:val="center"/>
                </w:tcPr>
                <w:p w14:paraId="568D19CB">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项目不属于码头和过长江通道项目</w:t>
                  </w:r>
                </w:p>
              </w:tc>
              <w:tc>
                <w:tcPr>
                  <w:tcW w:w="435" w:type="pct"/>
                  <w:vAlign w:val="center"/>
                </w:tcPr>
                <w:p w14:paraId="7E236E5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4976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5FE9DEF">
                  <w:pPr>
                    <w:jc w:val="center"/>
                    <w:rPr>
                      <w:color w:val="000000" w:themeColor="text1"/>
                      <w:kern w:val="0"/>
                      <w:szCs w:val="21"/>
                      <w14:textFill>
                        <w14:solidFill>
                          <w14:schemeClr w14:val="tx1"/>
                        </w14:solidFill>
                      </w14:textFill>
                    </w:rPr>
                  </w:pPr>
                </w:p>
              </w:tc>
              <w:tc>
                <w:tcPr>
                  <w:tcW w:w="3166" w:type="pct"/>
                  <w:vAlign w:val="center"/>
                </w:tcPr>
                <w:p w14:paraId="03FDA5CE">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2.禁止在自然保护区核心区、缓冲区的岸线和河段范围内投资建设旅游和生产经营项目。禁止在风景名胜区核心景区的岸线和河段范围内投资建设与风景名胜资源保护无关的项目。</w:t>
                  </w:r>
                </w:p>
              </w:tc>
              <w:tc>
                <w:tcPr>
                  <w:tcW w:w="1113" w:type="pct"/>
                  <w:vAlign w:val="center"/>
                </w:tcPr>
                <w:p w14:paraId="34CE8A5B">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项目不在自然保护区核心区、缓冲区的岸线和河段范围内、不在风景名胜区核心景区</w:t>
                  </w:r>
                </w:p>
              </w:tc>
              <w:tc>
                <w:tcPr>
                  <w:tcW w:w="435" w:type="pct"/>
                  <w:vAlign w:val="center"/>
                </w:tcPr>
                <w:p w14:paraId="729E9993">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77C8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65C1BF4C">
                  <w:pPr>
                    <w:jc w:val="center"/>
                    <w:rPr>
                      <w:color w:val="000000" w:themeColor="text1"/>
                      <w:kern w:val="0"/>
                      <w:szCs w:val="21"/>
                      <w14:textFill>
                        <w14:solidFill>
                          <w14:schemeClr w14:val="tx1"/>
                        </w14:solidFill>
                      </w14:textFill>
                    </w:rPr>
                  </w:pPr>
                </w:p>
              </w:tc>
              <w:tc>
                <w:tcPr>
                  <w:tcW w:w="3166" w:type="pct"/>
                  <w:vAlign w:val="center"/>
                </w:tcPr>
                <w:p w14:paraId="54D4A791">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禁止在饮用水水源一级保护区的岸线及河段范围内新建、改建、扩建与供水设施和保护水源无关的项目，以及网箱养殖、畜禽养殖、旅游等可能污染饮用水水体的投资建设项目。禁止在饮用水水源二级保护区的岸线及河段范围内新建、改建、扩建排放污染物的投资建设项目。</w:t>
                  </w:r>
                </w:p>
              </w:tc>
              <w:tc>
                <w:tcPr>
                  <w:tcW w:w="1113" w:type="pct"/>
                  <w:vAlign w:val="center"/>
                </w:tcPr>
                <w:p w14:paraId="7D2D4129">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项目不位于饮用水源保护区范围内</w:t>
                  </w:r>
                </w:p>
              </w:tc>
              <w:tc>
                <w:tcPr>
                  <w:tcW w:w="435" w:type="pct"/>
                  <w:vAlign w:val="center"/>
                </w:tcPr>
                <w:p w14:paraId="4C29B9C8">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63780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74097DA3">
                  <w:pPr>
                    <w:jc w:val="center"/>
                    <w:rPr>
                      <w:color w:val="000000" w:themeColor="text1"/>
                      <w:kern w:val="0"/>
                      <w:szCs w:val="21"/>
                      <w14:textFill>
                        <w14:solidFill>
                          <w14:schemeClr w14:val="tx1"/>
                        </w14:solidFill>
                      </w14:textFill>
                    </w:rPr>
                  </w:pPr>
                </w:p>
              </w:tc>
              <w:tc>
                <w:tcPr>
                  <w:tcW w:w="3166" w:type="pct"/>
                  <w:vAlign w:val="center"/>
                </w:tcPr>
                <w:p w14:paraId="2B25C7BC">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113" w:type="pct"/>
                  <w:vAlign w:val="center"/>
                </w:tcPr>
                <w:p w14:paraId="636C31F7">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项目不在水产种质资源保护区及国家湿地公园等范围内</w:t>
                  </w:r>
                </w:p>
              </w:tc>
              <w:tc>
                <w:tcPr>
                  <w:tcW w:w="435" w:type="pct"/>
                  <w:vAlign w:val="center"/>
                </w:tcPr>
                <w:p w14:paraId="48C5B33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21E3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0E84D4F0">
                  <w:pPr>
                    <w:jc w:val="center"/>
                    <w:rPr>
                      <w:color w:val="000000" w:themeColor="text1"/>
                      <w:kern w:val="0"/>
                      <w:szCs w:val="21"/>
                      <w14:textFill>
                        <w14:solidFill>
                          <w14:schemeClr w14:val="tx1"/>
                        </w14:solidFill>
                      </w14:textFill>
                    </w:rPr>
                  </w:pPr>
                </w:p>
              </w:tc>
              <w:tc>
                <w:tcPr>
                  <w:tcW w:w="3166" w:type="pct"/>
                  <w:vAlign w:val="center"/>
                </w:tcPr>
                <w:p w14:paraId="18E9A7C6">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113" w:type="pct"/>
                  <w:vAlign w:val="center"/>
                </w:tcPr>
                <w:p w14:paraId="56D60D54">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本项目不占用长江流域河湖岸线，不位于岸线保护区、保留区</w:t>
                  </w:r>
                </w:p>
              </w:tc>
              <w:tc>
                <w:tcPr>
                  <w:tcW w:w="435" w:type="pct"/>
                  <w:vAlign w:val="center"/>
                </w:tcPr>
                <w:p w14:paraId="6CCA2468">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5218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4D4E78A">
                  <w:pPr>
                    <w:jc w:val="center"/>
                    <w:rPr>
                      <w:color w:val="000000" w:themeColor="text1"/>
                      <w:kern w:val="0"/>
                      <w:szCs w:val="21"/>
                      <w14:textFill>
                        <w14:solidFill>
                          <w14:schemeClr w14:val="tx1"/>
                        </w14:solidFill>
                      </w14:textFill>
                    </w:rPr>
                  </w:pPr>
                </w:p>
              </w:tc>
              <w:tc>
                <w:tcPr>
                  <w:tcW w:w="3166" w:type="pct"/>
                  <w:vAlign w:val="center"/>
                </w:tcPr>
                <w:p w14:paraId="66C374FE">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6.禁止未经许可在长江干支流及湖泊新设、改设或扩大排污口</w:t>
                  </w:r>
                </w:p>
              </w:tc>
              <w:tc>
                <w:tcPr>
                  <w:tcW w:w="1113" w:type="pct"/>
                  <w:vAlign w:val="center"/>
                </w:tcPr>
                <w:p w14:paraId="736C28A2">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项目不在长江干支流及湖泊新设、改设或扩大排污口</w:t>
                  </w:r>
                </w:p>
              </w:tc>
              <w:tc>
                <w:tcPr>
                  <w:tcW w:w="435" w:type="pct"/>
                  <w:vAlign w:val="center"/>
                </w:tcPr>
                <w:p w14:paraId="175FD26E">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29556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0FBE11F3">
                  <w:pPr>
                    <w:jc w:val="center"/>
                    <w:rPr>
                      <w:color w:val="000000" w:themeColor="text1"/>
                      <w:kern w:val="0"/>
                      <w:szCs w:val="21"/>
                      <w14:textFill>
                        <w14:solidFill>
                          <w14:schemeClr w14:val="tx1"/>
                        </w14:solidFill>
                      </w14:textFill>
                    </w:rPr>
                  </w:pPr>
                </w:p>
              </w:tc>
              <w:tc>
                <w:tcPr>
                  <w:tcW w:w="3166" w:type="pct"/>
                  <w:vAlign w:val="center"/>
                </w:tcPr>
                <w:p w14:paraId="09C35000">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7.禁止在“一江一口两湖七河”和332个水生生物保护区开展生产性捕捞</w:t>
                  </w:r>
                </w:p>
              </w:tc>
              <w:tc>
                <w:tcPr>
                  <w:tcW w:w="1113" w:type="pct"/>
                  <w:vAlign w:val="center"/>
                </w:tcPr>
                <w:p w14:paraId="24E0D6BC">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项目不进行水生生物捕捞</w:t>
                  </w:r>
                </w:p>
              </w:tc>
              <w:tc>
                <w:tcPr>
                  <w:tcW w:w="435" w:type="pct"/>
                  <w:vAlign w:val="center"/>
                </w:tcPr>
                <w:p w14:paraId="609AAFC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5E725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4C72E118">
                  <w:pPr>
                    <w:jc w:val="center"/>
                    <w:rPr>
                      <w:color w:val="000000" w:themeColor="text1"/>
                      <w:kern w:val="0"/>
                      <w:szCs w:val="21"/>
                      <w14:textFill>
                        <w14:solidFill>
                          <w14:schemeClr w14:val="tx1"/>
                        </w14:solidFill>
                      </w14:textFill>
                    </w:rPr>
                  </w:pPr>
                </w:p>
              </w:tc>
              <w:tc>
                <w:tcPr>
                  <w:tcW w:w="3166" w:type="pct"/>
                  <w:vAlign w:val="center"/>
                </w:tcPr>
                <w:p w14:paraId="6E323121">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113" w:type="pct"/>
                  <w:vAlign w:val="center"/>
                </w:tcPr>
                <w:p w14:paraId="1693AFE8">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项目不属于化工园区和化工项目，也不属于尾矿库、冶炼渣库和磷石膏库</w:t>
                  </w:r>
                </w:p>
              </w:tc>
              <w:tc>
                <w:tcPr>
                  <w:tcW w:w="435" w:type="pct"/>
                  <w:vAlign w:val="center"/>
                </w:tcPr>
                <w:p w14:paraId="3AD026EE">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6825E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6347C015">
                  <w:pPr>
                    <w:jc w:val="center"/>
                    <w:rPr>
                      <w:color w:val="000000" w:themeColor="text1"/>
                      <w:kern w:val="0"/>
                      <w:szCs w:val="21"/>
                      <w14:textFill>
                        <w14:solidFill>
                          <w14:schemeClr w14:val="tx1"/>
                        </w14:solidFill>
                      </w14:textFill>
                    </w:rPr>
                  </w:pPr>
                </w:p>
              </w:tc>
              <w:tc>
                <w:tcPr>
                  <w:tcW w:w="3166" w:type="pct"/>
                  <w:vAlign w:val="center"/>
                </w:tcPr>
                <w:p w14:paraId="52A0CDA1">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9.禁止在合规园区外新建、扩建钢铁、石化、化工、焦化、建材、有色、制浆造纸等高污染项目。</w:t>
                  </w:r>
                </w:p>
              </w:tc>
              <w:tc>
                <w:tcPr>
                  <w:tcW w:w="1113" w:type="pct"/>
                  <w:vAlign w:val="center"/>
                </w:tcPr>
                <w:p w14:paraId="7DFD77D2">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本项目不属于高污染项目</w:t>
                  </w:r>
                </w:p>
              </w:tc>
              <w:tc>
                <w:tcPr>
                  <w:tcW w:w="435" w:type="pct"/>
                  <w:vAlign w:val="center"/>
                </w:tcPr>
                <w:p w14:paraId="7FEAA76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336B7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125EA83A">
                  <w:pPr>
                    <w:jc w:val="center"/>
                    <w:rPr>
                      <w:color w:val="000000" w:themeColor="text1"/>
                      <w:kern w:val="0"/>
                      <w:szCs w:val="21"/>
                      <w14:textFill>
                        <w14:solidFill>
                          <w14:schemeClr w14:val="tx1"/>
                        </w14:solidFill>
                      </w14:textFill>
                    </w:rPr>
                  </w:pPr>
                </w:p>
              </w:tc>
              <w:tc>
                <w:tcPr>
                  <w:tcW w:w="3166" w:type="pct"/>
                  <w:vAlign w:val="center"/>
                </w:tcPr>
                <w:p w14:paraId="54687011">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10.禁止新建、扩建不符合国家石化、现代煤化工等产业布局规划的项目。</w:t>
                  </w:r>
                </w:p>
              </w:tc>
              <w:tc>
                <w:tcPr>
                  <w:tcW w:w="1113" w:type="pct"/>
                  <w:vAlign w:val="center"/>
                </w:tcPr>
                <w:p w14:paraId="45A02274">
                  <w:pP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w:t>
                  </w:r>
                  <w:r>
                    <w:rPr>
                      <w:color w:val="000000" w:themeColor="text1"/>
                      <w:kern w:val="0"/>
                      <w:szCs w:val="21"/>
                      <w14:textFill>
                        <w14:solidFill>
                          <w14:schemeClr w14:val="tx1"/>
                        </w14:solidFill>
                      </w14:textFill>
                    </w:rPr>
                    <w:t>项目符合产业规划</w:t>
                  </w:r>
                </w:p>
              </w:tc>
              <w:tc>
                <w:tcPr>
                  <w:tcW w:w="435" w:type="pct"/>
                  <w:vAlign w:val="center"/>
                </w:tcPr>
                <w:p w14:paraId="2B5693A9">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49075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C48CB57">
                  <w:pPr>
                    <w:jc w:val="center"/>
                    <w:rPr>
                      <w:color w:val="000000" w:themeColor="text1"/>
                      <w:kern w:val="0"/>
                      <w:szCs w:val="21"/>
                      <w14:textFill>
                        <w14:solidFill>
                          <w14:schemeClr w14:val="tx1"/>
                        </w14:solidFill>
                      </w14:textFill>
                    </w:rPr>
                  </w:pPr>
                </w:p>
              </w:tc>
              <w:tc>
                <w:tcPr>
                  <w:tcW w:w="3166" w:type="pct"/>
                  <w:vAlign w:val="center"/>
                </w:tcPr>
                <w:p w14:paraId="4FAD8B37">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11.禁止新建、扩建法律法规和相关政策明令禁止的落后产能项目。禁止新建、扩建不符合国家产能置换要求的严重过剩产能行业的项目。禁止新建、扩建不符合要求的高耗能高排放项目。</w:t>
                  </w:r>
                </w:p>
              </w:tc>
              <w:tc>
                <w:tcPr>
                  <w:tcW w:w="1113" w:type="pct"/>
                  <w:vAlign w:val="center"/>
                </w:tcPr>
                <w:p w14:paraId="4FC2A92D">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本项目不属于落后产能项目、严重过剩产能行业的项目、不属于高耗能高排放项目。</w:t>
                  </w:r>
                </w:p>
              </w:tc>
              <w:tc>
                <w:tcPr>
                  <w:tcW w:w="435" w:type="pct"/>
                  <w:vAlign w:val="center"/>
                </w:tcPr>
                <w:p w14:paraId="79E1084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14:paraId="5FB38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9ECFF88">
                  <w:pPr>
                    <w:jc w:val="center"/>
                    <w:rPr>
                      <w:color w:val="000000" w:themeColor="text1"/>
                      <w:kern w:val="0"/>
                      <w:szCs w:val="21"/>
                      <w14:textFill>
                        <w14:solidFill>
                          <w14:schemeClr w14:val="tx1"/>
                        </w14:solidFill>
                      </w14:textFill>
                    </w:rPr>
                  </w:pPr>
                </w:p>
              </w:tc>
              <w:tc>
                <w:tcPr>
                  <w:tcW w:w="3166" w:type="pct"/>
                  <w:vAlign w:val="center"/>
                </w:tcPr>
                <w:p w14:paraId="5413CB4A">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12.法律法规及相关政策文件有更加严格规定的从其规定。</w:t>
                  </w:r>
                </w:p>
              </w:tc>
              <w:tc>
                <w:tcPr>
                  <w:tcW w:w="1113" w:type="pct"/>
                  <w:vAlign w:val="center"/>
                </w:tcPr>
                <w:p w14:paraId="166AA948">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按要求执行</w:t>
                  </w:r>
                </w:p>
              </w:tc>
              <w:tc>
                <w:tcPr>
                  <w:tcW w:w="435" w:type="pct"/>
                  <w:vAlign w:val="center"/>
                </w:tcPr>
                <w:p w14:paraId="14ECE90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bl>
          <w:p w14:paraId="056340C8">
            <w:pPr>
              <w:pStyle w:val="128"/>
              <w:adjustRightInd w:val="0"/>
              <w:snapToGrid w:val="0"/>
              <w:spacing w:line="360" w:lineRule="auto"/>
              <w:ind w:firstLine="480"/>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综上，本项目符合《长江经济带发展负面清单指南（试行，2022年版）》文件要求。</w:t>
            </w:r>
          </w:p>
          <w:p w14:paraId="4BB8DA00">
            <w:pPr>
              <w:pStyle w:val="128"/>
              <w:adjustRightInd w:val="0"/>
              <w:snapToGrid w:val="0"/>
              <w:spacing w:line="360" w:lineRule="auto"/>
              <w:ind w:firstLine="482"/>
              <w:rPr>
                <w:rFonts w:eastAsiaTheme="minorEastAsia"/>
                <w:b/>
                <w:bCs/>
                <w:color w:val="000000" w:themeColor="text1"/>
                <w:sz w:val="24"/>
                <w14:textFill>
                  <w14:solidFill>
                    <w14:schemeClr w14:val="tx1"/>
                  </w14:solidFill>
                </w14:textFill>
              </w:rPr>
            </w:pPr>
            <w:r>
              <w:rPr>
                <w:b/>
                <w:color w:val="000000" w:themeColor="text1"/>
                <w:kern w:val="0"/>
                <w:sz w:val="24"/>
                <w:szCs w:val="20"/>
                <w14:textFill>
                  <w14:solidFill>
                    <w14:schemeClr w14:val="tx1"/>
                  </w14:solidFill>
                </w14:textFill>
              </w:rPr>
              <w:t>六、</w:t>
            </w:r>
            <w:r>
              <w:rPr>
                <w:rFonts w:hint="eastAsia"/>
                <w:b/>
                <w:color w:val="000000" w:themeColor="text1"/>
                <w:kern w:val="0"/>
                <w:sz w:val="24"/>
                <w:szCs w:val="20"/>
                <w14:textFill>
                  <w14:solidFill>
                    <w14:schemeClr w14:val="tx1"/>
                  </w14:solidFill>
                </w14:textFill>
              </w:rPr>
              <w:t>项目</w:t>
            </w:r>
            <w:r>
              <w:rPr>
                <w:b/>
                <w:color w:val="000000" w:themeColor="text1"/>
                <w:kern w:val="0"/>
                <w:sz w:val="24"/>
                <w:szCs w:val="20"/>
                <w14:textFill>
                  <w14:solidFill>
                    <w14:schemeClr w14:val="tx1"/>
                  </w14:solidFill>
                </w14:textFill>
              </w:rPr>
              <w:t>与《江西省长江经济带发展负面清单实施细则（试行，2022年版）》（赣长江办</w:t>
            </w:r>
            <w:r>
              <w:rPr>
                <w:rFonts w:hint="eastAsia"/>
                <w:b/>
                <w:color w:val="000000" w:themeColor="text1"/>
                <w:kern w:val="0"/>
                <w:sz w:val="24"/>
                <w:szCs w:val="20"/>
                <w14:textFill>
                  <w14:solidFill>
                    <w14:schemeClr w14:val="tx1"/>
                  </w14:solidFill>
                </w14:textFill>
              </w:rPr>
              <w:t>〔2022〕7号</w:t>
            </w:r>
            <w:r>
              <w:rPr>
                <w:b/>
                <w:color w:val="000000" w:themeColor="text1"/>
                <w:kern w:val="0"/>
                <w:sz w:val="24"/>
                <w:szCs w:val="20"/>
                <w14:textFill>
                  <w14:solidFill>
                    <w14:schemeClr w14:val="tx1"/>
                  </w14:solidFill>
                </w14:textFill>
              </w:rPr>
              <w:t>）的相符性</w:t>
            </w:r>
            <w:r>
              <w:rPr>
                <w:rFonts w:eastAsiaTheme="minorEastAsia"/>
                <w:b/>
                <w:bCs/>
                <w:color w:val="000000" w:themeColor="text1"/>
                <w:sz w:val="24"/>
                <w14:textFill>
                  <w14:solidFill>
                    <w14:schemeClr w14:val="tx1"/>
                  </w14:solidFill>
                </w14:textFill>
              </w:rPr>
              <w:t>分析</w:t>
            </w:r>
          </w:p>
          <w:p w14:paraId="0D900553">
            <w:pPr>
              <w:ind w:left="-24" w:firstLine="511"/>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表1-6  </w:t>
            </w:r>
            <w:r>
              <w:rPr>
                <w:rFonts w:hint="eastAsia"/>
                <w:b/>
                <w:bCs/>
                <w:color w:val="000000" w:themeColor="text1"/>
                <w:szCs w:val="21"/>
                <w14:textFill>
                  <w14:solidFill>
                    <w14:schemeClr w14:val="tx1"/>
                  </w14:solidFill>
                </w14:textFill>
              </w:rPr>
              <w:t>项目</w:t>
            </w:r>
            <w:r>
              <w:rPr>
                <w:b/>
                <w:bCs/>
                <w:color w:val="000000" w:themeColor="text1"/>
                <w:szCs w:val="21"/>
                <w14:textFill>
                  <w14:solidFill>
                    <w14:schemeClr w14:val="tx1"/>
                  </w14:solidFill>
                </w14:textFill>
              </w:rPr>
              <w:t>与赣长江办</w:t>
            </w:r>
            <w:r>
              <w:rPr>
                <w:rFonts w:hint="eastAsia"/>
                <w:b/>
                <w:bCs/>
                <w:color w:val="000000" w:themeColor="text1"/>
                <w:szCs w:val="21"/>
                <w14:textFill>
                  <w14:solidFill>
                    <w14:schemeClr w14:val="tx1"/>
                  </w14:solidFill>
                </w14:textFill>
              </w:rPr>
              <w:t>〔2022〕7号</w:t>
            </w:r>
            <w:r>
              <w:rPr>
                <w:b/>
                <w:bCs/>
                <w:color w:val="000000" w:themeColor="text1"/>
                <w:szCs w:val="21"/>
                <w14:textFill>
                  <w14:solidFill>
                    <w14:schemeClr w14:val="tx1"/>
                  </w14:solidFill>
                </w14:textFill>
              </w:rPr>
              <w:t>的相符性分析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5267"/>
              <w:gridCol w:w="1808"/>
              <w:gridCol w:w="734"/>
            </w:tblGrid>
            <w:tr w14:paraId="3CCA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Align w:val="center"/>
                </w:tcPr>
                <w:p w14:paraId="6928F40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w:t>
                  </w:r>
                </w:p>
              </w:tc>
              <w:tc>
                <w:tcPr>
                  <w:tcW w:w="3180" w:type="pct"/>
                  <w:vAlign w:val="center"/>
                </w:tcPr>
                <w:p w14:paraId="6326973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具体要求</w:t>
                  </w:r>
                </w:p>
              </w:tc>
              <w:tc>
                <w:tcPr>
                  <w:tcW w:w="1091" w:type="pct"/>
                  <w:vAlign w:val="center"/>
                </w:tcPr>
                <w:p w14:paraId="5A832D2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444" w:type="pct"/>
                  <w:vAlign w:val="center"/>
                </w:tcPr>
                <w:p w14:paraId="7568491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14:paraId="14CAD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restart"/>
                  <w:vAlign w:val="center"/>
                </w:tcPr>
                <w:p w14:paraId="2F2892E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负面清单</w:t>
                  </w:r>
                </w:p>
              </w:tc>
              <w:tc>
                <w:tcPr>
                  <w:tcW w:w="3180" w:type="pct"/>
                  <w:vAlign w:val="center"/>
                </w:tcPr>
                <w:p w14:paraId="42979A9A">
                  <w:pPr>
                    <w:rPr>
                      <w:color w:val="000000" w:themeColor="text1"/>
                      <w:szCs w:val="21"/>
                      <w14:textFill>
                        <w14:solidFill>
                          <w14:schemeClr w14:val="tx1"/>
                        </w14:solidFill>
                      </w14:textFill>
                    </w:rPr>
                  </w:pPr>
                  <w:r>
                    <w:rPr>
                      <w:color w:val="000000" w:themeColor="text1"/>
                      <w:szCs w:val="21"/>
                      <w14:textFill>
                        <w14:solidFill>
                          <w14:schemeClr w14:val="tx1"/>
                        </w14:solidFill>
                      </w14:textFill>
                    </w:rPr>
                    <w:t>1.禁止建设不符合国家和省级港口布局规划以及港口</w:t>
                  </w:r>
                  <w:r>
                    <w:rPr>
                      <w:rFonts w:hint="eastAsia"/>
                      <w:color w:val="000000" w:themeColor="text1"/>
                      <w:szCs w:val="21"/>
                      <w14:textFill>
                        <w14:solidFill>
                          <w14:schemeClr w14:val="tx1"/>
                        </w14:solidFill>
                      </w14:textFill>
                    </w:rPr>
                    <w:t>总体规划</w:t>
                  </w:r>
                  <w:r>
                    <w:rPr>
                      <w:color w:val="000000" w:themeColor="text1"/>
                      <w:szCs w:val="21"/>
                      <w14:textFill>
                        <w14:solidFill>
                          <w14:schemeClr w14:val="tx1"/>
                        </w14:solidFill>
                      </w14:textFill>
                    </w:rPr>
                    <w:t>的码头项目，禁止建设不符合《长江干线过江通道布局规划》的过长江通道项目</w:t>
                  </w:r>
                </w:p>
              </w:tc>
              <w:tc>
                <w:tcPr>
                  <w:tcW w:w="1091" w:type="pct"/>
                  <w:vAlign w:val="center"/>
                </w:tcPr>
                <w:p w14:paraId="4D12F01E">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本项目不属于码头和过长江通道项目</w:t>
                  </w:r>
                </w:p>
              </w:tc>
              <w:tc>
                <w:tcPr>
                  <w:tcW w:w="444" w:type="pct"/>
                  <w:vAlign w:val="center"/>
                </w:tcPr>
                <w:p w14:paraId="6A92977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064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4407EEBB">
                  <w:pPr>
                    <w:jc w:val="center"/>
                    <w:rPr>
                      <w:color w:val="000000" w:themeColor="text1"/>
                      <w:szCs w:val="21"/>
                      <w14:textFill>
                        <w14:solidFill>
                          <w14:schemeClr w14:val="tx1"/>
                        </w14:solidFill>
                      </w14:textFill>
                    </w:rPr>
                  </w:pPr>
                </w:p>
              </w:tc>
              <w:tc>
                <w:tcPr>
                  <w:tcW w:w="3180" w:type="pct"/>
                  <w:vAlign w:val="center"/>
                </w:tcPr>
                <w:p w14:paraId="7F5E473C">
                  <w:pPr>
                    <w:rPr>
                      <w:color w:val="000000" w:themeColor="text1"/>
                      <w:szCs w:val="21"/>
                      <w14:textFill>
                        <w14:solidFill>
                          <w14:schemeClr w14:val="tx1"/>
                        </w14:solidFill>
                      </w14:textFill>
                    </w:rPr>
                  </w:pPr>
                  <w:r>
                    <w:rPr>
                      <w:color w:val="000000" w:themeColor="text1"/>
                      <w:szCs w:val="21"/>
                      <w14:textFill>
                        <w14:solidFill>
                          <w14:schemeClr w14:val="tx1"/>
                        </w14:solidFill>
                      </w14:textFill>
                    </w:rPr>
                    <w:t>2.禁止在自然保护区核心区、缓冲区的岸线和河段范围内投资建设旅游和生产经营项目</w:t>
                  </w:r>
                </w:p>
              </w:tc>
              <w:tc>
                <w:tcPr>
                  <w:tcW w:w="1091" w:type="pct"/>
                  <w:vAlign w:val="center"/>
                </w:tcPr>
                <w:p w14:paraId="5EDFB7B0">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项目不在自然保护区核心区、缓冲区的岸线和河段范围内、不在风景名胜区核心景区</w:t>
                  </w:r>
                </w:p>
              </w:tc>
              <w:tc>
                <w:tcPr>
                  <w:tcW w:w="444" w:type="pct"/>
                  <w:vAlign w:val="center"/>
                </w:tcPr>
                <w:p w14:paraId="4796D4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AFD0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6B7C9C3">
                  <w:pPr>
                    <w:jc w:val="center"/>
                    <w:rPr>
                      <w:color w:val="000000" w:themeColor="text1"/>
                      <w:szCs w:val="21"/>
                      <w14:textFill>
                        <w14:solidFill>
                          <w14:schemeClr w14:val="tx1"/>
                        </w14:solidFill>
                      </w14:textFill>
                    </w:rPr>
                  </w:pPr>
                </w:p>
              </w:tc>
              <w:tc>
                <w:tcPr>
                  <w:tcW w:w="3180" w:type="pct"/>
                  <w:vAlign w:val="center"/>
                </w:tcPr>
                <w:p w14:paraId="43C41176">
                  <w:pPr>
                    <w:rPr>
                      <w:color w:val="000000" w:themeColor="text1"/>
                      <w:szCs w:val="21"/>
                      <w14:textFill>
                        <w14:solidFill>
                          <w14:schemeClr w14:val="tx1"/>
                        </w14:solidFill>
                      </w14:textFill>
                    </w:rPr>
                  </w:pPr>
                  <w:r>
                    <w:rPr>
                      <w:color w:val="000000" w:themeColor="text1"/>
                      <w:szCs w:val="21"/>
                      <w14:textFill>
                        <w14:solidFill>
                          <w14:schemeClr w14:val="tx1"/>
                        </w14:solidFill>
                      </w14:textFill>
                    </w:rPr>
                    <w:t>3禁止在风景名胜区核心景区的岸线和河段范围内开展以下行为：（一）开山、采石、开矿、开荒、修坟立碑等破坏景观、植被和地形地貌的活动；（二）修建储存爆炸性、易燃性、放射性、毒害性、腐蚀性物品的设施；（三）违反风景名胜区规划，建设与风景名胜资源保护无关的设施</w:t>
                  </w:r>
                </w:p>
              </w:tc>
              <w:tc>
                <w:tcPr>
                  <w:tcW w:w="1091" w:type="pct"/>
                  <w:vAlign w:val="center"/>
                </w:tcPr>
                <w:p w14:paraId="53DEB901">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项目不在风景名胜区内</w:t>
                  </w:r>
                </w:p>
              </w:tc>
              <w:tc>
                <w:tcPr>
                  <w:tcW w:w="444" w:type="pct"/>
                  <w:vAlign w:val="center"/>
                </w:tcPr>
                <w:p w14:paraId="226C2CB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379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48C8F90F">
                  <w:pPr>
                    <w:jc w:val="center"/>
                    <w:rPr>
                      <w:color w:val="000000" w:themeColor="text1"/>
                      <w:szCs w:val="21"/>
                      <w14:textFill>
                        <w14:solidFill>
                          <w14:schemeClr w14:val="tx1"/>
                        </w14:solidFill>
                      </w14:textFill>
                    </w:rPr>
                  </w:pPr>
                </w:p>
              </w:tc>
              <w:tc>
                <w:tcPr>
                  <w:tcW w:w="3180" w:type="pct"/>
                  <w:vAlign w:val="center"/>
                </w:tcPr>
                <w:p w14:paraId="61077EB4">
                  <w:pPr>
                    <w:rPr>
                      <w:color w:val="000000" w:themeColor="text1"/>
                      <w:szCs w:val="21"/>
                      <w14:textFill>
                        <w14:solidFill>
                          <w14:schemeClr w14:val="tx1"/>
                        </w14:solidFill>
                      </w14:textFill>
                    </w:rPr>
                  </w:pPr>
                  <w:r>
                    <w:rPr>
                      <w:color w:val="000000" w:themeColor="text1"/>
                      <w:szCs w:val="21"/>
                      <w14:textFill>
                        <w14:solidFill>
                          <w14:schemeClr w14:val="tx1"/>
                        </w14:solidFill>
                      </w14:textFill>
                    </w:rPr>
                    <w:t>4.禁止在饮用水水源二级保护区的岸线及河段范围内开展下列行为：（一）新建、改建、扩建排放污染物的建设项目；已建成的排放污染物的建设项目，由县级以上人民政府责令拆除或者关闭；（二）在饮用水水源二级保护区内从事网箱养殖、旅游等活动的，应当按照规定采取措施，防治污染饮用水水体</w:t>
                  </w:r>
                </w:p>
              </w:tc>
              <w:tc>
                <w:tcPr>
                  <w:tcW w:w="1091" w:type="pct"/>
                  <w:vAlign w:val="center"/>
                </w:tcPr>
                <w:p w14:paraId="77949974">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项目不位于饮用水源保护区范围内</w:t>
                  </w:r>
                </w:p>
              </w:tc>
              <w:tc>
                <w:tcPr>
                  <w:tcW w:w="444" w:type="pct"/>
                  <w:vAlign w:val="center"/>
                </w:tcPr>
                <w:p w14:paraId="1ACFDDB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E7F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5D53223B">
                  <w:pPr>
                    <w:jc w:val="center"/>
                    <w:rPr>
                      <w:color w:val="000000" w:themeColor="text1"/>
                      <w:szCs w:val="21"/>
                      <w14:textFill>
                        <w14:solidFill>
                          <w14:schemeClr w14:val="tx1"/>
                        </w14:solidFill>
                      </w14:textFill>
                    </w:rPr>
                  </w:pPr>
                </w:p>
              </w:tc>
              <w:tc>
                <w:tcPr>
                  <w:tcW w:w="3180" w:type="pct"/>
                  <w:vAlign w:val="center"/>
                </w:tcPr>
                <w:p w14:paraId="595514DD">
                  <w:pPr>
                    <w:rPr>
                      <w:color w:val="000000" w:themeColor="text1"/>
                      <w:szCs w:val="21"/>
                      <w14:textFill>
                        <w14:solidFill>
                          <w14:schemeClr w14:val="tx1"/>
                        </w14:solidFill>
                      </w14:textFill>
                    </w:rPr>
                  </w:pPr>
                  <w:r>
                    <w:rPr>
                      <w:color w:val="000000" w:themeColor="text1"/>
                      <w:szCs w:val="21"/>
                      <w14:textFill>
                        <w14:solidFill>
                          <w14:schemeClr w14:val="tx1"/>
                        </w14:solidFill>
                      </w14:textFill>
                    </w:rPr>
                    <w:t>5.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境</w:t>
                  </w:r>
                </w:p>
              </w:tc>
              <w:tc>
                <w:tcPr>
                  <w:tcW w:w="1091" w:type="pct"/>
                  <w:vAlign w:val="center"/>
                </w:tcPr>
                <w:p w14:paraId="300E3D8D">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项目不在水产种质资源保护区及国家湿地公园等范围内</w:t>
                  </w:r>
                </w:p>
              </w:tc>
              <w:tc>
                <w:tcPr>
                  <w:tcW w:w="444" w:type="pct"/>
                  <w:vAlign w:val="center"/>
                </w:tcPr>
                <w:p w14:paraId="2D5C06D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1D2D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2775C14">
                  <w:pPr>
                    <w:jc w:val="center"/>
                    <w:rPr>
                      <w:color w:val="000000" w:themeColor="text1"/>
                      <w:szCs w:val="21"/>
                      <w14:textFill>
                        <w14:solidFill>
                          <w14:schemeClr w14:val="tx1"/>
                        </w14:solidFill>
                      </w14:textFill>
                    </w:rPr>
                  </w:pPr>
                </w:p>
              </w:tc>
              <w:tc>
                <w:tcPr>
                  <w:tcW w:w="3180" w:type="pct"/>
                  <w:vAlign w:val="center"/>
                </w:tcPr>
                <w:p w14:paraId="281440D6">
                  <w:pPr>
                    <w:rPr>
                      <w:color w:val="000000" w:themeColor="text1"/>
                      <w:szCs w:val="21"/>
                      <w14:textFill>
                        <w14:solidFill>
                          <w14:schemeClr w14:val="tx1"/>
                        </w14:solidFill>
                      </w14:textFill>
                    </w:rPr>
                  </w:pPr>
                  <w:r>
                    <w:rPr>
                      <w:color w:val="000000" w:themeColor="text1"/>
                      <w:szCs w:val="21"/>
                      <w14:textFill>
                        <w14:solidFill>
                          <w14:schemeClr w14:val="tx1"/>
                        </w14:solidFill>
                      </w14:textFill>
                    </w:rPr>
                    <w:t>6除国家规定的外，禁止在国家湿地公园的岸线和河段范围内挖沙、采矿以及任何不符合主体功能定位的投资建设项目</w:t>
                  </w:r>
                </w:p>
              </w:tc>
              <w:tc>
                <w:tcPr>
                  <w:tcW w:w="1091" w:type="pct"/>
                  <w:vAlign w:val="center"/>
                </w:tcPr>
                <w:p w14:paraId="2C0815DB">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项目不在国家湿地公园岸线及河段范围内，且不属于挖沙采矿项目</w:t>
                  </w:r>
                </w:p>
              </w:tc>
              <w:tc>
                <w:tcPr>
                  <w:tcW w:w="444" w:type="pct"/>
                  <w:vAlign w:val="center"/>
                </w:tcPr>
                <w:p w14:paraId="4D3B2A4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265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FBEA2B5">
                  <w:pPr>
                    <w:jc w:val="center"/>
                    <w:rPr>
                      <w:color w:val="000000" w:themeColor="text1"/>
                      <w:szCs w:val="21"/>
                      <w14:textFill>
                        <w14:solidFill>
                          <w14:schemeClr w14:val="tx1"/>
                        </w14:solidFill>
                      </w14:textFill>
                    </w:rPr>
                  </w:pPr>
                </w:p>
              </w:tc>
              <w:tc>
                <w:tcPr>
                  <w:tcW w:w="3180" w:type="pct"/>
                  <w:vAlign w:val="center"/>
                </w:tcPr>
                <w:p w14:paraId="0F74DD7D">
                  <w:pPr>
                    <w:rPr>
                      <w:color w:val="000000" w:themeColor="text1"/>
                      <w:szCs w:val="21"/>
                      <w14:textFill>
                        <w14:solidFill>
                          <w14:schemeClr w14:val="tx1"/>
                        </w14:solidFill>
                      </w14:textFill>
                    </w:rPr>
                  </w:pPr>
                  <w:r>
                    <w:rPr>
                      <w:color w:val="000000" w:themeColor="text1"/>
                      <w:szCs w:val="21"/>
                      <w14:textFill>
                        <w14:solidFill>
                          <w14:schemeClr w14:val="tx1"/>
                        </w14:solidFill>
                      </w14:textFill>
                    </w:rPr>
                    <w:t>7.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091" w:type="pct"/>
                  <w:vAlign w:val="center"/>
                </w:tcPr>
                <w:p w14:paraId="1161AED3">
                  <w:pP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本项目不位于岸线保护区、保留区</w:t>
                  </w:r>
                </w:p>
              </w:tc>
              <w:tc>
                <w:tcPr>
                  <w:tcW w:w="444" w:type="pct"/>
                  <w:vAlign w:val="center"/>
                </w:tcPr>
                <w:p w14:paraId="6B7C80C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0CA9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29C64280">
                  <w:pPr>
                    <w:jc w:val="center"/>
                    <w:rPr>
                      <w:color w:val="000000" w:themeColor="text1"/>
                      <w:szCs w:val="21"/>
                      <w14:textFill>
                        <w14:solidFill>
                          <w14:schemeClr w14:val="tx1"/>
                        </w14:solidFill>
                      </w14:textFill>
                    </w:rPr>
                  </w:pPr>
                </w:p>
              </w:tc>
              <w:tc>
                <w:tcPr>
                  <w:tcW w:w="3180" w:type="pct"/>
                  <w:vAlign w:val="center"/>
                </w:tcPr>
                <w:p w14:paraId="35F1F860">
                  <w:pPr>
                    <w:rPr>
                      <w:color w:val="000000" w:themeColor="text1"/>
                      <w:szCs w:val="21"/>
                      <w14:textFill>
                        <w14:solidFill>
                          <w14:schemeClr w14:val="tx1"/>
                        </w14:solidFill>
                      </w14:textFill>
                    </w:rPr>
                  </w:pPr>
                  <w:r>
                    <w:rPr>
                      <w:color w:val="000000" w:themeColor="text1"/>
                      <w:szCs w:val="21"/>
                      <w14:textFill>
                        <w14:solidFill>
                          <w14:schemeClr w14:val="tx1"/>
                        </w14:solidFill>
                      </w14:textFill>
                    </w:rPr>
                    <w:t>8禁止在《全国重要江河湖泊水功能区划》划定的河段及湖泊保护区、保留区内投资建设不利于水资源及自然生态保护的项目。</w:t>
                  </w:r>
                </w:p>
              </w:tc>
              <w:tc>
                <w:tcPr>
                  <w:tcW w:w="1091" w:type="pct"/>
                  <w:vAlign w:val="center"/>
                </w:tcPr>
                <w:p w14:paraId="1ED2467B">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w:t>
                  </w:r>
                  <w:r>
                    <w:rPr>
                      <w:rFonts w:hint="eastAsia"/>
                      <w:color w:val="000000" w:themeColor="text1"/>
                      <w:szCs w:val="21"/>
                      <w14:textFill>
                        <w14:solidFill>
                          <w14:schemeClr w14:val="tx1"/>
                        </w14:solidFill>
                      </w14:textFill>
                    </w:rPr>
                    <w:t>位于</w:t>
                  </w:r>
                  <w:r>
                    <w:rPr>
                      <w:color w:val="000000" w:themeColor="text1"/>
                      <w:szCs w:val="21"/>
                      <w14:textFill>
                        <w14:solidFill>
                          <w14:schemeClr w14:val="tx1"/>
                        </w14:solidFill>
                      </w14:textFill>
                    </w:rPr>
                    <w:t>划定的河段及湖泊保护区、保留区内</w:t>
                  </w:r>
                </w:p>
              </w:tc>
              <w:tc>
                <w:tcPr>
                  <w:tcW w:w="444" w:type="pct"/>
                  <w:vAlign w:val="center"/>
                </w:tcPr>
                <w:p w14:paraId="03E69AB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E334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36A954A6">
                  <w:pPr>
                    <w:jc w:val="center"/>
                    <w:rPr>
                      <w:color w:val="000000" w:themeColor="text1"/>
                      <w:szCs w:val="21"/>
                      <w14:textFill>
                        <w14:solidFill>
                          <w14:schemeClr w14:val="tx1"/>
                        </w14:solidFill>
                      </w14:textFill>
                    </w:rPr>
                  </w:pPr>
                </w:p>
              </w:tc>
              <w:tc>
                <w:tcPr>
                  <w:tcW w:w="3180" w:type="pct"/>
                  <w:vAlign w:val="center"/>
                </w:tcPr>
                <w:p w14:paraId="192140FE">
                  <w:pPr>
                    <w:rPr>
                      <w:color w:val="000000" w:themeColor="text1"/>
                      <w:szCs w:val="21"/>
                      <w14:textFill>
                        <w14:solidFill>
                          <w14:schemeClr w14:val="tx1"/>
                        </w14:solidFill>
                      </w14:textFill>
                    </w:rPr>
                  </w:pPr>
                  <w:r>
                    <w:rPr>
                      <w:color w:val="000000" w:themeColor="text1"/>
                      <w:szCs w:val="21"/>
                      <w14:textFill>
                        <w14:solidFill>
                          <w14:schemeClr w14:val="tx1"/>
                        </w14:solidFill>
                      </w14:textFill>
                    </w:rPr>
                    <w:t>9禁止未经许可在长江干支流及湖泊新设、改设或扩大排污口</w:t>
                  </w:r>
                </w:p>
              </w:tc>
              <w:tc>
                <w:tcPr>
                  <w:tcW w:w="1091" w:type="pct"/>
                  <w:vAlign w:val="center"/>
                </w:tcPr>
                <w:p w14:paraId="2BC71E33">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项目不位于长江干支流及湖泊</w:t>
                  </w:r>
                </w:p>
              </w:tc>
              <w:tc>
                <w:tcPr>
                  <w:tcW w:w="444" w:type="pct"/>
                  <w:vAlign w:val="center"/>
                </w:tcPr>
                <w:p w14:paraId="10DE60C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C0C0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4F78E5ED">
                  <w:pPr>
                    <w:jc w:val="center"/>
                    <w:rPr>
                      <w:color w:val="000000" w:themeColor="text1"/>
                      <w:szCs w:val="21"/>
                      <w14:textFill>
                        <w14:solidFill>
                          <w14:schemeClr w14:val="tx1"/>
                        </w14:solidFill>
                      </w14:textFill>
                    </w:rPr>
                  </w:pPr>
                </w:p>
              </w:tc>
              <w:tc>
                <w:tcPr>
                  <w:tcW w:w="3180" w:type="pct"/>
                  <w:vAlign w:val="center"/>
                </w:tcPr>
                <w:p w14:paraId="6C1997B3">
                  <w:pPr>
                    <w:rPr>
                      <w:color w:val="000000" w:themeColor="text1"/>
                      <w:szCs w:val="21"/>
                      <w14:textFill>
                        <w14:solidFill>
                          <w14:schemeClr w14:val="tx1"/>
                        </w14:solidFill>
                      </w14:textFill>
                    </w:rPr>
                  </w:pPr>
                  <w:r>
                    <w:rPr>
                      <w:color w:val="000000" w:themeColor="text1"/>
                      <w:szCs w:val="21"/>
                      <w14:textFill>
                        <w14:solidFill>
                          <w14:schemeClr w14:val="tx1"/>
                        </w14:solidFill>
                      </w14:textFill>
                    </w:rPr>
                    <w:t>10禁止在长江干流江西段、鄱阳湖和《率先全面禁捕的长江流域水生生物保护区名录》中的水生生物保护区开展生产性捕捞</w:t>
                  </w:r>
                </w:p>
              </w:tc>
              <w:tc>
                <w:tcPr>
                  <w:tcW w:w="1091" w:type="pct"/>
                  <w:vAlign w:val="center"/>
                </w:tcPr>
                <w:p w14:paraId="2CDDAFBB">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项目不进行水生生物捕捞</w:t>
                  </w:r>
                </w:p>
              </w:tc>
              <w:tc>
                <w:tcPr>
                  <w:tcW w:w="444" w:type="pct"/>
                  <w:vAlign w:val="center"/>
                </w:tcPr>
                <w:p w14:paraId="4FAB5C9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B44A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757D68B2">
                  <w:pPr>
                    <w:jc w:val="center"/>
                    <w:rPr>
                      <w:color w:val="000000" w:themeColor="text1"/>
                      <w:szCs w:val="21"/>
                      <w14:textFill>
                        <w14:solidFill>
                          <w14:schemeClr w14:val="tx1"/>
                        </w14:solidFill>
                      </w14:textFill>
                    </w:rPr>
                  </w:pPr>
                </w:p>
              </w:tc>
              <w:tc>
                <w:tcPr>
                  <w:tcW w:w="3180" w:type="pct"/>
                  <w:vAlign w:val="center"/>
                </w:tcPr>
                <w:p w14:paraId="67266D85">
                  <w:pPr>
                    <w:rPr>
                      <w:color w:val="000000" w:themeColor="text1"/>
                      <w:szCs w:val="21"/>
                      <w14:textFill>
                        <w14:solidFill>
                          <w14:schemeClr w14:val="tx1"/>
                        </w14:solidFill>
                      </w14:textFill>
                    </w:rPr>
                  </w:pPr>
                  <w:r>
                    <w:rPr>
                      <w:color w:val="000000" w:themeColor="text1"/>
                      <w:szCs w:val="21"/>
                      <w14:textFill>
                        <w14:solidFill>
                          <w14:schemeClr w14:val="tx1"/>
                        </w14:solidFill>
                      </w14:textFill>
                    </w:rPr>
                    <w:t>11禁止在长江干支流、重要湖泊岸线一公里范围内新建、扩建化工园区和化工项目。</w:t>
                  </w:r>
                </w:p>
              </w:tc>
              <w:tc>
                <w:tcPr>
                  <w:tcW w:w="1091" w:type="pct"/>
                  <w:vAlign w:val="center"/>
                </w:tcPr>
                <w:p w14:paraId="48448712">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项目不属于化工园区和化工项目</w:t>
                  </w:r>
                </w:p>
              </w:tc>
              <w:tc>
                <w:tcPr>
                  <w:tcW w:w="444" w:type="pct"/>
                  <w:vAlign w:val="center"/>
                </w:tcPr>
                <w:p w14:paraId="07FE8BC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A83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2438E7FC">
                  <w:pPr>
                    <w:jc w:val="center"/>
                    <w:rPr>
                      <w:color w:val="000000" w:themeColor="text1"/>
                      <w:szCs w:val="21"/>
                      <w14:textFill>
                        <w14:solidFill>
                          <w14:schemeClr w14:val="tx1"/>
                        </w14:solidFill>
                      </w14:textFill>
                    </w:rPr>
                  </w:pPr>
                </w:p>
              </w:tc>
              <w:tc>
                <w:tcPr>
                  <w:tcW w:w="3180" w:type="pct"/>
                  <w:vAlign w:val="center"/>
                </w:tcPr>
                <w:p w14:paraId="36286911">
                  <w:pPr>
                    <w:rPr>
                      <w:color w:val="000000" w:themeColor="text1"/>
                      <w:szCs w:val="21"/>
                      <w14:textFill>
                        <w14:solidFill>
                          <w14:schemeClr w14:val="tx1"/>
                        </w14:solidFill>
                      </w14:textFill>
                    </w:rPr>
                  </w:pPr>
                  <w:r>
                    <w:rPr>
                      <w:color w:val="000000" w:themeColor="text1"/>
                      <w:szCs w:val="21"/>
                      <w14:textFill>
                        <w14:solidFill>
                          <w14:schemeClr w14:val="tx1"/>
                        </w14:solidFill>
                      </w14:textFill>
                    </w:rPr>
                    <w:t>12禁止在长江干流岸线三公里范围内和重要支流岸线一公里范围内新建、改建、扩建尾矿库、冶炼渣库和磷石膏库，以提升安全、生态环境保护水平为目的的改建除外。</w:t>
                  </w:r>
                </w:p>
              </w:tc>
              <w:tc>
                <w:tcPr>
                  <w:tcW w:w="1091" w:type="pct"/>
                  <w:vAlign w:val="center"/>
                </w:tcPr>
                <w:p w14:paraId="475385B2">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项目不属于尾矿库、冶炼渣库和磷石膏库</w:t>
                  </w:r>
                </w:p>
              </w:tc>
              <w:tc>
                <w:tcPr>
                  <w:tcW w:w="444" w:type="pct"/>
                  <w:vAlign w:val="center"/>
                </w:tcPr>
                <w:p w14:paraId="6A3CD34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057D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598BD448">
                  <w:pPr>
                    <w:jc w:val="center"/>
                    <w:rPr>
                      <w:color w:val="000000" w:themeColor="text1"/>
                      <w:szCs w:val="21"/>
                      <w14:textFill>
                        <w14:solidFill>
                          <w14:schemeClr w14:val="tx1"/>
                        </w14:solidFill>
                      </w14:textFill>
                    </w:rPr>
                  </w:pPr>
                </w:p>
              </w:tc>
              <w:tc>
                <w:tcPr>
                  <w:tcW w:w="3180" w:type="pct"/>
                  <w:vAlign w:val="center"/>
                </w:tcPr>
                <w:p w14:paraId="645BADC3">
                  <w:pPr>
                    <w:rPr>
                      <w:color w:val="000000" w:themeColor="text1"/>
                      <w:szCs w:val="21"/>
                      <w14:textFill>
                        <w14:solidFill>
                          <w14:schemeClr w14:val="tx1"/>
                        </w14:solidFill>
                      </w14:textFill>
                    </w:rPr>
                  </w:pPr>
                  <w:r>
                    <w:rPr>
                      <w:color w:val="000000" w:themeColor="text1"/>
                      <w:szCs w:val="21"/>
                      <w14:textFill>
                        <w14:solidFill>
                          <w14:schemeClr w14:val="tx1"/>
                        </w14:solidFill>
                      </w14:textFill>
                    </w:rPr>
                    <w:t>13.禁止在合规园区外新建、扩建钢铁、石化、化工、焦化、建材、有色、制浆造纸等高污染项目</w:t>
                  </w:r>
                </w:p>
              </w:tc>
              <w:tc>
                <w:tcPr>
                  <w:tcW w:w="1091" w:type="pct"/>
                  <w:vAlign w:val="center"/>
                </w:tcPr>
                <w:p w14:paraId="2C26095A">
                  <w:pP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本项目不属于高污染、高能耗项目</w:t>
                  </w:r>
                </w:p>
              </w:tc>
              <w:tc>
                <w:tcPr>
                  <w:tcW w:w="444" w:type="pct"/>
                  <w:vAlign w:val="center"/>
                </w:tcPr>
                <w:p w14:paraId="4A4190A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E06B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5580D64B">
                  <w:pPr>
                    <w:jc w:val="center"/>
                    <w:rPr>
                      <w:color w:val="000000" w:themeColor="text1"/>
                      <w:szCs w:val="21"/>
                      <w14:textFill>
                        <w14:solidFill>
                          <w14:schemeClr w14:val="tx1"/>
                        </w14:solidFill>
                      </w14:textFill>
                    </w:rPr>
                  </w:pPr>
                </w:p>
              </w:tc>
              <w:tc>
                <w:tcPr>
                  <w:tcW w:w="3180" w:type="pct"/>
                  <w:vAlign w:val="center"/>
                </w:tcPr>
                <w:p w14:paraId="4AA9DFE0">
                  <w:pPr>
                    <w:rPr>
                      <w:color w:val="000000" w:themeColor="text1"/>
                      <w:szCs w:val="21"/>
                      <w14:textFill>
                        <w14:solidFill>
                          <w14:schemeClr w14:val="tx1"/>
                        </w14:solidFill>
                      </w14:textFill>
                    </w:rPr>
                  </w:pPr>
                  <w:r>
                    <w:rPr>
                      <w:color w:val="000000" w:themeColor="text1"/>
                      <w:szCs w:val="21"/>
                      <w14:textFill>
                        <w14:solidFill>
                          <w14:schemeClr w14:val="tx1"/>
                        </w14:solidFill>
                      </w14:textFill>
                    </w:rPr>
                    <w:t>14禁止新建、扩建不符合国家石化、现代煤化工等产业布局规划的项目</w:t>
                  </w:r>
                </w:p>
              </w:tc>
              <w:tc>
                <w:tcPr>
                  <w:tcW w:w="1091" w:type="pct"/>
                  <w:vAlign w:val="center"/>
                </w:tcPr>
                <w:p w14:paraId="71FE6C0A">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项目不属于石化、现代煤化工项目</w:t>
                  </w:r>
                </w:p>
              </w:tc>
              <w:tc>
                <w:tcPr>
                  <w:tcW w:w="444" w:type="pct"/>
                  <w:vAlign w:val="center"/>
                </w:tcPr>
                <w:p w14:paraId="4883A96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69F1D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61F324AA">
                  <w:pPr>
                    <w:jc w:val="center"/>
                    <w:rPr>
                      <w:color w:val="000000" w:themeColor="text1"/>
                      <w:szCs w:val="21"/>
                      <w14:textFill>
                        <w14:solidFill>
                          <w14:schemeClr w14:val="tx1"/>
                        </w14:solidFill>
                      </w14:textFill>
                    </w:rPr>
                  </w:pPr>
                </w:p>
              </w:tc>
              <w:tc>
                <w:tcPr>
                  <w:tcW w:w="3180" w:type="pct"/>
                  <w:vAlign w:val="center"/>
                </w:tcPr>
                <w:p w14:paraId="47D26ECA">
                  <w:pPr>
                    <w:rPr>
                      <w:color w:val="000000" w:themeColor="text1"/>
                      <w:szCs w:val="21"/>
                      <w14:textFill>
                        <w14:solidFill>
                          <w14:schemeClr w14:val="tx1"/>
                        </w14:solidFill>
                      </w14:textFill>
                    </w:rPr>
                  </w:pPr>
                  <w:r>
                    <w:rPr>
                      <w:color w:val="000000" w:themeColor="text1"/>
                      <w:szCs w:val="21"/>
                      <w14:textFill>
                        <w14:solidFill>
                          <w14:schemeClr w14:val="tx1"/>
                        </w14:solidFill>
                      </w14:textFill>
                    </w:rPr>
                    <w:t>15禁止新建、扩建法律法规和相关政策明令禁止的落后产能项目。严格执行《产业结构调整指导目录》中淘汰类和</w:t>
                  </w:r>
                  <w:r>
                    <w:rPr>
                      <w:rFonts w:hint="eastAsia"/>
                      <w:color w:val="000000" w:themeColor="text1"/>
                      <w:szCs w:val="21"/>
                      <w14:textFill>
                        <w14:solidFill>
                          <w14:schemeClr w14:val="tx1"/>
                        </w14:solidFill>
                      </w14:textFill>
                    </w:rPr>
                    <w:t>限制</w:t>
                  </w:r>
                  <w:r>
                    <w:rPr>
                      <w:color w:val="000000" w:themeColor="text1"/>
                      <w:szCs w:val="21"/>
                      <w14:textFill>
                        <w14:solidFill>
                          <w14:schemeClr w14:val="tx1"/>
                        </w14:solidFill>
                      </w14:textFill>
                    </w:rPr>
                    <w:t>类有关规定，禁止开展投资建设属于淘汰类的项目及其相关活动，禁止开展投资建设新建、扩建属于限制类的项目及其相关活动，对于属于限制类的现有生产能力，允许企业在一定期限内采取措施改造升级，严禁以</w:t>
                  </w:r>
                  <w:r>
                    <w:rPr>
                      <w:rFonts w:hint="eastAsia"/>
                      <w:color w:val="000000" w:themeColor="text1"/>
                      <w:szCs w:val="21"/>
                      <w14:textFill>
                        <w14:solidFill>
                          <w14:schemeClr w14:val="tx1"/>
                        </w14:solidFill>
                      </w14:textFill>
                    </w:rPr>
                    <w:t>改造</w:t>
                  </w:r>
                  <w:r>
                    <w:rPr>
                      <w:color w:val="000000" w:themeColor="text1"/>
                      <w:szCs w:val="21"/>
                      <w14:textFill>
                        <w14:solidFill>
                          <w14:schemeClr w14:val="tx1"/>
                        </w14:solidFill>
                      </w14:textFill>
                    </w:rPr>
                    <w:t>为名扩大产能</w:t>
                  </w:r>
                </w:p>
              </w:tc>
              <w:tc>
                <w:tcPr>
                  <w:tcW w:w="1091" w:type="pct"/>
                  <w:vAlign w:val="center"/>
                </w:tcPr>
                <w:p w14:paraId="6EF11DD6">
                  <w:pP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本项目不属于法律法规和相关政策明令禁止的落后产能项目</w:t>
                  </w:r>
                </w:p>
              </w:tc>
              <w:tc>
                <w:tcPr>
                  <w:tcW w:w="444" w:type="pct"/>
                  <w:vAlign w:val="center"/>
                </w:tcPr>
                <w:p w14:paraId="33128E8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57AD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7EBD14E6">
                  <w:pPr>
                    <w:jc w:val="center"/>
                    <w:rPr>
                      <w:color w:val="000000" w:themeColor="text1"/>
                      <w:szCs w:val="21"/>
                      <w14:textFill>
                        <w14:solidFill>
                          <w14:schemeClr w14:val="tx1"/>
                        </w14:solidFill>
                      </w14:textFill>
                    </w:rPr>
                  </w:pPr>
                </w:p>
              </w:tc>
              <w:tc>
                <w:tcPr>
                  <w:tcW w:w="3180" w:type="pct"/>
                  <w:vAlign w:val="center"/>
                </w:tcPr>
                <w:p w14:paraId="36D7BA8F">
                  <w:pPr>
                    <w:rPr>
                      <w:color w:val="000000" w:themeColor="text1"/>
                      <w:szCs w:val="21"/>
                      <w14:textFill>
                        <w14:solidFill>
                          <w14:schemeClr w14:val="tx1"/>
                        </w14:solidFill>
                      </w14:textFill>
                    </w:rPr>
                  </w:pPr>
                  <w:r>
                    <w:rPr>
                      <w:color w:val="000000" w:themeColor="text1"/>
                      <w:szCs w:val="21"/>
                      <w14:textFill>
                        <w14:solidFill>
                          <w14:schemeClr w14:val="tx1"/>
                        </w14:solidFill>
                      </w14:textFill>
                    </w:rPr>
                    <w:t>16禁止新建、扩建不符合国家产能置换要求的钢铁、电解铝、水泥熟料、平板玻璃、船舶等严重过剩产能行业的项目。严格执行《国务院关于化解产能严重过剩矛盾的指导意见》，各地部门不得以任何名义、任何方式新增</w:t>
                  </w:r>
                  <w:r>
                    <w:rPr>
                      <w:rFonts w:hint="eastAsia"/>
                      <w:color w:val="000000" w:themeColor="text1"/>
                      <w:szCs w:val="21"/>
                      <w14:textFill>
                        <w14:solidFill>
                          <w14:schemeClr w14:val="tx1"/>
                        </w14:solidFill>
                      </w14:textFill>
                    </w:rPr>
                    <w:t>产能</w:t>
                  </w:r>
                  <w:r>
                    <w:rPr>
                      <w:color w:val="000000" w:themeColor="text1"/>
                      <w:szCs w:val="21"/>
                      <w14:textFill>
                        <w14:solidFill>
                          <w14:schemeClr w14:val="tx1"/>
                        </w14:solidFill>
                      </w14:textFill>
                    </w:rPr>
                    <w:t>；对确有必要建设的，必须严格执行产能置换实施办法，实施减量或等量置换，依法依规办理有关手续</w:t>
                  </w:r>
                </w:p>
              </w:tc>
              <w:tc>
                <w:tcPr>
                  <w:tcW w:w="1091" w:type="pct"/>
                  <w:vAlign w:val="center"/>
                </w:tcPr>
                <w:p w14:paraId="0D1CD54C">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项目不属于产能严重过剩项目</w:t>
                  </w:r>
                </w:p>
              </w:tc>
              <w:tc>
                <w:tcPr>
                  <w:tcW w:w="444" w:type="pct"/>
                  <w:vAlign w:val="center"/>
                </w:tcPr>
                <w:p w14:paraId="262F73D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BDC9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 w:type="pct"/>
                  <w:vMerge w:val="continue"/>
                  <w:vAlign w:val="center"/>
                </w:tcPr>
                <w:p w14:paraId="557E8061">
                  <w:pPr>
                    <w:jc w:val="center"/>
                    <w:rPr>
                      <w:color w:val="000000" w:themeColor="text1"/>
                      <w:szCs w:val="21"/>
                      <w14:textFill>
                        <w14:solidFill>
                          <w14:schemeClr w14:val="tx1"/>
                        </w14:solidFill>
                      </w14:textFill>
                    </w:rPr>
                  </w:pPr>
                </w:p>
              </w:tc>
              <w:tc>
                <w:tcPr>
                  <w:tcW w:w="3180" w:type="pct"/>
                  <w:vAlign w:val="center"/>
                </w:tcPr>
                <w:p w14:paraId="710FE878">
                  <w:pPr>
                    <w:rPr>
                      <w:color w:val="000000" w:themeColor="text1"/>
                      <w:szCs w:val="21"/>
                      <w14:textFill>
                        <w14:solidFill>
                          <w14:schemeClr w14:val="tx1"/>
                        </w14:solidFill>
                      </w14:textFill>
                    </w:rPr>
                  </w:pPr>
                  <w:r>
                    <w:rPr>
                      <w:color w:val="000000" w:themeColor="text1"/>
                      <w:szCs w:val="21"/>
                      <w14:textFill>
                        <w14:solidFill>
                          <w14:schemeClr w14:val="tx1"/>
                        </w14:solidFill>
                      </w14:textFill>
                    </w:rPr>
                    <w:t>17禁止新建、扩建不符合要求的高耗能高排放项目。严格执行《江西省人民政府办公厅关于严格高耗能高排放项目准入管理的实施意见》（赣府厅发</w:t>
                  </w:r>
                  <w:r>
                    <w:rPr>
                      <w:rFonts w:hint="eastAsia"/>
                      <w:color w:val="000000" w:themeColor="text1"/>
                      <w:szCs w:val="21"/>
                      <w14:textFill>
                        <w14:solidFill>
                          <w14:schemeClr w14:val="tx1"/>
                        </w14:solidFill>
                      </w14:textFill>
                    </w:rPr>
                    <w:t>〔2021〕33号</w:t>
                  </w:r>
                  <w:r>
                    <w:rPr>
                      <w:color w:val="000000" w:themeColor="text1"/>
                      <w:szCs w:val="21"/>
                      <w14:textFill>
                        <w14:solidFill>
                          <w14:schemeClr w14:val="tx1"/>
                        </w14:solidFill>
                      </w14:textFill>
                    </w:rPr>
                    <w:t>），加强项目审查论证，落实等量、减量替代要求，规范项目行政审批</w:t>
                  </w:r>
                </w:p>
              </w:tc>
              <w:tc>
                <w:tcPr>
                  <w:tcW w:w="1091" w:type="pct"/>
                  <w:vAlign w:val="center"/>
                </w:tcPr>
                <w:p w14:paraId="0A563EA1">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项目不属于高能耗高排放项目</w:t>
                  </w:r>
                </w:p>
              </w:tc>
              <w:tc>
                <w:tcPr>
                  <w:tcW w:w="444" w:type="pct"/>
                  <w:vAlign w:val="center"/>
                </w:tcPr>
                <w:p w14:paraId="29AD63D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14:paraId="58F32460">
            <w:pPr>
              <w:spacing w:line="360" w:lineRule="auto"/>
              <w:ind w:firstLine="482"/>
              <w:rPr>
                <w:color w:val="000000" w:themeColor="text1"/>
                <w:sz w:val="24"/>
                <w14:textFill>
                  <w14:solidFill>
                    <w14:schemeClr w14:val="tx1"/>
                  </w14:solidFill>
                </w14:textFill>
              </w:rPr>
            </w:pPr>
            <w:r>
              <w:rPr>
                <w:color w:val="000000" w:themeColor="text1"/>
                <w:kern w:val="0"/>
                <w:sz w:val="24"/>
                <w:szCs w:val="20"/>
                <w14:textFill>
                  <w14:solidFill>
                    <w14:schemeClr w14:val="tx1"/>
                  </w14:solidFill>
                </w14:textFill>
              </w:rPr>
              <w:t>综上，本项目不在《江西省长江经济带发展负面清单实施细则（试行，2022年版）》中的负面清单之列。</w:t>
            </w:r>
          </w:p>
          <w:p w14:paraId="18FD84B3">
            <w:pPr>
              <w:pStyle w:val="128"/>
              <w:adjustRightInd w:val="0"/>
              <w:snapToGrid w:val="0"/>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七</w:t>
            </w:r>
            <w:r>
              <w:rPr>
                <w:rFonts w:eastAsiaTheme="minorEastAsia"/>
                <w:b/>
                <w:bCs/>
                <w:color w:val="000000" w:themeColor="text1"/>
                <w:sz w:val="24"/>
                <w14:textFill>
                  <w14:solidFill>
                    <w14:schemeClr w14:val="tx1"/>
                  </w14:solidFill>
                </w14:textFill>
              </w:rPr>
              <w:t>、</w:t>
            </w:r>
            <w:r>
              <w:rPr>
                <w:rFonts w:hint="eastAsia" w:eastAsiaTheme="minorEastAsia"/>
                <w:b/>
                <w:bCs/>
                <w:color w:val="000000" w:themeColor="text1"/>
                <w:sz w:val="24"/>
                <w14:textFill>
                  <w14:solidFill>
                    <w14:schemeClr w14:val="tx1"/>
                  </w14:solidFill>
                </w14:textFill>
              </w:rPr>
              <w:t>项目</w:t>
            </w:r>
            <w:r>
              <w:rPr>
                <w:rFonts w:eastAsiaTheme="minorEastAsia"/>
                <w:b/>
                <w:bCs/>
                <w:color w:val="000000" w:themeColor="text1"/>
                <w:sz w:val="24"/>
                <w14:textFill>
                  <w14:solidFill>
                    <w14:schemeClr w14:val="tx1"/>
                  </w14:solidFill>
                </w14:textFill>
              </w:rPr>
              <w:t>与《江西省重点行业挥发性有机物综合治理方案》（赣环大气〔2019〕20号）相关要求的相符性分析</w:t>
            </w:r>
          </w:p>
          <w:p w14:paraId="50D8770E">
            <w:pPr>
              <w:pStyle w:val="2"/>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表1-</w:t>
            </w:r>
            <w:r>
              <w:rPr>
                <w:rFonts w:hint="eastAsia"/>
                <w:color w:val="000000" w:themeColor="text1"/>
                <w:sz w:val="21"/>
                <w:szCs w:val="21"/>
                <w:lang w:val="en-US"/>
                <w14:textFill>
                  <w14:solidFill>
                    <w14:schemeClr w14:val="tx1"/>
                  </w14:solidFill>
                </w14:textFill>
              </w:rPr>
              <w:t>7</w:t>
            </w:r>
            <w:r>
              <w:rPr>
                <w:color w:val="000000" w:themeColor="text1"/>
                <w:sz w:val="21"/>
                <w:szCs w:val="21"/>
                <w:lang w:val="en-US"/>
                <w14:textFill>
                  <w14:solidFill>
                    <w14:schemeClr w14:val="tx1"/>
                  </w14:solidFill>
                </w14:textFill>
              </w:rPr>
              <w:t xml:space="preserve">  </w:t>
            </w:r>
            <w:r>
              <w:rPr>
                <w:rFonts w:hint="eastAsia"/>
                <w:color w:val="000000" w:themeColor="text1"/>
                <w:sz w:val="21"/>
                <w:szCs w:val="21"/>
                <w:lang w:val="en-US"/>
                <w14:textFill>
                  <w14:solidFill>
                    <w14:schemeClr w14:val="tx1"/>
                  </w14:solidFill>
                </w14:textFill>
              </w:rPr>
              <w:t>项目</w:t>
            </w:r>
            <w:r>
              <w:rPr>
                <w:color w:val="000000" w:themeColor="text1"/>
                <w:sz w:val="21"/>
                <w:szCs w:val="21"/>
                <w:lang w:val="en-US"/>
                <w14:textFill>
                  <w14:solidFill>
                    <w14:schemeClr w14:val="tx1"/>
                  </w14:solidFill>
                </w14:textFill>
              </w:rPr>
              <w:t>与（赣环大气〔2019〕20号）相关要求的相符性分析</w:t>
            </w:r>
          </w:p>
          <w:tbl>
            <w:tblPr>
              <w:tblStyle w:val="43"/>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8"/>
              <w:gridCol w:w="2877"/>
              <w:gridCol w:w="865"/>
            </w:tblGrid>
            <w:tr w14:paraId="3213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8" w:type="dxa"/>
                  <w:vAlign w:val="center"/>
                </w:tcPr>
                <w:p w14:paraId="1B5C3E7D">
                  <w:pPr>
                    <w:pStyle w:val="203"/>
                    <w:spacing w:line="240" w:lineRule="auto"/>
                    <w:ind w:firstLine="0" w:firstLineChars="0"/>
                    <w:jc w:val="center"/>
                    <w:rPr>
                      <w:rFonts w:ascii="Times New Roman" w:hAnsi="Times New Roman"/>
                      <w:b/>
                      <w:color w:val="000000" w:themeColor="text1"/>
                      <w:kern w:val="0"/>
                      <w:sz w:val="21"/>
                      <w:szCs w:val="21"/>
                      <w14:textFill>
                        <w14:solidFill>
                          <w14:schemeClr w14:val="tx1"/>
                        </w14:solidFill>
                      </w14:textFill>
                    </w:rPr>
                  </w:pPr>
                  <w:r>
                    <w:rPr>
                      <w:rFonts w:ascii="Times New Roman" w:hAnsi="Times New Roman"/>
                      <w:b/>
                      <w:color w:val="000000" w:themeColor="text1"/>
                      <w:kern w:val="0"/>
                      <w:sz w:val="21"/>
                      <w:szCs w:val="21"/>
                      <w14:textFill>
                        <w14:solidFill>
                          <w14:schemeClr w14:val="tx1"/>
                        </w14:solidFill>
                      </w14:textFill>
                    </w:rPr>
                    <w:t>具体要求</w:t>
                  </w:r>
                </w:p>
              </w:tc>
              <w:tc>
                <w:tcPr>
                  <w:tcW w:w="2877" w:type="dxa"/>
                  <w:vAlign w:val="center"/>
                </w:tcPr>
                <w:p w14:paraId="3CD5F230">
                  <w:pPr>
                    <w:pStyle w:val="203"/>
                    <w:spacing w:line="240" w:lineRule="auto"/>
                    <w:ind w:firstLine="0" w:firstLineChars="0"/>
                    <w:jc w:val="center"/>
                    <w:rPr>
                      <w:rFonts w:ascii="Times New Roman" w:hAnsi="Times New Roman"/>
                      <w:b/>
                      <w:color w:val="000000" w:themeColor="text1"/>
                      <w:kern w:val="0"/>
                      <w:sz w:val="21"/>
                      <w:szCs w:val="21"/>
                      <w14:textFill>
                        <w14:solidFill>
                          <w14:schemeClr w14:val="tx1"/>
                        </w14:solidFill>
                      </w14:textFill>
                    </w:rPr>
                  </w:pPr>
                  <w:r>
                    <w:rPr>
                      <w:rFonts w:ascii="Times New Roman" w:hAnsi="Times New Roman"/>
                      <w:b/>
                      <w:color w:val="000000" w:themeColor="text1"/>
                      <w:kern w:val="0"/>
                      <w:sz w:val="21"/>
                      <w:szCs w:val="21"/>
                      <w14:textFill>
                        <w14:solidFill>
                          <w14:schemeClr w14:val="tx1"/>
                        </w14:solidFill>
                      </w14:textFill>
                    </w:rPr>
                    <w:t>本项目情况</w:t>
                  </w:r>
                </w:p>
              </w:tc>
              <w:tc>
                <w:tcPr>
                  <w:tcW w:w="865" w:type="dxa"/>
                  <w:vAlign w:val="center"/>
                </w:tcPr>
                <w:p w14:paraId="76B8FECA">
                  <w:pPr>
                    <w:pStyle w:val="203"/>
                    <w:spacing w:line="240" w:lineRule="auto"/>
                    <w:ind w:firstLine="0" w:firstLineChars="0"/>
                    <w:jc w:val="center"/>
                    <w:rPr>
                      <w:rFonts w:ascii="Times New Roman" w:hAnsi="Times New Roman"/>
                      <w:b/>
                      <w:color w:val="000000" w:themeColor="text1"/>
                      <w:kern w:val="0"/>
                      <w:sz w:val="21"/>
                      <w:szCs w:val="21"/>
                      <w14:textFill>
                        <w14:solidFill>
                          <w14:schemeClr w14:val="tx1"/>
                        </w14:solidFill>
                      </w14:textFill>
                    </w:rPr>
                  </w:pPr>
                  <w:r>
                    <w:rPr>
                      <w:rFonts w:ascii="Times New Roman" w:hAnsi="Times New Roman"/>
                      <w:b/>
                      <w:color w:val="000000" w:themeColor="text1"/>
                      <w:kern w:val="0"/>
                      <w:sz w:val="21"/>
                      <w:szCs w:val="21"/>
                      <w14:textFill>
                        <w14:solidFill>
                          <w14:schemeClr w14:val="tx1"/>
                        </w14:solidFill>
                      </w14:textFill>
                    </w:rPr>
                    <w:t>相符性</w:t>
                  </w:r>
                </w:p>
              </w:tc>
            </w:tr>
            <w:tr w14:paraId="4600A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8" w:type="dxa"/>
                  <w:vAlign w:val="center"/>
                </w:tcPr>
                <w:p w14:paraId="320A14CF">
                  <w:pPr>
                    <w:widowControl/>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各行业在满足VOCs排放标准前提下，企业采用符合国家有关低VOCs含量产品规定的涂料、油墨、胶粘剂等，排放浓度稳定达标且排放速率、处理效率等满足相关规定的，相应生产工序可不要求建设末端治理设施；企业使用的原辅材料VOCs含量（质量比）低于10%的工序，可不要求采取无组织排放收集措施。</w:t>
                  </w:r>
                </w:p>
              </w:tc>
              <w:tc>
                <w:tcPr>
                  <w:tcW w:w="2877" w:type="dxa"/>
                  <w:vAlign w:val="center"/>
                </w:tcPr>
                <w:p w14:paraId="47CD279C">
                  <w:pPr>
                    <w:pStyle w:val="203"/>
                    <w:spacing w:line="240" w:lineRule="auto"/>
                    <w:ind w:firstLine="0" w:firstLineChars="0"/>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kern w:val="0"/>
                      <w:sz w:val="21"/>
                      <w:szCs w:val="21"/>
                      <w14:textFill>
                        <w14:solidFill>
                          <w14:schemeClr w14:val="tx1"/>
                        </w14:solidFill>
                      </w14:textFill>
                    </w:rPr>
                    <w:t>本项目产生的</w:t>
                  </w:r>
                  <w:r>
                    <w:rPr>
                      <w:rFonts w:hint="eastAsia" w:ascii="Times New Roman" w:hAnsi="Times New Roman"/>
                      <w:color w:val="000000" w:themeColor="text1"/>
                      <w:kern w:val="0"/>
                      <w:sz w:val="21"/>
                      <w:szCs w:val="21"/>
                      <w14:textFill>
                        <w14:solidFill>
                          <w14:schemeClr w14:val="tx1"/>
                        </w14:solidFill>
                      </w14:textFill>
                    </w:rPr>
                    <w:t>调漆、喷漆废气密闭负压收集后经“水帘柜+过滤棉”预处理后与密闭负压收集的烘干废气一并经“活性炭吸附脱附+小型催化燃烧装置”处理</w:t>
                  </w:r>
                  <w:r>
                    <w:rPr>
                      <w:rFonts w:ascii="Times New Roman" w:hAnsi="Times New Roman"/>
                      <w:color w:val="000000" w:themeColor="text1"/>
                      <w:kern w:val="0"/>
                      <w:sz w:val="21"/>
                      <w:szCs w:val="21"/>
                      <w14:textFill>
                        <w14:solidFill>
                          <w14:schemeClr w14:val="tx1"/>
                        </w14:solidFill>
                      </w14:textFill>
                    </w:rPr>
                    <w:t>，达标后通过一根15m高的排气筒DA001排放。</w:t>
                  </w:r>
                </w:p>
              </w:tc>
              <w:tc>
                <w:tcPr>
                  <w:tcW w:w="865" w:type="dxa"/>
                  <w:vAlign w:val="center"/>
                </w:tcPr>
                <w:p w14:paraId="2475606B">
                  <w:pPr>
                    <w:pStyle w:val="203"/>
                    <w:spacing w:line="240" w:lineRule="auto"/>
                    <w:ind w:firstLine="0" w:firstLineChars="0"/>
                    <w:jc w:val="center"/>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相符</w:t>
                  </w:r>
                </w:p>
              </w:tc>
            </w:tr>
            <w:tr w14:paraId="5B775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8" w:type="dxa"/>
                  <w:vAlign w:val="center"/>
                </w:tcPr>
                <w:p w14:paraId="22FBD72B">
                  <w:pPr>
                    <w:pStyle w:val="203"/>
                    <w:spacing w:line="240" w:lineRule="auto"/>
                    <w:ind w:firstLine="0" w:firstLineChars="0"/>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kern w:val="0"/>
                      <w:sz w:val="21"/>
                      <w:szCs w:val="21"/>
                      <w14:textFill>
                        <w14:solidFill>
                          <w14:schemeClr w14:val="tx1"/>
                        </w14:solidFill>
                      </w14:textFill>
                    </w:rPr>
                    <w:t>涂料、稀释剂、清洗剂等原辅料应密闭储存，调配、使用、回收等过程应采用密闭设备或在密闭空间内操作，采用密闭管道或密闭容器等输送。</w:t>
                  </w:r>
                </w:p>
              </w:tc>
              <w:tc>
                <w:tcPr>
                  <w:tcW w:w="2877" w:type="dxa"/>
                  <w:vAlign w:val="center"/>
                </w:tcPr>
                <w:p w14:paraId="327A415F">
                  <w:pPr>
                    <w:pStyle w:val="203"/>
                    <w:spacing w:line="240" w:lineRule="auto"/>
                    <w:ind w:firstLine="0" w:firstLineChars="0"/>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kern w:val="0"/>
                      <w:sz w:val="21"/>
                      <w:szCs w:val="21"/>
                      <w14:textFill>
                        <w14:solidFill>
                          <w14:schemeClr w14:val="tx1"/>
                        </w14:solidFill>
                      </w14:textFill>
                    </w:rPr>
                    <w:t>本项目油漆、稀释剂等原辅料密闭储存，调配、使用、回收等过程在密闭空间内操作。</w:t>
                  </w:r>
                </w:p>
              </w:tc>
              <w:tc>
                <w:tcPr>
                  <w:tcW w:w="865" w:type="dxa"/>
                  <w:vAlign w:val="center"/>
                </w:tcPr>
                <w:p w14:paraId="172AAE8F">
                  <w:pPr>
                    <w:pStyle w:val="203"/>
                    <w:spacing w:line="240" w:lineRule="auto"/>
                    <w:ind w:firstLine="0" w:firstLineChars="0"/>
                    <w:jc w:val="center"/>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相符</w:t>
                  </w:r>
                </w:p>
              </w:tc>
            </w:tr>
            <w:tr w14:paraId="5335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8" w:type="dxa"/>
                  <w:vAlign w:val="center"/>
                </w:tcPr>
                <w:p w14:paraId="0D50578A">
                  <w:pPr>
                    <w:pStyle w:val="203"/>
                    <w:spacing w:line="240" w:lineRule="auto"/>
                    <w:ind w:firstLine="0" w:firstLineChars="0"/>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kern w:val="0"/>
                      <w:sz w:val="21"/>
                      <w:szCs w:val="21"/>
                      <w14:textFill>
                        <w14:solidFill>
                          <w14:schemeClr w14:val="tx1"/>
                        </w14:solidFill>
                      </w14:textFill>
                    </w:rPr>
                    <w:t>车间或生产设施收集排放的废气VOC</w:t>
                  </w:r>
                  <w:r>
                    <w:rPr>
                      <w:rFonts w:ascii="Times New Roman" w:hAnsi="Times New Roman"/>
                      <w:color w:val="000000" w:themeColor="text1"/>
                      <w:kern w:val="0"/>
                      <w:sz w:val="21"/>
                      <w:szCs w:val="21"/>
                      <w:vertAlign w:val="subscript"/>
                      <w14:textFill>
                        <w14:solidFill>
                          <w14:schemeClr w14:val="tx1"/>
                        </w14:solidFill>
                      </w14:textFill>
                    </w:rPr>
                    <w:t>S</w:t>
                  </w:r>
                  <w:r>
                    <w:rPr>
                      <w:rFonts w:ascii="Times New Roman" w:hAnsi="Times New Roman"/>
                      <w:color w:val="000000" w:themeColor="text1"/>
                      <w:kern w:val="0"/>
                      <w:sz w:val="21"/>
                      <w:szCs w:val="21"/>
                      <w14:textFill>
                        <w14:solidFill>
                          <w14:schemeClr w14:val="tx1"/>
                        </w14:solidFill>
                      </w14:textFill>
                    </w:rPr>
                    <w:t>初始排放速率大于等于3千克/小时的，应加大控制力度，除确保排放浓度稳定达标外，还应实行去除效率控制，去除效率不低于80%；采用的原辅材料符合国家有关低VOC</w:t>
                  </w:r>
                  <w:r>
                    <w:rPr>
                      <w:rFonts w:ascii="Times New Roman" w:hAnsi="Times New Roman"/>
                      <w:color w:val="000000" w:themeColor="text1"/>
                      <w:kern w:val="0"/>
                      <w:sz w:val="21"/>
                      <w:szCs w:val="21"/>
                      <w:vertAlign w:val="subscript"/>
                      <w14:textFill>
                        <w14:solidFill>
                          <w14:schemeClr w14:val="tx1"/>
                        </w14:solidFill>
                      </w14:textFill>
                    </w:rPr>
                    <w:t>S</w:t>
                  </w:r>
                  <w:r>
                    <w:rPr>
                      <w:rFonts w:ascii="Times New Roman" w:hAnsi="Times New Roman"/>
                      <w:color w:val="000000" w:themeColor="text1"/>
                      <w:kern w:val="0"/>
                      <w:sz w:val="21"/>
                      <w:szCs w:val="21"/>
                      <w14:textFill>
                        <w14:solidFill>
                          <w14:schemeClr w14:val="tx1"/>
                        </w14:solidFill>
                      </w14:textFill>
                    </w:rPr>
                    <w:t>含量产品规定的除外，有行业排放标准的按其相关规定执行</w:t>
                  </w:r>
                </w:p>
              </w:tc>
              <w:tc>
                <w:tcPr>
                  <w:tcW w:w="2877" w:type="dxa"/>
                  <w:vAlign w:val="center"/>
                </w:tcPr>
                <w:p w14:paraId="5E3AFF61">
                  <w:pPr>
                    <w:pStyle w:val="203"/>
                    <w:spacing w:line="240" w:lineRule="auto"/>
                    <w:ind w:firstLine="0" w:firstLineChars="0"/>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本项目废气排气筒DA001初始排放速率小于3千克/小时。</w:t>
                  </w:r>
                  <w:r>
                    <w:rPr>
                      <w:rFonts w:ascii="Times New Roman" w:hAnsi="Times New Roman"/>
                      <w:color w:val="000000" w:themeColor="text1"/>
                      <w:kern w:val="0"/>
                      <w:sz w:val="21"/>
                      <w:szCs w:val="21"/>
                      <w14:textFill>
                        <w14:solidFill>
                          <w14:schemeClr w14:val="tx1"/>
                        </w14:solidFill>
                      </w14:textFill>
                    </w:rPr>
                    <w:t>本项目产生的</w:t>
                  </w:r>
                  <w:r>
                    <w:rPr>
                      <w:rFonts w:hint="eastAsia" w:ascii="Times New Roman" w:hAnsi="Times New Roman"/>
                      <w:color w:val="000000" w:themeColor="text1"/>
                      <w:kern w:val="0"/>
                      <w:sz w:val="21"/>
                      <w:szCs w:val="21"/>
                      <w14:textFill>
                        <w14:solidFill>
                          <w14:schemeClr w14:val="tx1"/>
                        </w14:solidFill>
                      </w14:textFill>
                    </w:rPr>
                    <w:t>调漆、喷漆废气密闭负压收集后经“水帘柜+过滤棉”预处理后与密闭负压收集的烘干废气一并经“活性炭吸附脱附+小型催化燃烧装置”处理</w:t>
                  </w:r>
                  <w:r>
                    <w:rPr>
                      <w:rFonts w:ascii="Times New Roman" w:hAnsi="Times New Roman"/>
                      <w:color w:val="000000" w:themeColor="text1"/>
                      <w:kern w:val="0"/>
                      <w:sz w:val="21"/>
                      <w:szCs w:val="21"/>
                      <w14:textFill>
                        <w14:solidFill>
                          <w14:schemeClr w14:val="tx1"/>
                        </w14:solidFill>
                      </w14:textFill>
                    </w:rPr>
                    <w:t>，达标后通过一根15m高的排气筒DA001排放。</w:t>
                  </w:r>
                </w:p>
              </w:tc>
              <w:tc>
                <w:tcPr>
                  <w:tcW w:w="865" w:type="dxa"/>
                  <w:vAlign w:val="center"/>
                </w:tcPr>
                <w:p w14:paraId="18641990">
                  <w:pPr>
                    <w:pStyle w:val="203"/>
                    <w:spacing w:line="240" w:lineRule="auto"/>
                    <w:ind w:firstLine="0" w:firstLineChars="0"/>
                    <w:jc w:val="center"/>
                    <w:rPr>
                      <w:rFonts w:ascii="Times New Roman" w:hAnsi="Times New Roman"/>
                      <w:color w:val="000000" w:themeColor="text1"/>
                      <w:kern w:val="0"/>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相符</w:t>
                  </w:r>
                </w:p>
              </w:tc>
            </w:tr>
          </w:tbl>
          <w:p w14:paraId="4149A226">
            <w:pPr>
              <w:pStyle w:val="128"/>
              <w:adjustRightInd w:val="0"/>
              <w:snapToGrid w:val="0"/>
              <w:spacing w:line="360"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综上所述，本项目与《江西省重点行业挥发性有机物综合治理方案》（赣环大气</w:t>
            </w:r>
            <w:r>
              <w:rPr>
                <w:rFonts w:hint="eastAsia" w:eastAsiaTheme="minorEastAsia"/>
                <w:color w:val="000000" w:themeColor="text1"/>
                <w:sz w:val="24"/>
                <w14:textFill>
                  <w14:solidFill>
                    <w14:schemeClr w14:val="tx1"/>
                  </w14:solidFill>
                </w14:textFill>
              </w:rPr>
              <w:t>〔2019〕20号</w:t>
            </w:r>
            <w:r>
              <w:rPr>
                <w:rFonts w:eastAsiaTheme="minorEastAsia"/>
                <w:color w:val="000000" w:themeColor="text1"/>
                <w:sz w:val="24"/>
                <w14:textFill>
                  <w14:solidFill>
                    <w14:schemeClr w14:val="tx1"/>
                  </w14:solidFill>
                </w14:textFill>
              </w:rPr>
              <w:t>）相关要求相符。</w:t>
            </w:r>
          </w:p>
          <w:p w14:paraId="40DE6EB6">
            <w:pPr>
              <w:pStyle w:val="128"/>
              <w:adjustRightInd w:val="0"/>
              <w:snapToGrid w:val="0"/>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八</w:t>
            </w:r>
            <w:r>
              <w:rPr>
                <w:rFonts w:eastAsiaTheme="minorEastAsia"/>
                <w:b/>
                <w:bCs/>
                <w:color w:val="000000" w:themeColor="text1"/>
                <w:sz w:val="24"/>
                <w14:textFill>
                  <w14:solidFill>
                    <w14:schemeClr w14:val="tx1"/>
                  </w14:solidFill>
                </w14:textFill>
              </w:rPr>
              <w:t>、</w:t>
            </w:r>
            <w:r>
              <w:rPr>
                <w:rFonts w:hint="eastAsia" w:eastAsiaTheme="minorEastAsia"/>
                <w:b/>
                <w:bCs/>
                <w:color w:val="000000" w:themeColor="text1"/>
                <w:sz w:val="24"/>
                <w14:textFill>
                  <w14:solidFill>
                    <w14:schemeClr w14:val="tx1"/>
                  </w14:solidFill>
                </w14:textFill>
              </w:rPr>
              <w:t>项目</w:t>
            </w:r>
            <w:r>
              <w:rPr>
                <w:rFonts w:eastAsiaTheme="minorEastAsia"/>
                <w:b/>
                <w:bCs/>
                <w:color w:val="000000" w:themeColor="text1"/>
                <w:sz w:val="24"/>
                <w14:textFill>
                  <w14:solidFill>
                    <w14:schemeClr w14:val="tx1"/>
                  </w14:solidFill>
                </w14:textFill>
              </w:rPr>
              <w:t>与《空气质量持续改善行动计划》（国发〔2023〕24号）相关要求的相符性分析。</w:t>
            </w:r>
          </w:p>
          <w:p w14:paraId="304A0CF7">
            <w:pPr>
              <w:pStyle w:val="2"/>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表1-</w:t>
            </w:r>
            <w:r>
              <w:rPr>
                <w:rFonts w:hint="eastAsia"/>
                <w:color w:val="000000" w:themeColor="text1"/>
                <w:sz w:val="21"/>
                <w:szCs w:val="21"/>
                <w:lang w:val="en-US"/>
                <w14:textFill>
                  <w14:solidFill>
                    <w14:schemeClr w14:val="tx1"/>
                  </w14:solidFill>
                </w14:textFill>
              </w:rPr>
              <w:t>8</w:t>
            </w:r>
            <w:r>
              <w:rPr>
                <w:color w:val="000000" w:themeColor="text1"/>
                <w:sz w:val="21"/>
                <w:szCs w:val="21"/>
                <w:lang w:val="en-US"/>
                <w14:textFill>
                  <w14:solidFill>
                    <w14:schemeClr w14:val="tx1"/>
                  </w14:solidFill>
                </w14:textFill>
              </w:rPr>
              <w:t xml:space="preserve">  </w:t>
            </w:r>
            <w:r>
              <w:rPr>
                <w:rFonts w:hint="eastAsia"/>
                <w:color w:val="000000" w:themeColor="text1"/>
                <w:sz w:val="21"/>
                <w:szCs w:val="21"/>
                <w:lang w:val="en-US"/>
                <w14:textFill>
                  <w14:solidFill>
                    <w14:schemeClr w14:val="tx1"/>
                  </w14:solidFill>
                </w14:textFill>
              </w:rPr>
              <w:t>项目</w:t>
            </w:r>
            <w:r>
              <w:rPr>
                <w:color w:val="000000" w:themeColor="text1"/>
                <w:sz w:val="21"/>
                <w:szCs w:val="21"/>
                <w:lang w:val="en-US"/>
                <w14:textFill>
                  <w14:solidFill>
                    <w14:schemeClr w14:val="tx1"/>
                  </w14:solidFill>
                </w14:textFill>
              </w:rPr>
              <w:t>与（国发〔2023〕24号）</w:t>
            </w:r>
            <w:r>
              <w:rPr>
                <w:rFonts w:hint="eastAsia"/>
                <w:color w:val="000000" w:themeColor="text1"/>
                <w:sz w:val="21"/>
                <w:szCs w:val="21"/>
                <w:lang w:val="en-US"/>
                <w14:textFill>
                  <w14:solidFill>
                    <w14:schemeClr w14:val="tx1"/>
                  </w14:solidFill>
                </w14:textFill>
              </w:rPr>
              <w:t>相关要求的</w:t>
            </w:r>
            <w:r>
              <w:rPr>
                <w:color w:val="000000" w:themeColor="text1"/>
                <w:sz w:val="21"/>
                <w:szCs w:val="21"/>
                <w:lang w:val="en-US"/>
                <w14:textFill>
                  <w14:solidFill>
                    <w14:schemeClr w14:val="tx1"/>
                  </w14:solidFill>
                </w14:textFill>
              </w:rPr>
              <w:t>相符性分析</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4435"/>
              <w:gridCol w:w="2300"/>
              <w:gridCol w:w="861"/>
            </w:tblGrid>
            <w:tr w14:paraId="2BA8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0" w:type="dxa"/>
                  <w:vAlign w:val="center"/>
                </w:tcPr>
                <w:p w14:paraId="23E03932">
                  <w:pPr>
                    <w:pStyle w:val="128"/>
                    <w:adjustRightInd w:val="0"/>
                    <w:snapToGrid w:val="0"/>
                    <w:ind w:firstLine="0" w:firstLineChars="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序号</w:t>
                  </w:r>
                </w:p>
              </w:tc>
              <w:tc>
                <w:tcPr>
                  <w:tcW w:w="4394" w:type="dxa"/>
                  <w:vAlign w:val="center"/>
                </w:tcPr>
                <w:p w14:paraId="6BFF085B">
                  <w:pPr>
                    <w:pStyle w:val="128"/>
                    <w:adjustRightInd w:val="0"/>
                    <w:snapToGrid w:val="0"/>
                    <w:ind w:firstLine="0" w:firstLineChars="0"/>
                    <w:jc w:val="center"/>
                    <w:rPr>
                      <w:rFonts w:eastAsiaTheme="minorEastAsia"/>
                      <w:b/>
                      <w:bCs/>
                      <w:color w:val="000000" w:themeColor="text1"/>
                      <w:szCs w:val="21"/>
                      <w14:textFill>
                        <w14:solidFill>
                          <w14:schemeClr w14:val="tx1"/>
                        </w14:solidFill>
                      </w14:textFill>
                    </w:rPr>
                  </w:pPr>
                  <w:r>
                    <w:rPr>
                      <w:rFonts w:hint="eastAsia" w:eastAsiaTheme="minorEastAsia"/>
                      <w:b/>
                      <w:bCs/>
                      <w:color w:val="000000" w:themeColor="text1"/>
                      <w:szCs w:val="21"/>
                      <w14:textFill>
                        <w14:solidFill>
                          <w14:schemeClr w14:val="tx1"/>
                        </w14:solidFill>
                      </w14:textFill>
                    </w:rPr>
                    <w:t>相关要求</w:t>
                  </w:r>
                </w:p>
              </w:tc>
              <w:tc>
                <w:tcPr>
                  <w:tcW w:w="2278" w:type="dxa"/>
                  <w:vAlign w:val="center"/>
                </w:tcPr>
                <w:p w14:paraId="31F0790E">
                  <w:pPr>
                    <w:pStyle w:val="128"/>
                    <w:adjustRightInd w:val="0"/>
                    <w:snapToGrid w:val="0"/>
                    <w:ind w:firstLine="0" w:firstLineChars="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本项目</w:t>
                  </w:r>
                </w:p>
              </w:tc>
              <w:tc>
                <w:tcPr>
                  <w:tcW w:w="853" w:type="dxa"/>
                  <w:vAlign w:val="center"/>
                </w:tcPr>
                <w:p w14:paraId="7160DA6F">
                  <w:pPr>
                    <w:pStyle w:val="128"/>
                    <w:adjustRightInd w:val="0"/>
                    <w:snapToGrid w:val="0"/>
                    <w:ind w:firstLine="0" w:firstLineChars="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相符性</w:t>
                  </w:r>
                </w:p>
              </w:tc>
            </w:tr>
            <w:tr w14:paraId="5785D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0" w:type="dxa"/>
                  <w:vAlign w:val="center"/>
                </w:tcPr>
                <w:p w14:paraId="07752ACA">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4394" w:type="dxa"/>
                  <w:vAlign w:val="center"/>
                </w:tcPr>
                <w:p w14:paraId="34F74679">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新改扩建项目严格落实国家产业规划、产业政策、生态环境分区管控方案、规划环评、项目环评、节能审查、产能置换、重点污染物总量控制、污染物排放区域削减、碳排放达峰目标等相关要求，原则上采用清洁运输方式。</w:t>
                  </w:r>
                </w:p>
              </w:tc>
              <w:tc>
                <w:tcPr>
                  <w:tcW w:w="2278" w:type="dxa"/>
                  <w:vAlign w:val="center"/>
                </w:tcPr>
                <w:p w14:paraId="0D57678D">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本项目严格落实国家产业规划，待项目环评审核通过后方进行建设生产。</w:t>
                  </w:r>
                </w:p>
              </w:tc>
              <w:tc>
                <w:tcPr>
                  <w:tcW w:w="853" w:type="dxa"/>
                  <w:vAlign w:val="center"/>
                </w:tcPr>
                <w:p w14:paraId="6D2C4CA9">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88C6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0" w:type="dxa"/>
                  <w:vAlign w:val="center"/>
                </w:tcPr>
                <w:p w14:paraId="43BC4694">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p>
              </w:tc>
              <w:tc>
                <w:tcPr>
                  <w:tcW w:w="4394" w:type="dxa"/>
                  <w:vAlign w:val="center"/>
                </w:tcPr>
                <w:p w14:paraId="28EC650C">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修订《产业结构调整指导目录》，研究将污染物或温室气体排放明显高出行业平均水平、能效和清洁生产水平低的工艺和装备纳入淘汰类和限制类名单。</w:t>
                  </w:r>
                </w:p>
              </w:tc>
              <w:tc>
                <w:tcPr>
                  <w:tcW w:w="2278" w:type="dxa"/>
                  <w:vAlign w:val="center"/>
                </w:tcPr>
                <w:p w14:paraId="0FED4991">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本项目不属于《产业结构调整指导目录（2024年本）》中限制类和淘汰类项目，属于允许类项目。</w:t>
                  </w:r>
                </w:p>
              </w:tc>
              <w:tc>
                <w:tcPr>
                  <w:tcW w:w="853" w:type="dxa"/>
                  <w:vAlign w:val="center"/>
                </w:tcPr>
                <w:p w14:paraId="1D2BE8BD">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BF2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0" w:type="dxa"/>
                  <w:vAlign w:val="center"/>
                </w:tcPr>
                <w:p w14:paraId="7CB7C2B0">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3</w:t>
                  </w:r>
                </w:p>
              </w:tc>
              <w:tc>
                <w:tcPr>
                  <w:tcW w:w="4394" w:type="dxa"/>
                  <w:vAlign w:val="center"/>
                </w:tcPr>
                <w:p w14:paraId="30B4E72E">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中小型传统制造企业集中的城市要制定涉气产业集群发展规划，严格项目审批，严防污染下乡。</w:t>
                  </w:r>
                </w:p>
              </w:tc>
              <w:tc>
                <w:tcPr>
                  <w:tcW w:w="2278" w:type="dxa"/>
                  <w:vAlign w:val="center"/>
                </w:tcPr>
                <w:p w14:paraId="27159253">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本项目位于</w:t>
                  </w:r>
                  <w:r>
                    <w:rPr>
                      <w:rFonts w:hint="eastAsia" w:eastAsiaTheme="minorEastAsia"/>
                      <w:color w:val="000000" w:themeColor="text1"/>
                      <w:szCs w:val="21"/>
                      <w14:textFill>
                        <w14:solidFill>
                          <w14:schemeClr w14:val="tx1"/>
                        </w14:solidFill>
                      </w14:textFill>
                    </w:rPr>
                    <w:t>高安市黄沙岗镇挂榜村柒家村（高安市黄沙柒星建材厂内）</w:t>
                  </w:r>
                  <w:r>
                    <w:rPr>
                      <w:rFonts w:eastAsiaTheme="minorEastAsia"/>
                      <w:color w:val="000000" w:themeColor="text1"/>
                      <w:szCs w:val="21"/>
                      <w14:textFill>
                        <w14:solidFill>
                          <w14:schemeClr w14:val="tx1"/>
                        </w14:solidFill>
                      </w14:textFill>
                    </w:rPr>
                    <w:t>，属于工业用地。</w:t>
                  </w:r>
                </w:p>
              </w:tc>
              <w:tc>
                <w:tcPr>
                  <w:tcW w:w="853" w:type="dxa"/>
                  <w:vAlign w:val="center"/>
                </w:tcPr>
                <w:p w14:paraId="019B3FFD">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D2A2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0" w:type="dxa"/>
                  <w:vAlign w:val="center"/>
                </w:tcPr>
                <w:p w14:paraId="62DD947F">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4</w:t>
                  </w:r>
                </w:p>
              </w:tc>
              <w:tc>
                <w:tcPr>
                  <w:tcW w:w="4394" w:type="dxa"/>
                  <w:vAlign w:val="center"/>
                </w:tcPr>
                <w:p w14:paraId="6996B4E2">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严格控制生产和使用高VOCs含量涂料、油墨、胶粘剂、清洗剂等建设项目，提高低（无）VOCs含量产品比重。实施源头替代工程，加大工业涂装、包装印刷和电子行业低（无）VOCs含量原辅材料替代力度。</w:t>
                  </w:r>
                </w:p>
              </w:tc>
              <w:tc>
                <w:tcPr>
                  <w:tcW w:w="2278" w:type="dxa"/>
                  <w:vAlign w:val="center"/>
                </w:tcPr>
                <w:p w14:paraId="55A63FC1">
                  <w:pPr>
                    <w:pStyle w:val="128"/>
                    <w:adjustRightInd w:val="0"/>
                    <w:snapToGrid w:val="0"/>
                    <w:ind w:firstLine="0" w:firstLineChars="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w:t>
                  </w:r>
                  <w:r>
                    <w:rPr>
                      <w:rFonts w:hint="eastAsia" w:eastAsiaTheme="minorEastAsia"/>
                      <w:color w:val="000000" w:themeColor="text1"/>
                      <w:szCs w:val="21"/>
                      <w14:textFill>
                        <w14:solidFill>
                          <w14:schemeClr w14:val="tx1"/>
                        </w14:solidFill>
                      </w14:textFill>
                    </w:rPr>
                    <w:t>使用的油漆符合《工业防护涂料中有害物质限量》（GB 30981-2020）要求</w:t>
                  </w:r>
                  <w:r>
                    <w:rPr>
                      <w:rFonts w:eastAsiaTheme="minorEastAsia"/>
                      <w:color w:val="000000" w:themeColor="text1"/>
                      <w:szCs w:val="21"/>
                      <w14:textFill>
                        <w14:solidFill>
                          <w14:schemeClr w14:val="tx1"/>
                        </w14:solidFill>
                      </w14:textFill>
                    </w:rPr>
                    <w:t>。</w:t>
                  </w:r>
                </w:p>
              </w:tc>
              <w:tc>
                <w:tcPr>
                  <w:tcW w:w="853" w:type="dxa"/>
                  <w:vAlign w:val="center"/>
                </w:tcPr>
                <w:p w14:paraId="65E8C067">
                  <w:pPr>
                    <w:pStyle w:val="128"/>
                    <w:adjustRightInd w:val="0"/>
                    <w:snapToGrid w:val="0"/>
                    <w:ind w:firstLine="0" w:firstLineChars="0"/>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14:paraId="4460D03B">
            <w:pPr>
              <w:pStyle w:val="128"/>
              <w:adjustRightInd w:val="0"/>
              <w:snapToGrid w:val="0"/>
              <w:spacing w:line="360"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综上所述，本项目与《空气质量持续改善行动计划》（国发〔2023〕24号）相关要求相符。</w:t>
            </w:r>
          </w:p>
          <w:p w14:paraId="512137D5">
            <w:pPr>
              <w:pStyle w:val="128"/>
              <w:adjustRightInd w:val="0"/>
              <w:snapToGrid w:val="0"/>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九</w:t>
            </w:r>
            <w:r>
              <w:rPr>
                <w:rFonts w:eastAsiaTheme="minorEastAsia"/>
                <w:b/>
                <w:bCs/>
                <w:color w:val="000000" w:themeColor="text1"/>
                <w:sz w:val="24"/>
                <w14:textFill>
                  <w14:solidFill>
                    <w14:schemeClr w14:val="tx1"/>
                  </w14:solidFill>
                </w14:textFill>
              </w:rPr>
              <w:t>、</w:t>
            </w:r>
            <w:r>
              <w:rPr>
                <w:rFonts w:hint="eastAsia" w:eastAsiaTheme="minorEastAsia"/>
                <w:b/>
                <w:bCs/>
                <w:color w:val="000000" w:themeColor="text1"/>
                <w:sz w:val="24"/>
                <w14:textFill>
                  <w14:solidFill>
                    <w14:schemeClr w14:val="tx1"/>
                  </w14:solidFill>
                </w14:textFill>
              </w:rPr>
              <w:t>项目</w:t>
            </w:r>
            <w:r>
              <w:rPr>
                <w:rFonts w:eastAsiaTheme="minorEastAsia"/>
                <w:b/>
                <w:bCs/>
                <w:color w:val="000000" w:themeColor="text1"/>
                <w:sz w:val="24"/>
                <w14:textFill>
                  <w14:solidFill>
                    <w14:schemeClr w14:val="tx1"/>
                  </w14:solidFill>
                </w14:textFill>
              </w:rPr>
              <w:t>与《挥发性有机物无组织排放控制标准》（GB 37822-2019）的相符性分析</w:t>
            </w:r>
          </w:p>
          <w:p w14:paraId="0267BC67">
            <w:pPr>
              <w:pStyle w:val="2"/>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表1-</w:t>
            </w:r>
            <w:r>
              <w:rPr>
                <w:rFonts w:hint="eastAsia"/>
                <w:color w:val="000000" w:themeColor="text1"/>
                <w:sz w:val="21"/>
                <w:szCs w:val="21"/>
                <w:lang w:val="en-US"/>
                <w14:textFill>
                  <w14:solidFill>
                    <w14:schemeClr w14:val="tx1"/>
                  </w14:solidFill>
                </w14:textFill>
              </w:rPr>
              <w:t>9</w:t>
            </w:r>
            <w:r>
              <w:rPr>
                <w:color w:val="000000" w:themeColor="text1"/>
                <w:sz w:val="21"/>
                <w:szCs w:val="21"/>
                <w:lang w:val="en-US"/>
                <w14:textFill>
                  <w14:solidFill>
                    <w14:schemeClr w14:val="tx1"/>
                  </w14:solidFill>
                </w14:textFill>
              </w:rPr>
              <w:t xml:space="preserve">  </w:t>
            </w:r>
            <w:r>
              <w:rPr>
                <w:rFonts w:hint="eastAsia"/>
                <w:color w:val="000000" w:themeColor="text1"/>
                <w:sz w:val="21"/>
                <w:szCs w:val="21"/>
                <w:lang w:val="en-US"/>
                <w14:textFill>
                  <w14:solidFill>
                    <w14:schemeClr w14:val="tx1"/>
                  </w14:solidFill>
                </w14:textFill>
              </w:rPr>
              <w:t>项目与</w:t>
            </w:r>
            <w:r>
              <w:rPr>
                <w:color w:val="000000" w:themeColor="text1"/>
                <w:sz w:val="21"/>
                <w:szCs w:val="21"/>
                <w:lang w:val="en-US"/>
                <w14:textFill>
                  <w14:solidFill>
                    <w14:schemeClr w14:val="tx1"/>
                  </w14:solidFill>
                </w14:textFill>
              </w:rPr>
              <w:t>《挥发性有机物无组织排放控制标准》的相符性分析</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3930"/>
              <w:gridCol w:w="2724"/>
              <w:gridCol w:w="729"/>
            </w:tblGrid>
            <w:tr w14:paraId="78B3B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60B35C9C">
                  <w:pPr>
                    <w:pStyle w:val="128"/>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生产过程</w:t>
                  </w:r>
                </w:p>
              </w:tc>
              <w:tc>
                <w:tcPr>
                  <w:tcW w:w="2373" w:type="pct"/>
                  <w:vAlign w:val="center"/>
                </w:tcPr>
                <w:p w14:paraId="5BF4B86B">
                  <w:pPr>
                    <w:pStyle w:val="128"/>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具体要求</w:t>
                  </w:r>
                </w:p>
              </w:tc>
              <w:tc>
                <w:tcPr>
                  <w:tcW w:w="1645" w:type="pct"/>
                  <w:vAlign w:val="center"/>
                </w:tcPr>
                <w:p w14:paraId="5653D95B">
                  <w:pPr>
                    <w:pStyle w:val="128"/>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440" w:type="pct"/>
                  <w:vAlign w:val="center"/>
                </w:tcPr>
                <w:p w14:paraId="69C654E4">
                  <w:pPr>
                    <w:pStyle w:val="128"/>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14:paraId="35C4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209C3417">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物料储存</w:t>
                  </w:r>
                </w:p>
              </w:tc>
              <w:tc>
                <w:tcPr>
                  <w:tcW w:w="2373" w:type="pct"/>
                  <w:vAlign w:val="center"/>
                </w:tcPr>
                <w:p w14:paraId="23870D48">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color w:val="000000" w:themeColor="text1"/>
                      <w:szCs w:val="21"/>
                      <w14:textFill>
                        <w14:solidFill>
                          <w14:schemeClr w14:val="tx1"/>
                        </w14:solidFill>
                      </w14:textFill>
                    </w:rPr>
                    <w:t>VOCs物料应储存于密闭的容器、包装袋、储罐、储库、料仓中；</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盛装VOCs物料的容器或包装袋应存放于室内，或存放于设置有雨棚、遮阳和防渗设施的专用场地。盛装VOCs物料的容器或包装袋在非取用状态时应加盖、封口，保持密闭。</w:t>
                  </w:r>
                </w:p>
              </w:tc>
              <w:tc>
                <w:tcPr>
                  <w:tcW w:w="1645" w:type="pct"/>
                  <w:vAlign w:val="center"/>
                </w:tcPr>
                <w:p w14:paraId="0F153C1B">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color w:val="000000" w:themeColor="text1"/>
                      <w:szCs w:val="21"/>
                      <w14:textFill>
                        <w14:solidFill>
                          <w14:schemeClr w14:val="tx1"/>
                        </w14:solidFill>
                      </w14:textFill>
                    </w:rPr>
                    <w:t>本项目油漆、稀释剂储存于密闭的容器中</w:t>
                  </w:r>
                  <w:r>
                    <w:rPr>
                      <w:rFonts w:hint="eastAsia"/>
                      <w:color w:val="000000" w:themeColor="text1"/>
                      <w:szCs w:val="21"/>
                      <w14:textFill>
                        <w14:solidFill>
                          <w14:schemeClr w14:val="tx1"/>
                        </w14:solidFill>
                      </w14:textFill>
                    </w:rPr>
                    <w:t>；</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本项目油漆桶、稀释剂桶存放于室内，在非取用状态时加盖、封口，保持密闭。</w:t>
                  </w:r>
                </w:p>
              </w:tc>
              <w:tc>
                <w:tcPr>
                  <w:tcW w:w="440" w:type="pct"/>
                  <w:vAlign w:val="center"/>
                </w:tcPr>
                <w:p w14:paraId="3CAF8D15">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D01F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448EBB91">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转移和输送</w:t>
                  </w:r>
                </w:p>
              </w:tc>
              <w:tc>
                <w:tcPr>
                  <w:tcW w:w="2373" w:type="pct"/>
                  <w:vAlign w:val="center"/>
                </w:tcPr>
                <w:p w14:paraId="32BE80E5">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color w:val="000000" w:themeColor="text1"/>
                      <w:szCs w:val="21"/>
                      <w14:textFill>
                        <w14:solidFill>
                          <w14:schemeClr w14:val="tx1"/>
                        </w14:solidFill>
                      </w14:textFill>
                    </w:rPr>
                    <w:t>液态VOCs物料应采用密闭管道输送。采用非管道输送方式转移液态VOCs物料时，应采用密闭容器、罐车；</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粉状、粒状VOCs物料应采用气力输送设备、管状带式输送机、螺旋输送机等密闭输送方式，或者采用密闭的包装袋容器或罐车进行物料转移。</w:t>
                  </w:r>
                </w:p>
              </w:tc>
              <w:tc>
                <w:tcPr>
                  <w:tcW w:w="1645" w:type="pct"/>
                  <w:vAlign w:val="center"/>
                </w:tcPr>
                <w:p w14:paraId="51639527">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含VOCs物料</w:t>
                  </w:r>
                  <w:r>
                    <w:rPr>
                      <w:color w:val="000000" w:themeColor="text1"/>
                      <w:szCs w:val="21"/>
                      <w14:textFill>
                        <w14:solidFill>
                          <w14:schemeClr w14:val="tx1"/>
                        </w14:solidFill>
                      </w14:textFill>
                    </w:rPr>
                    <w:t>油漆、稀释剂属于液态物料，使用密闭容器进行转移；</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本项目油漆、稀释剂属于液态物料，使用密闭容器进行转移</w:t>
                  </w:r>
                  <w:r>
                    <w:rPr>
                      <w:rFonts w:hint="eastAsia"/>
                      <w:color w:val="000000" w:themeColor="text1"/>
                      <w:szCs w:val="21"/>
                      <w14:textFill>
                        <w14:solidFill>
                          <w14:schemeClr w14:val="tx1"/>
                        </w14:solidFill>
                      </w14:textFill>
                    </w:rPr>
                    <w:t>，无粉状、粒状VOCs物料</w:t>
                  </w:r>
                </w:p>
              </w:tc>
              <w:tc>
                <w:tcPr>
                  <w:tcW w:w="440" w:type="pct"/>
                  <w:vAlign w:val="center"/>
                </w:tcPr>
                <w:p w14:paraId="745DC957">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DA44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5F4A579F">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工艺过程</w:t>
                  </w:r>
                </w:p>
              </w:tc>
              <w:tc>
                <w:tcPr>
                  <w:tcW w:w="2373" w:type="pct"/>
                  <w:vAlign w:val="center"/>
                </w:tcPr>
                <w:p w14:paraId="4210605A">
                  <w:pPr>
                    <w:pStyle w:val="128"/>
                    <w:adjustRightInd w:val="0"/>
                    <w:snapToGrid w:val="0"/>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t>VOCs质量占比大于等于10%的含VOCs产品，其使用过程应采用密闭设备或在密闭空间内操作，废气应排至VOCs废气收集处理系统；无法密闭的，应采取局部气体收集措施，废气应排至VOCs废气收集处理系统。</w:t>
                  </w:r>
                </w:p>
              </w:tc>
              <w:tc>
                <w:tcPr>
                  <w:tcW w:w="1645" w:type="pct"/>
                  <w:vAlign w:val="center"/>
                </w:tcPr>
                <w:p w14:paraId="094D44A0">
                  <w:pPr>
                    <w:pStyle w:val="128"/>
                    <w:adjustRightInd w:val="0"/>
                    <w:snapToGrid w:val="0"/>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本项目调漆、喷漆在密闭的喷漆房内进行、烘干在密闭的烘干房内进行，</w:t>
                  </w:r>
                  <w:r>
                    <w:rPr>
                      <w:rFonts w:hint="eastAsia"/>
                      <w:color w:val="000000" w:themeColor="text1"/>
                      <w:kern w:val="0"/>
                      <w:szCs w:val="21"/>
                      <w14:textFill>
                        <w14:solidFill>
                          <w14:schemeClr w14:val="tx1"/>
                        </w14:solidFill>
                      </w14:textFill>
                    </w:rPr>
                    <w:t>调漆、喷漆</w:t>
                  </w:r>
                  <w:r>
                    <w:rPr>
                      <w:color w:val="000000" w:themeColor="text1"/>
                      <w:szCs w:val="21"/>
                      <w14:textFill>
                        <w14:solidFill>
                          <w14:schemeClr w14:val="tx1"/>
                        </w14:solidFill>
                      </w14:textFill>
                    </w:rPr>
                    <w:t>废气</w:t>
                  </w:r>
                  <w:r>
                    <w:rPr>
                      <w:rFonts w:hint="eastAsia"/>
                      <w:color w:val="000000" w:themeColor="text1"/>
                      <w:szCs w:val="21"/>
                      <w14:textFill>
                        <w14:solidFill>
                          <w14:schemeClr w14:val="tx1"/>
                        </w14:solidFill>
                      </w14:textFill>
                    </w:rPr>
                    <w:t>密闭负压收集后</w:t>
                  </w:r>
                  <w:r>
                    <w:rPr>
                      <w:color w:val="000000" w:themeColor="text1"/>
                      <w:szCs w:val="21"/>
                      <w14:textFill>
                        <w14:solidFill>
                          <w14:schemeClr w14:val="tx1"/>
                        </w14:solidFill>
                      </w14:textFill>
                    </w:rPr>
                    <w:t>经“水帘柜+过滤棉”预处理后与密闭负压收集的烘干废气一并经“活性炭吸附脱附+小型催化燃烧装置”处理</w:t>
                  </w:r>
                  <w:r>
                    <w:rPr>
                      <w:rFonts w:hint="eastAsia"/>
                      <w:color w:val="000000" w:themeColor="text1"/>
                      <w:szCs w:val="21"/>
                      <w14:textFill>
                        <w14:solidFill>
                          <w14:schemeClr w14:val="tx1"/>
                        </w14:solidFill>
                      </w14:textFill>
                    </w:rPr>
                    <w:t>后经1根</w:t>
                  </w:r>
                  <w:r>
                    <w:rPr>
                      <w:color w:val="000000" w:themeColor="text1"/>
                      <w:szCs w:val="21"/>
                      <w14:textFill>
                        <w14:solidFill>
                          <w14:schemeClr w14:val="tx1"/>
                        </w14:solidFill>
                      </w14:textFill>
                    </w:rPr>
                    <w:t>15m高排气筒排放</w:t>
                  </w:r>
                </w:p>
              </w:tc>
              <w:tc>
                <w:tcPr>
                  <w:tcW w:w="440" w:type="pct"/>
                  <w:vAlign w:val="center"/>
                </w:tcPr>
                <w:p w14:paraId="744E5F20">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27A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3253CAF5">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其他要求</w:t>
                  </w:r>
                </w:p>
              </w:tc>
              <w:tc>
                <w:tcPr>
                  <w:tcW w:w="2373" w:type="pct"/>
                  <w:vAlign w:val="center"/>
                </w:tcPr>
                <w:p w14:paraId="539DDC97">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color w:val="000000" w:themeColor="text1"/>
                      <w:szCs w:val="21"/>
                      <w14:textFill>
                        <w14:solidFill>
                          <w14:schemeClr w14:val="tx1"/>
                        </w14:solidFill>
                      </w14:textFill>
                    </w:rPr>
                    <w:t>企业应建立台账，记录含VOCs原辅材料和含VOCs产品的名称、使用量、回收量、废弃量、去向以及VOCs含量等信息。台账保存期限不少于3年。</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通风生产设备、操作工位、车间厂房等应在符合安全生产、职业卫生相关规定的前提下，根据行业作业规程与标准、工业建筑及洁净厂房通风设计规范等的要求，采用合理的通风量。</w:t>
                  </w:r>
                  <w:r>
                    <w:rPr>
                      <w:rFonts w:ascii="Cambria Math" w:hAnsi="Cambria Math" w:cs="Cambria Math"/>
                      <w:color w:val="000000" w:themeColor="text1"/>
                      <w:szCs w:val="21"/>
                      <w14:textFill>
                        <w14:solidFill>
                          <w14:schemeClr w14:val="tx1"/>
                        </w14:solidFill>
                      </w14:textFill>
                    </w:rPr>
                    <w:t>③</w:t>
                  </w:r>
                  <w:r>
                    <w:rPr>
                      <w:color w:val="000000" w:themeColor="text1"/>
                      <w:szCs w:val="21"/>
                      <w14:textFill>
                        <w14:solidFill>
                          <w14:schemeClr w14:val="tx1"/>
                        </w14:solidFill>
                      </w14:textFill>
                    </w:rPr>
                    <w:t>载有VOCs物料的设备及其管道在开停工（车）、检维修和清洗室，应在退料阶段将残存物料退净，并用密闭容器盛装，退料过程废气应排至VOCs废气收集处理系统；清洗及吹扫过程排气应排至VOCs废气收集处理系统。</w:t>
                  </w:r>
                  <w:r>
                    <w:rPr>
                      <w:rFonts w:ascii="Cambria Math" w:hAnsi="Cambria Math" w:cs="Cambria Math"/>
                      <w:color w:val="000000" w:themeColor="text1"/>
                      <w:szCs w:val="21"/>
                      <w14:textFill>
                        <w14:solidFill>
                          <w14:schemeClr w14:val="tx1"/>
                        </w14:solidFill>
                      </w14:textFill>
                    </w:rPr>
                    <w:t>④</w:t>
                  </w:r>
                  <w:r>
                    <w:rPr>
                      <w:color w:val="000000" w:themeColor="text1"/>
                      <w:szCs w:val="21"/>
                      <w14:textFill>
                        <w14:solidFill>
                          <w14:schemeClr w14:val="tx1"/>
                        </w14:solidFill>
                      </w14:textFill>
                    </w:rPr>
                    <w:t>工艺过程产生的含VOCs废料（渣、液）应按照第5章、第6章的要求进行储存、转移和输送，盛装过VOCs物料的废包装容器应加盖密闭。</w:t>
                  </w:r>
                </w:p>
              </w:tc>
              <w:tc>
                <w:tcPr>
                  <w:tcW w:w="1645" w:type="pct"/>
                  <w:vAlign w:val="center"/>
                </w:tcPr>
                <w:p w14:paraId="6A24608C">
                  <w:pPr>
                    <w:pStyle w:val="128"/>
                    <w:adjustRightInd w:val="0"/>
                    <w:snapToGrid w:val="0"/>
                    <w:ind w:firstLine="0" w:firstLineChars="0"/>
                    <w:rPr>
                      <w:color w:val="000000" w:themeColor="text1"/>
                      <w:szCs w:val="21"/>
                      <w14:textFill>
                        <w14:solidFill>
                          <w14:schemeClr w14:val="tx1"/>
                        </w14:solidFill>
                      </w14:textFill>
                    </w:rPr>
                  </w:pPr>
                  <w:r>
                    <w:rPr>
                      <w:rFonts w:ascii="Cambria Math" w:hAnsi="Cambria Math" w:cs="Cambria Math"/>
                      <w:color w:val="000000" w:themeColor="text1"/>
                      <w:szCs w:val="21"/>
                      <w14:textFill>
                        <w14:solidFill>
                          <w14:schemeClr w14:val="tx1"/>
                        </w14:solidFill>
                      </w14:textFill>
                    </w:rPr>
                    <w:t>①</w:t>
                  </w:r>
                  <w:r>
                    <w:rPr>
                      <w:rFonts w:hint="eastAsia"/>
                      <w:color w:val="000000" w:themeColor="text1"/>
                      <w:szCs w:val="21"/>
                      <w14:textFill>
                        <w14:solidFill>
                          <w14:schemeClr w14:val="tx1"/>
                        </w14:solidFill>
                      </w14:textFill>
                    </w:rPr>
                    <w:t>建设单位将建立台账</w:t>
                  </w:r>
                  <w:r>
                    <w:rPr>
                      <w:color w:val="000000" w:themeColor="text1"/>
                      <w:szCs w:val="21"/>
                      <w14:textFill>
                        <w14:solidFill>
                          <w14:schemeClr w14:val="tx1"/>
                        </w14:solidFill>
                      </w14:textFill>
                    </w:rPr>
                    <w:t>，并按要求记录VOCs原辅材料和含VOCs产品的名称、使用量、回收量、废弃量、去向以及VOCs含量等信息。台账保存期限不少于3年。</w:t>
                  </w:r>
                  <w:r>
                    <w:rPr>
                      <w:rFonts w:ascii="Cambria Math" w:hAnsi="Cambria Math" w:cs="Cambria Math"/>
                      <w:color w:val="000000" w:themeColor="text1"/>
                      <w:szCs w:val="21"/>
                      <w14:textFill>
                        <w14:solidFill>
                          <w14:schemeClr w14:val="tx1"/>
                        </w14:solidFill>
                      </w14:textFill>
                    </w:rPr>
                    <w:t>②</w:t>
                  </w:r>
                  <w:r>
                    <w:rPr>
                      <w:color w:val="000000" w:themeColor="text1"/>
                      <w:szCs w:val="21"/>
                      <w14:textFill>
                        <w14:solidFill>
                          <w14:schemeClr w14:val="tx1"/>
                        </w14:solidFill>
                      </w14:textFill>
                    </w:rPr>
                    <w:t>建设单位</w:t>
                  </w:r>
                  <w:r>
                    <w:rPr>
                      <w:rFonts w:hint="eastAsia"/>
                      <w:color w:val="000000" w:themeColor="text1"/>
                      <w:szCs w:val="21"/>
                      <w14:textFill>
                        <w14:solidFill>
                          <w14:schemeClr w14:val="tx1"/>
                        </w14:solidFill>
                      </w14:textFill>
                    </w:rPr>
                    <w:t>将</w:t>
                  </w:r>
                  <w:r>
                    <w:rPr>
                      <w:color w:val="000000" w:themeColor="text1"/>
                      <w:szCs w:val="21"/>
                      <w14:textFill>
                        <w14:solidFill>
                          <w14:schemeClr w14:val="tx1"/>
                        </w14:solidFill>
                      </w14:textFill>
                    </w:rPr>
                    <w:t>对生产厂房采取合理的机械通风措施，加快无组织废气的扩散。</w:t>
                  </w:r>
                  <w:r>
                    <w:rPr>
                      <w:rFonts w:ascii="Cambria Math" w:hAnsi="Cambria Math" w:cs="Cambria Math"/>
                      <w:color w:val="000000" w:themeColor="text1"/>
                      <w:szCs w:val="21"/>
                      <w14:textFill>
                        <w14:solidFill>
                          <w14:schemeClr w14:val="tx1"/>
                        </w14:solidFill>
                      </w14:textFill>
                    </w:rPr>
                    <w:t>③</w:t>
                  </w:r>
                  <w:r>
                    <w:rPr>
                      <w:color w:val="000000" w:themeColor="text1"/>
                      <w:szCs w:val="21"/>
                      <w14:textFill>
                        <w14:solidFill>
                          <w14:schemeClr w14:val="tx1"/>
                        </w14:solidFill>
                      </w14:textFill>
                    </w:rPr>
                    <w:t>工艺过程产生的含VOCs废料按要求进行储存、转移和输送，盛装过VOCs物料的废包装容器作为危废，加盖密闭。</w:t>
                  </w:r>
                </w:p>
              </w:tc>
              <w:tc>
                <w:tcPr>
                  <w:tcW w:w="440" w:type="pct"/>
                  <w:vAlign w:val="center"/>
                </w:tcPr>
                <w:p w14:paraId="1098D6F2">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65ED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 w:type="pct"/>
                  <w:vAlign w:val="center"/>
                </w:tcPr>
                <w:p w14:paraId="1A6553EC">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无组织排放废气收集处理系统要求</w:t>
                  </w:r>
                </w:p>
              </w:tc>
              <w:tc>
                <w:tcPr>
                  <w:tcW w:w="2373" w:type="pct"/>
                  <w:vAlign w:val="center"/>
                </w:tcPr>
                <w:p w14:paraId="3C513E6E">
                  <w:pPr>
                    <w:pStyle w:val="128"/>
                    <w:adjustRightInd w:val="0"/>
                    <w:snapToGrid w:val="0"/>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t>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645" w:type="pct"/>
                  <w:vAlign w:val="center"/>
                </w:tcPr>
                <w:p w14:paraId="13D4D68F">
                  <w:pPr>
                    <w:pStyle w:val="128"/>
                    <w:adjustRightInd w:val="0"/>
                    <w:snapToGrid w:val="0"/>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本项目要求建设单位VOCs废气收集处理系统与生产工艺设备同步运行。VOCs废气收集处理系统发生故障或检修时，对应的生产工艺设备立即停止运行，待检修完毕后同步投入使用</w:t>
                  </w:r>
                </w:p>
              </w:tc>
              <w:tc>
                <w:tcPr>
                  <w:tcW w:w="440" w:type="pct"/>
                  <w:vAlign w:val="center"/>
                </w:tcPr>
                <w:p w14:paraId="6737E232">
                  <w:pPr>
                    <w:pStyle w:val="128"/>
                    <w:adjustRightInd w:val="0"/>
                    <w:snapToGrid w:val="0"/>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14:paraId="22403A79">
            <w:pPr>
              <w:pStyle w:val="128"/>
              <w:adjustRightInd w:val="0"/>
              <w:snapToGrid w:val="0"/>
              <w:spacing w:line="360" w:lineRule="auto"/>
              <w:ind w:firstLine="48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综上所述</w:t>
            </w:r>
            <w:r>
              <w:rPr>
                <w:rFonts w:eastAsiaTheme="minorEastAsia"/>
                <w:color w:val="000000" w:themeColor="text1"/>
                <w:sz w:val="24"/>
                <w14:textFill>
                  <w14:solidFill>
                    <w14:schemeClr w14:val="tx1"/>
                  </w14:solidFill>
                </w14:textFill>
              </w:rPr>
              <w:t>，本项目符合《挥发性有机物无组织排放控制标准》相关政策中的规定。</w:t>
            </w:r>
          </w:p>
          <w:p w14:paraId="150FFCDD">
            <w:pPr>
              <w:widowControl/>
              <w:adjustRightInd w:val="0"/>
              <w:snapToGrid w:val="0"/>
              <w:spacing w:line="360" w:lineRule="auto"/>
              <w:ind w:firstLine="482" w:firstLineChars="200"/>
              <w:rPr>
                <w:b/>
                <w:bCs/>
                <w:color w:val="000000" w:themeColor="text1"/>
                <w:kern w:val="0"/>
                <w:sz w:val="24"/>
                <w:lang w:val="en-GB"/>
                <w14:textFill>
                  <w14:solidFill>
                    <w14:schemeClr w14:val="tx1"/>
                  </w14:solidFill>
                </w14:textFill>
              </w:rPr>
            </w:pPr>
            <w:r>
              <w:rPr>
                <w:b/>
                <w:bCs/>
                <w:color w:val="000000" w:themeColor="text1"/>
                <w:kern w:val="0"/>
                <w:sz w:val="24"/>
                <w14:textFill>
                  <w14:solidFill>
                    <w14:schemeClr w14:val="tx1"/>
                  </w14:solidFill>
                </w14:textFill>
              </w:rPr>
              <w:t>十、</w:t>
            </w:r>
            <w:r>
              <w:rPr>
                <w:rFonts w:hint="eastAsia"/>
                <w:b/>
                <w:bCs/>
                <w:color w:val="000000" w:themeColor="text1"/>
                <w:kern w:val="0"/>
                <w:sz w:val="24"/>
                <w14:textFill>
                  <w14:solidFill>
                    <w14:schemeClr w14:val="tx1"/>
                  </w14:solidFill>
                </w14:textFill>
              </w:rPr>
              <w:t>项目</w:t>
            </w:r>
            <w:r>
              <w:rPr>
                <w:b/>
                <w:bCs/>
                <w:color w:val="000000" w:themeColor="text1"/>
                <w:kern w:val="0"/>
                <w:sz w:val="24"/>
                <w:lang w:val="en-GB"/>
                <w14:textFill>
                  <w14:solidFill>
                    <w14:schemeClr w14:val="tx1"/>
                  </w14:solidFill>
                </w14:textFill>
              </w:rPr>
              <w:t>与《挥发性有机物（</w:t>
            </w:r>
            <w:r>
              <w:rPr>
                <w:b/>
                <w:bCs/>
                <w:color w:val="000000" w:themeColor="text1"/>
                <w:kern w:val="0"/>
                <w:szCs w:val="21"/>
                <w14:textFill>
                  <w14:solidFill>
                    <w14:schemeClr w14:val="tx1"/>
                  </w14:solidFill>
                </w14:textFill>
              </w:rPr>
              <w:t>VOC</w:t>
            </w:r>
            <w:r>
              <w:rPr>
                <w:b/>
                <w:bCs/>
                <w:color w:val="000000" w:themeColor="text1"/>
                <w:kern w:val="0"/>
                <w:szCs w:val="21"/>
                <w:vertAlign w:val="subscript"/>
                <w14:textFill>
                  <w14:solidFill>
                    <w14:schemeClr w14:val="tx1"/>
                  </w14:solidFill>
                </w14:textFill>
              </w:rPr>
              <w:t>S</w:t>
            </w:r>
            <w:r>
              <w:rPr>
                <w:b/>
                <w:bCs/>
                <w:color w:val="000000" w:themeColor="text1"/>
                <w:kern w:val="0"/>
                <w:sz w:val="24"/>
                <w:lang w:val="en-GB"/>
                <w14:textFill>
                  <w14:solidFill>
                    <w14:schemeClr w14:val="tx1"/>
                  </w14:solidFill>
                </w14:textFill>
              </w:rPr>
              <w:t>）污染防治技术政策》</w:t>
            </w:r>
            <w:r>
              <w:rPr>
                <w:rFonts w:hint="eastAsia"/>
                <w:b/>
                <w:bCs/>
                <w:color w:val="000000" w:themeColor="text1"/>
                <w:kern w:val="0"/>
                <w:sz w:val="24"/>
                <w:lang w:val="en-GB"/>
                <w14:textFill>
                  <w14:solidFill>
                    <w14:schemeClr w14:val="tx1"/>
                  </w14:solidFill>
                </w14:textFill>
              </w:rPr>
              <w:t>的</w:t>
            </w:r>
            <w:r>
              <w:rPr>
                <w:b/>
                <w:bCs/>
                <w:color w:val="000000" w:themeColor="text1"/>
                <w:kern w:val="0"/>
                <w:sz w:val="24"/>
                <w:lang w:val="en-GB"/>
                <w14:textFill>
                  <w14:solidFill>
                    <w14:schemeClr w14:val="tx1"/>
                  </w14:solidFill>
                </w14:textFill>
              </w:rPr>
              <w:t>相符性分析</w:t>
            </w:r>
          </w:p>
          <w:p w14:paraId="21647A0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表1-1</w:t>
            </w:r>
            <w:r>
              <w:rPr>
                <w:rFonts w:hint="eastAsia"/>
                <w:b/>
                <w:bCs/>
                <w:color w:val="000000" w:themeColor="text1"/>
                <w:szCs w:val="21"/>
                <w14:textFill>
                  <w14:solidFill>
                    <w14:schemeClr w14:val="tx1"/>
                  </w14:solidFill>
                </w14:textFill>
              </w:rPr>
              <w:t>0</w:t>
            </w: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项目</w:t>
            </w:r>
            <w:r>
              <w:rPr>
                <w:b/>
                <w:bCs/>
                <w:color w:val="000000" w:themeColor="text1"/>
                <w:szCs w:val="21"/>
                <w14:textFill>
                  <w14:solidFill>
                    <w14:schemeClr w14:val="tx1"/>
                  </w14:solidFill>
                </w14:textFill>
              </w:rPr>
              <w:t>与《挥发性有机物（VOCS）污染防治技术政策》</w:t>
            </w:r>
            <w:r>
              <w:rPr>
                <w:rFonts w:hint="eastAsia"/>
                <w:b/>
                <w:bCs/>
                <w:color w:val="000000" w:themeColor="text1"/>
                <w:szCs w:val="21"/>
                <w14:textFill>
                  <w14:solidFill>
                    <w14:schemeClr w14:val="tx1"/>
                  </w14:solidFill>
                </w14:textFill>
              </w:rPr>
              <w:t>的</w:t>
            </w:r>
            <w:r>
              <w:rPr>
                <w:b/>
                <w:bCs/>
                <w:color w:val="000000" w:themeColor="text1"/>
                <w:szCs w:val="21"/>
                <w14:textFill>
                  <w14:solidFill>
                    <w14:schemeClr w14:val="tx1"/>
                  </w14:solidFill>
                </w14:textFill>
              </w:rPr>
              <w:t>相符性分析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903"/>
              <w:gridCol w:w="2855"/>
              <w:gridCol w:w="848"/>
            </w:tblGrid>
            <w:tr w14:paraId="5844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26A982C2">
                  <w:pPr>
                    <w:pStyle w:val="178"/>
                    <w:spacing w:line="240" w:lineRule="auto"/>
                    <w:ind w:firstLine="0" w:firstLineChars="0"/>
                    <w:jc w:val="center"/>
                    <w:rPr>
                      <w:rFonts w:eastAsia="宋体"/>
                      <w:b/>
                      <w:color w:val="000000" w:themeColor="text1"/>
                      <w:kern w:val="0"/>
                      <w:sz w:val="21"/>
                      <w:szCs w:val="21"/>
                      <w14:textFill>
                        <w14:solidFill>
                          <w14:schemeClr w14:val="tx1"/>
                        </w14:solidFill>
                      </w14:textFill>
                    </w:rPr>
                  </w:pPr>
                  <w:r>
                    <w:rPr>
                      <w:rFonts w:eastAsia="宋体"/>
                      <w:b/>
                      <w:color w:val="000000" w:themeColor="text1"/>
                      <w:kern w:val="0"/>
                      <w:sz w:val="21"/>
                      <w:szCs w:val="21"/>
                      <w14:textFill>
                        <w14:solidFill>
                          <w14:schemeClr w14:val="tx1"/>
                        </w14:solidFill>
                      </w14:textFill>
                    </w:rPr>
                    <w:t>项目</w:t>
                  </w:r>
                </w:p>
              </w:tc>
              <w:tc>
                <w:tcPr>
                  <w:tcW w:w="3949" w:type="dxa"/>
                  <w:vAlign w:val="center"/>
                </w:tcPr>
                <w:p w14:paraId="500A12C2">
                  <w:pPr>
                    <w:pStyle w:val="178"/>
                    <w:spacing w:line="240" w:lineRule="auto"/>
                    <w:ind w:firstLine="0" w:firstLineChars="0"/>
                    <w:jc w:val="center"/>
                    <w:rPr>
                      <w:rFonts w:eastAsia="宋体"/>
                      <w:b/>
                      <w:color w:val="000000" w:themeColor="text1"/>
                      <w:kern w:val="0"/>
                      <w:sz w:val="21"/>
                      <w:szCs w:val="21"/>
                      <w14:textFill>
                        <w14:solidFill>
                          <w14:schemeClr w14:val="tx1"/>
                        </w14:solidFill>
                      </w14:textFill>
                    </w:rPr>
                  </w:pPr>
                  <w:r>
                    <w:rPr>
                      <w:rFonts w:eastAsia="宋体"/>
                      <w:b/>
                      <w:color w:val="000000" w:themeColor="text1"/>
                      <w:kern w:val="0"/>
                      <w:sz w:val="21"/>
                      <w:szCs w:val="21"/>
                      <w14:textFill>
                        <w14:solidFill>
                          <w14:schemeClr w14:val="tx1"/>
                        </w14:solidFill>
                      </w14:textFill>
                    </w:rPr>
                    <w:t>具体要求</w:t>
                  </w:r>
                </w:p>
              </w:tc>
              <w:tc>
                <w:tcPr>
                  <w:tcW w:w="2887" w:type="dxa"/>
                  <w:vAlign w:val="center"/>
                </w:tcPr>
                <w:p w14:paraId="2D7E84DA">
                  <w:pPr>
                    <w:pStyle w:val="178"/>
                    <w:spacing w:line="240" w:lineRule="auto"/>
                    <w:ind w:firstLine="0" w:firstLineChars="0"/>
                    <w:jc w:val="center"/>
                    <w:rPr>
                      <w:rFonts w:eastAsia="宋体"/>
                      <w:b/>
                      <w:color w:val="000000" w:themeColor="text1"/>
                      <w:kern w:val="0"/>
                      <w:sz w:val="21"/>
                      <w:szCs w:val="21"/>
                      <w14:textFill>
                        <w14:solidFill>
                          <w14:schemeClr w14:val="tx1"/>
                        </w14:solidFill>
                      </w14:textFill>
                    </w:rPr>
                  </w:pPr>
                  <w:r>
                    <w:rPr>
                      <w:rFonts w:eastAsia="宋体"/>
                      <w:b/>
                      <w:color w:val="000000" w:themeColor="text1"/>
                      <w:kern w:val="0"/>
                      <w:sz w:val="21"/>
                      <w:szCs w:val="21"/>
                      <w14:textFill>
                        <w14:solidFill>
                          <w14:schemeClr w14:val="tx1"/>
                        </w14:solidFill>
                      </w14:textFill>
                    </w:rPr>
                    <w:t>本项目情况</w:t>
                  </w:r>
                </w:p>
              </w:tc>
              <w:tc>
                <w:tcPr>
                  <w:tcW w:w="855" w:type="dxa"/>
                  <w:vAlign w:val="center"/>
                </w:tcPr>
                <w:p w14:paraId="69BB7A02">
                  <w:pPr>
                    <w:pStyle w:val="178"/>
                    <w:spacing w:line="240" w:lineRule="auto"/>
                    <w:ind w:firstLine="0" w:firstLineChars="0"/>
                    <w:jc w:val="center"/>
                    <w:rPr>
                      <w:rFonts w:eastAsia="宋体"/>
                      <w:b/>
                      <w:color w:val="000000" w:themeColor="text1"/>
                      <w:kern w:val="0"/>
                      <w:sz w:val="21"/>
                      <w:szCs w:val="21"/>
                      <w14:textFill>
                        <w14:solidFill>
                          <w14:schemeClr w14:val="tx1"/>
                        </w14:solidFill>
                      </w14:textFill>
                    </w:rPr>
                  </w:pPr>
                  <w:r>
                    <w:rPr>
                      <w:rFonts w:eastAsia="宋体"/>
                      <w:b/>
                      <w:color w:val="000000" w:themeColor="text1"/>
                      <w:kern w:val="0"/>
                      <w:sz w:val="21"/>
                      <w:szCs w:val="21"/>
                      <w14:textFill>
                        <w14:solidFill>
                          <w14:schemeClr w14:val="tx1"/>
                        </w14:solidFill>
                      </w14:textFill>
                    </w:rPr>
                    <w:t>相符性</w:t>
                  </w:r>
                </w:p>
              </w:tc>
            </w:tr>
            <w:tr w14:paraId="1F33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79" w:type="dxa"/>
                  <w:vAlign w:val="center"/>
                </w:tcPr>
                <w:p w14:paraId="56AC9A85">
                  <w:pPr>
                    <w:pStyle w:val="178"/>
                    <w:spacing w:line="240" w:lineRule="auto"/>
                    <w:ind w:firstLine="0" w:firstLineChars="0"/>
                    <w:jc w:val="center"/>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总则</w:t>
                  </w:r>
                </w:p>
              </w:tc>
              <w:tc>
                <w:tcPr>
                  <w:tcW w:w="3949" w:type="dxa"/>
                  <w:vAlign w:val="center"/>
                </w:tcPr>
                <w:p w14:paraId="36B0B36A">
                  <w:pPr>
                    <w:pStyle w:val="178"/>
                    <w:spacing w:line="240" w:lineRule="auto"/>
                    <w:ind w:firstLine="0" w:firstLineChars="0"/>
                    <w:rPr>
                      <w:rFonts w:eastAsia="宋体"/>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VOC</w:t>
                  </w:r>
                  <w:r>
                    <w:rPr>
                      <w:color w:val="000000" w:themeColor="text1"/>
                      <w:kern w:val="0"/>
                      <w:sz w:val="21"/>
                      <w:szCs w:val="21"/>
                      <w:vertAlign w:val="subscript"/>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污染防治应遵循源头和过程控制与末端治理相结合的综合防治原则。在工业生产中采用清洁生产技术，严格控制含</w:t>
                  </w:r>
                  <w:r>
                    <w:rPr>
                      <w:color w:val="000000" w:themeColor="text1"/>
                      <w:kern w:val="0"/>
                      <w:sz w:val="21"/>
                      <w:szCs w:val="21"/>
                      <w14:textFill>
                        <w14:solidFill>
                          <w14:schemeClr w14:val="tx1"/>
                        </w14:solidFill>
                      </w14:textFill>
                    </w:rPr>
                    <w:t>VOC</w:t>
                  </w:r>
                  <w:r>
                    <w:rPr>
                      <w:color w:val="000000" w:themeColor="text1"/>
                      <w:kern w:val="0"/>
                      <w:sz w:val="21"/>
                      <w:szCs w:val="21"/>
                      <w:vertAlign w:val="subscript"/>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原料与产品在生产和储运销过程中的</w:t>
                  </w:r>
                  <w:r>
                    <w:rPr>
                      <w:color w:val="000000" w:themeColor="text1"/>
                      <w:kern w:val="0"/>
                      <w:sz w:val="21"/>
                      <w:szCs w:val="21"/>
                      <w14:textFill>
                        <w14:solidFill>
                          <w14:schemeClr w14:val="tx1"/>
                        </w14:solidFill>
                      </w14:textFill>
                    </w:rPr>
                    <w:t>VOC</w:t>
                  </w:r>
                  <w:r>
                    <w:rPr>
                      <w:color w:val="000000" w:themeColor="text1"/>
                      <w:kern w:val="0"/>
                      <w:sz w:val="21"/>
                      <w:szCs w:val="21"/>
                      <w:vertAlign w:val="subscript"/>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排放，鼓励对资源和能源的回收利用；鼓励在生产和生活中使用不含</w:t>
                  </w:r>
                  <w:r>
                    <w:rPr>
                      <w:color w:val="000000" w:themeColor="text1"/>
                      <w:kern w:val="0"/>
                      <w:sz w:val="21"/>
                      <w:szCs w:val="21"/>
                      <w14:textFill>
                        <w14:solidFill>
                          <w14:schemeClr w14:val="tx1"/>
                        </w14:solidFill>
                      </w14:textFill>
                    </w:rPr>
                    <w:t>VOC</w:t>
                  </w:r>
                  <w:r>
                    <w:rPr>
                      <w:color w:val="000000" w:themeColor="text1"/>
                      <w:kern w:val="0"/>
                      <w:sz w:val="21"/>
                      <w:szCs w:val="21"/>
                      <w:vertAlign w:val="subscript"/>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的替代产品或低</w:t>
                  </w:r>
                  <w:r>
                    <w:rPr>
                      <w:color w:val="000000" w:themeColor="text1"/>
                      <w:kern w:val="0"/>
                      <w:sz w:val="21"/>
                      <w:szCs w:val="21"/>
                      <w14:textFill>
                        <w14:solidFill>
                          <w14:schemeClr w14:val="tx1"/>
                        </w14:solidFill>
                      </w14:textFill>
                    </w:rPr>
                    <w:t>VOC</w:t>
                  </w:r>
                  <w:r>
                    <w:rPr>
                      <w:color w:val="000000" w:themeColor="text1"/>
                      <w:kern w:val="0"/>
                      <w:sz w:val="21"/>
                      <w:szCs w:val="21"/>
                      <w:vertAlign w:val="subscript"/>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含量的产品。</w:t>
                  </w:r>
                </w:p>
              </w:tc>
              <w:tc>
                <w:tcPr>
                  <w:tcW w:w="2887" w:type="dxa"/>
                  <w:vAlign w:val="center"/>
                </w:tcPr>
                <w:p w14:paraId="33DFADD8">
                  <w:pPr>
                    <w:pStyle w:val="178"/>
                    <w:spacing w:line="240" w:lineRule="auto"/>
                    <w:ind w:firstLine="0" w:firstLineChars="0"/>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本项目含VOC</w:t>
                  </w:r>
                  <w:r>
                    <w:rPr>
                      <w:rFonts w:eastAsia="宋体"/>
                      <w:color w:val="000000" w:themeColor="text1"/>
                      <w:kern w:val="0"/>
                      <w:sz w:val="21"/>
                      <w:szCs w:val="21"/>
                      <w:lang w:val="en-US"/>
                      <w14:textFill>
                        <w14:solidFill>
                          <w14:schemeClr w14:val="tx1"/>
                        </w14:solidFill>
                      </w14:textFill>
                    </w:rPr>
                    <w:t>s</w:t>
                  </w:r>
                  <w:r>
                    <w:rPr>
                      <w:rFonts w:eastAsia="宋体"/>
                      <w:color w:val="000000" w:themeColor="text1"/>
                      <w:kern w:val="0"/>
                      <w:sz w:val="21"/>
                      <w:szCs w:val="21"/>
                      <w14:textFill>
                        <w14:solidFill>
                          <w14:schemeClr w14:val="tx1"/>
                        </w14:solidFill>
                      </w14:textFill>
                    </w:rPr>
                    <w:t>的原辅材料为油漆、稀释剂等，用桶装存放于室内，在非取用状态时加盖、封口，保持密闭。</w:t>
                  </w:r>
                </w:p>
              </w:tc>
              <w:tc>
                <w:tcPr>
                  <w:tcW w:w="855" w:type="dxa"/>
                  <w:vAlign w:val="center"/>
                </w:tcPr>
                <w:p w14:paraId="271D041F">
                  <w:pPr>
                    <w:pStyle w:val="178"/>
                    <w:spacing w:line="240" w:lineRule="auto"/>
                    <w:ind w:firstLine="0" w:firstLineChars="0"/>
                    <w:jc w:val="center"/>
                    <w:rPr>
                      <w:rFonts w:hint="eastAsia" w:ascii="宋体" w:hAnsi="宋体" w:eastAsia="宋体"/>
                      <w:color w:val="000000" w:themeColor="text1"/>
                      <w:kern w:val="0"/>
                      <w:sz w:val="21"/>
                      <w:szCs w:val="21"/>
                      <w14:textFill>
                        <w14:solidFill>
                          <w14:schemeClr w14:val="tx1"/>
                        </w14:solidFill>
                      </w14:textFill>
                    </w:rPr>
                  </w:pPr>
                  <w:r>
                    <w:rPr>
                      <w:rFonts w:ascii="宋体" w:hAnsi="宋体" w:eastAsia="宋体"/>
                      <w:color w:val="000000" w:themeColor="text1"/>
                      <w:sz w:val="21"/>
                      <w:szCs w:val="21"/>
                      <w14:textFill>
                        <w14:solidFill>
                          <w14:schemeClr w14:val="tx1"/>
                        </w14:solidFill>
                      </w14:textFill>
                    </w:rPr>
                    <w:t>相符</w:t>
                  </w:r>
                </w:p>
              </w:tc>
            </w:tr>
            <w:tr w14:paraId="3ED86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25F6AA25">
                  <w:pPr>
                    <w:pStyle w:val="178"/>
                    <w:spacing w:line="240" w:lineRule="auto"/>
                    <w:ind w:firstLine="0" w:firstLineChars="0"/>
                    <w:jc w:val="center"/>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源头和过程控制</w:t>
                  </w:r>
                </w:p>
              </w:tc>
              <w:tc>
                <w:tcPr>
                  <w:tcW w:w="3949" w:type="dxa"/>
                  <w:vAlign w:val="center"/>
                </w:tcPr>
                <w:p w14:paraId="02EA2676">
                  <w:pPr>
                    <w:pStyle w:val="178"/>
                    <w:spacing w:line="240" w:lineRule="auto"/>
                    <w:ind w:firstLine="0" w:firstLineChars="0"/>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在涂装、印刷、粘合、工业清洗等含VOCs产品的使用过程中的VOCs污染防治技术措施包括：</w:t>
                  </w:r>
                </w:p>
                <w:p w14:paraId="6BD22840">
                  <w:pPr>
                    <w:pStyle w:val="178"/>
                    <w:spacing w:line="240" w:lineRule="auto"/>
                    <w:ind w:firstLine="0" w:firstLineChars="0"/>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1.鼓励使用通过环境标志产品认证的环保型涂料、油墨、胶粘剂和清洗剂；2.根据涂装工艺的不同，鼓励使用水性涂料、高固份涂料、粉末涂料、紫外光固化（UV）涂料等环保型涂料；推广采用静电喷涂、淋涂、辊涂、浸涂等效率较高的涂装工艺；应尽量避免无VOCs净化、回收措施的露天喷涂作业</w:t>
                  </w:r>
                </w:p>
              </w:tc>
              <w:tc>
                <w:tcPr>
                  <w:tcW w:w="2887" w:type="dxa"/>
                  <w:vAlign w:val="center"/>
                </w:tcPr>
                <w:p w14:paraId="785EFF9B">
                  <w:pPr>
                    <w:pStyle w:val="178"/>
                    <w:spacing w:line="240" w:lineRule="auto"/>
                    <w:ind w:firstLine="0" w:firstLineChars="0"/>
                    <w:rPr>
                      <w:rFonts w:eastAsia="宋体"/>
                      <w:color w:val="000000" w:themeColor="text1"/>
                      <w:kern w:val="0"/>
                      <w:sz w:val="21"/>
                      <w:szCs w:val="21"/>
                      <w14:textFill>
                        <w14:solidFill>
                          <w14:schemeClr w14:val="tx1"/>
                        </w14:solidFill>
                      </w14:textFill>
                    </w:rPr>
                  </w:pPr>
                  <w:r>
                    <w:rPr>
                      <w:rFonts w:eastAsia="宋体"/>
                      <w:color w:val="000000" w:themeColor="text1"/>
                      <w:kern w:val="0"/>
                      <w:sz w:val="21"/>
                      <w:szCs w:val="21"/>
                      <w14:textFill>
                        <w14:solidFill>
                          <w14:schemeClr w14:val="tx1"/>
                        </w14:solidFill>
                      </w14:textFill>
                    </w:rPr>
                    <w:t>本项目调漆、喷漆废气密闭负压收集后经“水帘柜+过滤棉”预处理后与密闭负压收集的烘干废气一并经“活性炭吸附脱附+小型催化燃烧装置”处理，达标后通过一根15m高的排气筒DA001排放。</w:t>
                  </w:r>
                </w:p>
              </w:tc>
              <w:tc>
                <w:tcPr>
                  <w:tcW w:w="855" w:type="dxa"/>
                  <w:vAlign w:val="center"/>
                </w:tcPr>
                <w:p w14:paraId="6F80E4DA">
                  <w:pPr>
                    <w:pStyle w:val="178"/>
                    <w:spacing w:line="240" w:lineRule="auto"/>
                    <w:ind w:firstLine="0" w:firstLineChars="0"/>
                    <w:jc w:val="center"/>
                    <w:rPr>
                      <w:rFonts w:hint="eastAsia" w:ascii="宋体" w:hAnsi="宋体" w:eastAsia="宋体"/>
                      <w:color w:val="000000" w:themeColor="text1"/>
                      <w:kern w:val="0"/>
                      <w:sz w:val="21"/>
                      <w:szCs w:val="21"/>
                      <w14:textFill>
                        <w14:solidFill>
                          <w14:schemeClr w14:val="tx1"/>
                        </w14:solidFill>
                      </w14:textFill>
                    </w:rPr>
                  </w:pPr>
                  <w:r>
                    <w:rPr>
                      <w:rFonts w:ascii="宋体" w:hAnsi="宋体" w:eastAsia="宋体"/>
                      <w:color w:val="000000" w:themeColor="text1"/>
                      <w:sz w:val="21"/>
                      <w:szCs w:val="21"/>
                      <w14:textFill>
                        <w14:solidFill>
                          <w14:schemeClr w14:val="tx1"/>
                        </w14:solidFill>
                      </w14:textFill>
                    </w:rPr>
                    <w:t>相符</w:t>
                  </w:r>
                </w:p>
              </w:tc>
            </w:tr>
            <w:tr w14:paraId="296AC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104098F7">
                  <w:pPr>
                    <w:pStyle w:val="271"/>
                    <w:spacing w:before="65" w:line="242" w:lineRule="auto"/>
                    <w:ind w:right="29"/>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末端治理与综合利用</w:t>
                  </w:r>
                </w:p>
              </w:tc>
              <w:tc>
                <w:tcPr>
                  <w:tcW w:w="3949" w:type="dxa"/>
                  <w:vAlign w:val="center"/>
                </w:tcPr>
                <w:p w14:paraId="1938E4CB">
                  <w:pPr>
                    <w:pStyle w:val="271"/>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在工业生产过程中鼓励VOCs的回收利用并优先鼓励在生产系统内回用；对于含低浓度VOCs的废气，有回收价值时可采用吸附技术、吸收技术对有机溶剂回收后达标排放；不宜回收时，可采用吸附浓缩燃烧技术、生物技术、吸收技术、等离子体技术或紫外光高级氧化技术等净化后达标排放；对于不能再生的过滤材料、吸附剂及催化剂等净化材料，应按照国家固体废物管理的相关规定处理处置。</w:t>
                  </w:r>
                </w:p>
              </w:tc>
              <w:tc>
                <w:tcPr>
                  <w:tcW w:w="2887" w:type="dxa"/>
                  <w:vAlign w:val="center"/>
                </w:tcPr>
                <w:p w14:paraId="36AE07E7">
                  <w:pPr>
                    <w:pStyle w:val="271"/>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w:t>
                  </w:r>
                  <w:r>
                    <w:rPr>
                      <w:rFonts w:hint="eastAsia" w:ascii="Times New Roman" w:hAnsi="Times New Roman" w:cs="Times New Roman"/>
                      <w:color w:val="000000" w:themeColor="text1"/>
                      <w:sz w:val="21"/>
                      <w:szCs w:val="21"/>
                      <w14:textFill>
                        <w14:solidFill>
                          <w14:schemeClr w14:val="tx1"/>
                        </w14:solidFill>
                      </w14:textFill>
                    </w:rPr>
                    <w:t>有机</w:t>
                  </w:r>
                  <w:r>
                    <w:rPr>
                      <w:rFonts w:ascii="Times New Roman" w:hAnsi="Times New Roman" w:cs="Times New Roman"/>
                      <w:color w:val="000000" w:themeColor="text1"/>
                      <w:sz w:val="21"/>
                      <w:szCs w:val="21"/>
                      <w14:textFill>
                        <w14:solidFill>
                          <w14:schemeClr w14:val="tx1"/>
                        </w14:solidFill>
                      </w14:textFill>
                    </w:rPr>
                    <w:t>废气不具备回收价值，</w:t>
                  </w:r>
                  <w:r>
                    <w:rPr>
                      <w:rFonts w:hint="eastAsia" w:ascii="Times New Roman" w:hAnsi="Times New Roman"/>
                      <w:color w:val="000000" w:themeColor="text1"/>
                      <w:sz w:val="21"/>
                      <w:szCs w:val="21"/>
                      <w14:textFill>
                        <w14:solidFill>
                          <w14:schemeClr w14:val="tx1"/>
                        </w14:solidFill>
                      </w14:textFill>
                    </w:rPr>
                    <w:t>调漆、喷漆</w:t>
                  </w:r>
                  <w:r>
                    <w:rPr>
                      <w:rFonts w:hint="eastAsia" w:ascii="Times New Roman" w:hAnsi="Times New Roman" w:cs="Times New Roman"/>
                      <w:color w:val="000000" w:themeColor="text1"/>
                      <w:sz w:val="21"/>
                      <w:szCs w:val="21"/>
                      <w14:textFill>
                        <w14:solidFill>
                          <w14:schemeClr w14:val="tx1"/>
                        </w14:solidFill>
                      </w14:textFill>
                    </w:rPr>
                    <w:t>废气密闭负压收集后经“水帘柜+过滤棉”预处理后与密闭负压收集的烘干废气一并经“活性炭吸附脱附+小型催化燃烧装置”处理</w:t>
                  </w:r>
                  <w:r>
                    <w:rPr>
                      <w:rFonts w:ascii="Times New Roman" w:hAnsi="Times New Roman" w:cs="Times New Roman"/>
                      <w:color w:val="000000" w:themeColor="text1"/>
                      <w:sz w:val="21"/>
                      <w:szCs w:val="21"/>
                      <w14:textFill>
                        <w14:solidFill>
                          <w14:schemeClr w14:val="tx1"/>
                        </w14:solidFill>
                      </w14:textFill>
                    </w:rPr>
                    <w:t>，达标后通过一根15m高的排气筒DA001排放。废气处理产生的过滤棉、</w:t>
                  </w:r>
                  <w:r>
                    <w:rPr>
                      <w:rFonts w:hint="eastAsia" w:ascii="Times New Roman" w:hAnsi="Times New Roman" w:cs="Times New Roman"/>
                      <w:color w:val="000000" w:themeColor="text1"/>
                      <w:sz w:val="21"/>
                      <w:szCs w:val="21"/>
                      <w14:textFill>
                        <w14:solidFill>
                          <w14:schemeClr w14:val="tx1"/>
                        </w14:solidFill>
                      </w14:textFill>
                    </w:rPr>
                    <w:t>水帘废水、</w:t>
                  </w:r>
                  <w:r>
                    <w:rPr>
                      <w:rFonts w:ascii="Times New Roman" w:hAnsi="Times New Roman" w:cs="Times New Roman"/>
                      <w:color w:val="000000" w:themeColor="text1"/>
                      <w:sz w:val="21"/>
                      <w:szCs w:val="21"/>
                      <w14:textFill>
                        <w14:solidFill>
                          <w14:schemeClr w14:val="tx1"/>
                        </w14:solidFill>
                      </w14:textFill>
                    </w:rPr>
                    <w:t>废活性炭</w:t>
                  </w:r>
                  <w:r>
                    <w:rPr>
                      <w:rFonts w:hint="eastAsia" w:ascii="Times New Roman" w:hAnsi="Times New Roman" w:cs="Times New Roman"/>
                      <w:color w:val="000000" w:themeColor="text1"/>
                      <w:sz w:val="21"/>
                      <w:szCs w:val="21"/>
                      <w14:textFill>
                        <w14:solidFill>
                          <w14:schemeClr w14:val="tx1"/>
                        </w14:solidFill>
                      </w14:textFill>
                    </w:rPr>
                    <w:t>、废催化剂</w:t>
                  </w:r>
                  <w:r>
                    <w:rPr>
                      <w:rFonts w:ascii="Times New Roman" w:hAnsi="Times New Roman" w:cs="Times New Roman"/>
                      <w:color w:val="000000" w:themeColor="text1"/>
                      <w:sz w:val="21"/>
                      <w:szCs w:val="21"/>
                      <w14:textFill>
                        <w14:solidFill>
                          <w14:schemeClr w14:val="tx1"/>
                        </w14:solidFill>
                      </w14:textFill>
                    </w:rPr>
                    <w:t>作为危废，交由有资质单位处理。</w:t>
                  </w:r>
                </w:p>
              </w:tc>
              <w:tc>
                <w:tcPr>
                  <w:tcW w:w="855" w:type="dxa"/>
                  <w:vAlign w:val="center"/>
                </w:tcPr>
                <w:p w14:paraId="4D71FFAF">
                  <w:pPr>
                    <w:pStyle w:val="178"/>
                    <w:spacing w:line="240" w:lineRule="auto"/>
                    <w:ind w:firstLine="0" w:firstLineChars="0"/>
                    <w:jc w:val="center"/>
                    <w:rPr>
                      <w:rFonts w:hint="eastAsia" w:ascii="宋体" w:hAnsi="宋体" w:eastAsia="宋体"/>
                      <w:color w:val="000000" w:themeColor="text1"/>
                      <w:kern w:val="0"/>
                      <w:sz w:val="21"/>
                      <w:szCs w:val="21"/>
                      <w14:textFill>
                        <w14:solidFill>
                          <w14:schemeClr w14:val="tx1"/>
                        </w14:solidFill>
                      </w14:textFill>
                    </w:rPr>
                  </w:pPr>
                  <w:r>
                    <w:rPr>
                      <w:rFonts w:ascii="宋体" w:hAnsi="宋体" w:eastAsia="宋体"/>
                      <w:color w:val="000000" w:themeColor="text1"/>
                      <w:sz w:val="21"/>
                      <w:szCs w:val="21"/>
                      <w14:textFill>
                        <w14:solidFill>
                          <w14:schemeClr w14:val="tx1"/>
                        </w14:solidFill>
                      </w14:textFill>
                    </w:rPr>
                    <w:t>相符</w:t>
                  </w:r>
                </w:p>
              </w:tc>
            </w:tr>
          </w:tbl>
          <w:p w14:paraId="7FD8FBAC">
            <w:pPr>
              <w:pStyle w:val="178"/>
              <w:rPr>
                <w:rFonts w:eastAsia="宋体"/>
                <w:color w:val="000000" w:themeColor="text1"/>
                <w:kern w:val="0"/>
                <w14:textFill>
                  <w14:solidFill>
                    <w14:schemeClr w14:val="tx1"/>
                  </w14:solidFill>
                </w14:textFill>
              </w:rPr>
            </w:pPr>
            <w:r>
              <w:rPr>
                <w:rFonts w:eastAsia="宋体"/>
                <w:color w:val="000000" w:themeColor="text1"/>
                <w14:textFill>
                  <w14:solidFill>
                    <w14:schemeClr w14:val="tx1"/>
                  </w14:solidFill>
                </w14:textFill>
              </w:rPr>
              <w:t>因此，本项目符合《挥发性有机物（</w:t>
            </w:r>
            <w:r>
              <w:rPr>
                <w:color w:val="000000" w:themeColor="text1"/>
                <w:kern w:val="0"/>
                <w:szCs w:val="21"/>
                <w14:textFill>
                  <w14:solidFill>
                    <w14:schemeClr w14:val="tx1"/>
                  </w14:solidFill>
                </w14:textFill>
              </w:rPr>
              <w:t>VOC</w:t>
            </w:r>
            <w:r>
              <w:rPr>
                <w:color w:val="000000" w:themeColor="text1"/>
                <w:kern w:val="0"/>
                <w:szCs w:val="21"/>
                <w:vertAlign w:val="subscript"/>
                <w:lang w:val="en-US"/>
                <w14:textFill>
                  <w14:solidFill>
                    <w14:schemeClr w14:val="tx1"/>
                  </w14:solidFill>
                </w14:textFill>
              </w:rPr>
              <w:t>S</w:t>
            </w:r>
            <w:r>
              <w:rPr>
                <w:rFonts w:eastAsia="宋体"/>
                <w:color w:val="000000" w:themeColor="text1"/>
                <w14:textFill>
                  <w14:solidFill>
                    <w14:schemeClr w14:val="tx1"/>
                  </w14:solidFill>
                </w14:textFill>
              </w:rPr>
              <w:t>）污染防治技术政策》的要求</w:t>
            </w:r>
            <w:r>
              <w:rPr>
                <w:rFonts w:eastAsia="宋体"/>
                <w:color w:val="000000" w:themeColor="text1"/>
                <w:kern w:val="0"/>
                <w14:textFill>
                  <w14:solidFill>
                    <w14:schemeClr w14:val="tx1"/>
                  </w14:solidFill>
                </w14:textFill>
              </w:rPr>
              <w:t>。</w:t>
            </w:r>
          </w:p>
          <w:p w14:paraId="423C0113">
            <w:pPr>
              <w:widowControl/>
              <w:adjustRightInd w:val="0"/>
              <w:snapToGrid w:val="0"/>
              <w:spacing w:line="360" w:lineRule="auto"/>
              <w:ind w:firstLine="482" w:firstLineChars="200"/>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十</w:t>
            </w:r>
            <w:r>
              <w:rPr>
                <w:rFonts w:hint="eastAsia"/>
                <w:b/>
                <w:bCs/>
                <w:color w:val="000000" w:themeColor="text1"/>
                <w:kern w:val="0"/>
                <w:sz w:val="24"/>
                <w14:textFill>
                  <w14:solidFill>
                    <w14:schemeClr w14:val="tx1"/>
                  </w14:solidFill>
                </w14:textFill>
              </w:rPr>
              <w:t>一</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项目</w:t>
            </w:r>
            <w:r>
              <w:rPr>
                <w:b/>
                <w:bCs/>
                <w:color w:val="000000" w:themeColor="text1"/>
                <w:kern w:val="0"/>
                <w:sz w:val="24"/>
                <w14:textFill>
                  <w14:solidFill>
                    <w14:schemeClr w14:val="tx1"/>
                  </w14:solidFill>
                </w14:textFill>
              </w:rPr>
              <w:t>与《江西省深入打好污染防治攻坚战挥发性有机物治理专项行动实施方案》（赣环委字〔2022〕22号）中重点任务的相符性分析。</w:t>
            </w:r>
          </w:p>
          <w:p w14:paraId="5E10114F">
            <w:pPr>
              <w:widowControl/>
              <w:adjustRightInd w:val="0"/>
              <w:snapToGrid w:val="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表1-1</w:t>
            </w:r>
            <w:r>
              <w:rPr>
                <w:rFonts w:hint="eastAsia"/>
                <w:b/>
                <w:color w:val="000000" w:themeColor="text1"/>
                <w:kern w:val="0"/>
                <w:szCs w:val="21"/>
                <w14:textFill>
                  <w14:solidFill>
                    <w14:schemeClr w14:val="tx1"/>
                  </w14:solidFill>
                </w14:textFill>
              </w:rPr>
              <w:t>1</w:t>
            </w:r>
            <w:r>
              <w:rPr>
                <w:b/>
                <w:color w:val="000000" w:themeColor="text1"/>
                <w:kern w:val="0"/>
                <w:szCs w:val="21"/>
                <w14:textFill>
                  <w14:solidFill>
                    <w14:schemeClr w14:val="tx1"/>
                  </w14:solidFill>
                </w14:textFill>
              </w:rPr>
              <w:t xml:space="preserve">  </w:t>
            </w:r>
            <w:r>
              <w:rPr>
                <w:rFonts w:hint="eastAsia"/>
                <w:b/>
                <w:color w:val="000000" w:themeColor="text1"/>
                <w:kern w:val="0"/>
                <w:szCs w:val="21"/>
                <w14:textFill>
                  <w14:solidFill>
                    <w14:schemeClr w14:val="tx1"/>
                  </w14:solidFill>
                </w14:textFill>
              </w:rPr>
              <w:t>项目与</w:t>
            </w:r>
            <w:r>
              <w:rPr>
                <w:b/>
                <w:color w:val="000000" w:themeColor="text1"/>
                <w:kern w:val="0"/>
                <w:szCs w:val="21"/>
                <w14:textFill>
                  <w14:solidFill>
                    <w14:schemeClr w14:val="tx1"/>
                  </w14:solidFill>
                </w14:textFill>
              </w:rPr>
              <w:t>（赣环委字〔2022〕22号）中重点任务相关部分的相符性分析</w:t>
            </w:r>
          </w:p>
          <w:tbl>
            <w:tblPr>
              <w:tblStyle w:val="4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3"/>
              <w:gridCol w:w="5094"/>
              <w:gridCol w:w="1780"/>
              <w:gridCol w:w="783"/>
            </w:tblGrid>
            <w:tr w14:paraId="6BA22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2974E64E">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序号</w:t>
                  </w:r>
                </w:p>
              </w:tc>
              <w:tc>
                <w:tcPr>
                  <w:tcW w:w="3076" w:type="pct"/>
                  <w:vAlign w:val="center"/>
                </w:tcPr>
                <w:p w14:paraId="04B419AD">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重点任务</w:t>
                  </w:r>
                </w:p>
              </w:tc>
              <w:tc>
                <w:tcPr>
                  <w:tcW w:w="1075" w:type="pct"/>
                  <w:vAlign w:val="center"/>
                </w:tcPr>
                <w:p w14:paraId="0C49C570">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项目情况</w:t>
                  </w:r>
                </w:p>
              </w:tc>
              <w:tc>
                <w:tcPr>
                  <w:tcW w:w="473" w:type="pct"/>
                  <w:vAlign w:val="center"/>
                </w:tcPr>
                <w:p w14:paraId="05280706">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相符性</w:t>
                  </w:r>
                </w:p>
              </w:tc>
            </w:tr>
            <w:tr w14:paraId="1CECF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45C6F9D1">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3076" w:type="pct"/>
                  <w:vAlign w:val="center"/>
                </w:tcPr>
                <w:p w14:paraId="7D6A9CDD">
                  <w:pPr>
                    <w:pStyle w:val="271"/>
                    <w:kinsoku/>
                    <w:topLinePunct/>
                    <w:jc w:val="both"/>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全面加强</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无组织排放控制。加强含</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物料全方位、全链条、全环节密闭管理，做好</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距集气罩开口面最远处的</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无组织排放位置控制风速应不低于</w:t>
                  </w:r>
                  <w:r>
                    <w:rPr>
                      <w:rFonts w:ascii="Times New Roman" w:hAnsi="Times New Roman" w:eastAsia="Times New Roman" w:cs="Times New Roman"/>
                      <w:color w:val="000000" w:themeColor="text1"/>
                      <w:sz w:val="21"/>
                      <w:szCs w:val="21"/>
                      <w14:textFill>
                        <w14:solidFill>
                          <w14:schemeClr w14:val="tx1"/>
                        </w14:solidFill>
                      </w14:textFill>
                    </w:rPr>
                    <w:t>0.3</w:t>
                  </w:r>
                  <w:r>
                    <w:rPr>
                      <w:rFonts w:ascii="Times New Roman" w:hAnsi="Times New Roman" w:cs="Times New Roman"/>
                      <w:color w:val="000000" w:themeColor="text1"/>
                      <w:sz w:val="21"/>
                      <w:szCs w:val="21"/>
                      <w14:textFill>
                        <w14:solidFill>
                          <w14:schemeClr w14:val="tx1"/>
                        </w14:solidFill>
                      </w14:textFill>
                    </w:rPr>
                    <w:t>米</w:t>
                  </w:r>
                  <w:r>
                    <w:rPr>
                      <w:rFonts w:ascii="Times New Roman" w:hAnsi="Times New Roman" w:eastAsia="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秒。</w:t>
                  </w:r>
                </w:p>
              </w:tc>
              <w:tc>
                <w:tcPr>
                  <w:tcW w:w="1075" w:type="pct"/>
                  <w:vAlign w:val="center"/>
                </w:tcPr>
                <w:p w14:paraId="7E10D799">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本项目含</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物料油漆、稀释剂原辅料密闭储存，调漆、喷漆在密闭的喷漆房内操作</w:t>
                  </w:r>
                  <w:r>
                    <w:rPr>
                      <w:rFonts w:hint="eastAsia" w:ascii="Times New Roman" w:hAnsi="Times New Roman" w:cs="Times New Roman"/>
                      <w:color w:val="000000" w:themeColor="text1"/>
                      <w:sz w:val="21"/>
                      <w:szCs w:val="21"/>
                      <w14:textFill>
                        <w14:solidFill>
                          <w14:schemeClr w14:val="tx1"/>
                        </w14:solidFill>
                      </w14:textFill>
                    </w:rPr>
                    <w:t>，烘干在密闭的烘干房内操作</w:t>
                  </w:r>
                  <w:r>
                    <w:rPr>
                      <w:rFonts w:ascii="Times New Roman" w:hAnsi="Times New Roman" w:cs="Times New Roman"/>
                      <w:color w:val="000000" w:themeColor="text1"/>
                      <w:sz w:val="21"/>
                      <w:szCs w:val="21"/>
                      <w14:textFill>
                        <w14:solidFill>
                          <w14:schemeClr w14:val="tx1"/>
                        </w14:solidFill>
                      </w14:textFill>
                    </w:rPr>
                    <w:t>。废气采用密闭负压收集。</w:t>
                  </w:r>
                </w:p>
              </w:tc>
              <w:tc>
                <w:tcPr>
                  <w:tcW w:w="473" w:type="pct"/>
                  <w:vAlign w:val="center"/>
                </w:tcPr>
                <w:p w14:paraId="672BF899">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r w14:paraId="31945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49745F2D">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p>
              </w:tc>
              <w:tc>
                <w:tcPr>
                  <w:tcW w:w="3076" w:type="pct"/>
                  <w:vAlign w:val="center"/>
                </w:tcPr>
                <w:p w14:paraId="10742D9F">
                  <w:pPr>
                    <w:pStyle w:val="271"/>
                    <w:kinsoku/>
                    <w:topLinePunct/>
                    <w:jc w:val="both"/>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持续提升治污设施</w:t>
                  </w:r>
                  <w:r>
                    <w:rPr>
                      <w:rFonts w:ascii="Times New Roman" w:hAnsi="Times New Roman" w:eastAsia="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三率</w:t>
                  </w:r>
                  <w:r>
                    <w:rPr>
                      <w:rFonts w:ascii="Times New Roman" w:hAnsi="Times New Roman" w:eastAsia="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。组织开展现有</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废气收集率、治理设施同步运行率和去除率自查，对达不到要求的</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收集、治理设施进行更换或升级改造，实现达标排放。对单一采用光氧化、光催化、低温等离子、一次活性炭吸附、喷淋吸收、生物法等工艺设施的，要重点加强效果评估。行业排放标准中规定特别排放限值和控制要求的，应按相关规定执行；未制定行业标准的应执行《大气污染物综合排放标准》和《挥发性有机物无组织排放控制标准》。</w:t>
                  </w:r>
                </w:p>
              </w:tc>
              <w:tc>
                <w:tcPr>
                  <w:tcW w:w="1075" w:type="pct"/>
                  <w:vAlign w:val="center"/>
                </w:tcPr>
                <w:p w14:paraId="5406F24B">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本项目</w:t>
                  </w:r>
                  <w:r>
                    <w:rPr>
                      <w:rFonts w:hint="eastAsia" w:ascii="Times New Roman" w:hAnsi="Times New Roman"/>
                      <w:color w:val="000000" w:themeColor="text1"/>
                      <w:sz w:val="21"/>
                      <w:szCs w:val="21"/>
                      <w14:textFill>
                        <w14:solidFill>
                          <w14:schemeClr w14:val="tx1"/>
                        </w14:solidFill>
                      </w14:textFill>
                    </w:rPr>
                    <w:t>调漆、喷漆</w:t>
                  </w:r>
                  <w:r>
                    <w:rPr>
                      <w:rFonts w:hint="eastAsia" w:ascii="Times New Roman" w:hAnsi="Times New Roman" w:cs="Times New Roman"/>
                      <w:color w:val="000000" w:themeColor="text1"/>
                      <w:sz w:val="21"/>
                      <w:szCs w:val="21"/>
                      <w14:textFill>
                        <w14:solidFill>
                          <w14:schemeClr w14:val="tx1"/>
                        </w14:solidFill>
                      </w14:textFill>
                    </w:rPr>
                    <w:t>废气密闭负压收集后经“水帘柜+过滤棉”预处理后与密闭负压收集的烘干废气一并经“活性炭吸附脱附+小型催化燃烧装置”处理，</w:t>
                  </w:r>
                  <w:r>
                    <w:rPr>
                      <w:rFonts w:ascii="Times New Roman" w:hAnsi="Times New Roman" w:cs="Times New Roman"/>
                      <w:color w:val="000000" w:themeColor="text1"/>
                      <w:sz w:val="21"/>
                      <w:szCs w:val="21"/>
                      <w14:textFill>
                        <w14:solidFill>
                          <w14:schemeClr w14:val="tx1"/>
                        </w14:solidFill>
                      </w14:textFill>
                    </w:rPr>
                    <w:t>本项目挥发性有机物能够实现达标排放。</w:t>
                  </w:r>
                </w:p>
              </w:tc>
              <w:tc>
                <w:tcPr>
                  <w:tcW w:w="473" w:type="pct"/>
                  <w:vAlign w:val="center"/>
                </w:tcPr>
                <w:p w14:paraId="298A16AB">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r w14:paraId="6AF5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229DC5A9">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3</w:t>
                  </w:r>
                </w:p>
              </w:tc>
              <w:tc>
                <w:tcPr>
                  <w:tcW w:w="3076" w:type="pct"/>
                  <w:vAlign w:val="center"/>
                </w:tcPr>
                <w:p w14:paraId="19B4AB6E">
                  <w:pPr>
                    <w:pStyle w:val="271"/>
                    <w:kinsoku/>
                    <w:topLinePunct/>
                    <w:jc w:val="both"/>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协同推进</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和</w:t>
                  </w:r>
                  <w:r>
                    <w:rPr>
                      <w:rFonts w:ascii="Times New Roman" w:hAnsi="Times New Roman" w:eastAsia="Times New Roman" w:cs="Times New Roman"/>
                      <w:color w:val="000000" w:themeColor="text1"/>
                      <w:sz w:val="21"/>
                      <w:szCs w:val="21"/>
                      <w14:textFill>
                        <w14:solidFill>
                          <w14:schemeClr w14:val="tx1"/>
                        </w14:solidFill>
                      </w14:textFill>
                    </w:rPr>
                    <w:t>NOx</w:t>
                  </w:r>
                  <w:r>
                    <w:rPr>
                      <w:rFonts w:ascii="Times New Roman" w:hAnsi="Times New Roman" w:cs="Times New Roman"/>
                      <w:color w:val="000000" w:themeColor="text1"/>
                      <w:sz w:val="21"/>
                      <w:szCs w:val="21"/>
                      <w14:textFill>
                        <w14:solidFill>
                          <w14:schemeClr w14:val="tx1"/>
                        </w14:solidFill>
                      </w14:textFill>
                    </w:rPr>
                    <w:t>污染减排。聚焦重点行业、重点企业、重点工业园区，以更高要求、更高标准、更严措施，对全省涉</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排放企业，分行业、分领域、全环节开展全面自检，科学制定减排计划，将减排任务落实到重点行业重点企业的减排工程项目，推动建设一批示范项目、示范园区；推动钢铁等行业超低排放改造，积极推动老旧柴油货车淘汰，开展非标油联合执法行动，实现</w:t>
                  </w:r>
                  <w:r>
                    <w:rPr>
                      <w:rFonts w:ascii="Times New Roman" w:hAnsi="Times New Roman" w:eastAsia="Times New Roman" w:cs="Times New Roman"/>
                      <w:color w:val="000000" w:themeColor="text1"/>
                      <w:sz w:val="21"/>
                      <w:szCs w:val="21"/>
                      <w14:textFill>
                        <w14:solidFill>
                          <w14:schemeClr w14:val="tx1"/>
                        </w14:solidFill>
                      </w14:textFill>
                    </w:rPr>
                    <w:t>VOCs</w:t>
                  </w:r>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eastAsia="Times New Roman" w:cs="Times New Roman"/>
                      <w:color w:val="000000" w:themeColor="text1"/>
                      <w:sz w:val="21"/>
                      <w:szCs w:val="21"/>
                      <w14:textFill>
                        <w14:solidFill>
                          <w14:schemeClr w14:val="tx1"/>
                        </w14:solidFill>
                      </w14:textFill>
                    </w:rPr>
                    <w:t>NOx</w:t>
                  </w:r>
                  <w:r>
                    <w:rPr>
                      <w:rFonts w:ascii="Times New Roman" w:hAnsi="Times New Roman" w:cs="Times New Roman"/>
                      <w:color w:val="000000" w:themeColor="text1"/>
                      <w:sz w:val="21"/>
                      <w:szCs w:val="21"/>
                      <w14:textFill>
                        <w14:solidFill>
                          <w14:schemeClr w14:val="tx1"/>
                        </w14:solidFill>
                      </w14:textFill>
                    </w:rPr>
                    <w:t>减排量满足</w:t>
                  </w:r>
                  <w:r>
                    <w:rPr>
                      <w:rFonts w:ascii="Times New Roman" w:hAnsi="Times New Roman" w:eastAsia="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十四五</w:t>
                  </w:r>
                  <w:r>
                    <w:rPr>
                      <w:rFonts w:ascii="Times New Roman" w:hAnsi="Times New Roman" w:eastAsia="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规划时序进度要求。</w:t>
                  </w:r>
                </w:p>
              </w:tc>
              <w:tc>
                <w:tcPr>
                  <w:tcW w:w="1075" w:type="pct"/>
                  <w:vAlign w:val="center"/>
                </w:tcPr>
                <w:p w14:paraId="432155EE">
                  <w:pPr>
                    <w:pStyle w:val="271"/>
                    <w:kinsoku/>
                    <w:topLinePunct/>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项目加强生产过程的检查管理，积极履行减排要求。</w:t>
                  </w:r>
                </w:p>
              </w:tc>
              <w:tc>
                <w:tcPr>
                  <w:tcW w:w="473" w:type="pct"/>
                  <w:vAlign w:val="center"/>
                </w:tcPr>
                <w:p w14:paraId="70EA636D">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bl>
          <w:p w14:paraId="424C0CA8">
            <w:pPr>
              <w:pStyle w:val="128"/>
              <w:adjustRightInd w:val="0"/>
              <w:snapToGrid w:val="0"/>
              <w:spacing w:line="360" w:lineRule="auto"/>
              <w:ind w:firstLine="48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综上，本项目与《江西省深入打好污染防治攻坚战挥发性有机物治理专项行动实施方案》（赣环委字〔2022〕22号）中重点任务相关部分相符。</w:t>
            </w:r>
          </w:p>
          <w:p w14:paraId="05B8ABD8">
            <w:pPr>
              <w:widowControl/>
              <w:adjustRightInd w:val="0"/>
              <w:snapToGrid w:val="0"/>
              <w:spacing w:line="360" w:lineRule="auto"/>
              <w:ind w:firstLine="482" w:firstLineChars="200"/>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十</w:t>
            </w:r>
            <w:r>
              <w:rPr>
                <w:rFonts w:hint="eastAsia"/>
                <w:b/>
                <w:bCs/>
                <w:color w:val="000000" w:themeColor="text1"/>
                <w:kern w:val="0"/>
                <w:sz w:val="24"/>
                <w14:textFill>
                  <w14:solidFill>
                    <w14:schemeClr w14:val="tx1"/>
                  </w14:solidFill>
                </w14:textFill>
              </w:rPr>
              <w:t>二</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项目</w:t>
            </w:r>
            <w:r>
              <w:rPr>
                <w:b/>
                <w:bCs/>
                <w:color w:val="000000" w:themeColor="text1"/>
                <w:kern w:val="0"/>
                <w:sz w:val="24"/>
                <w14:textFill>
                  <w14:solidFill>
                    <w14:schemeClr w14:val="tx1"/>
                  </w14:solidFill>
                </w14:textFill>
              </w:rPr>
              <w:t>与《高安市“十四五”生态环境保护规划》（高府发〔2022〕9</w:t>
            </w:r>
            <w:r>
              <w:rPr>
                <w:rFonts w:hint="eastAsia"/>
                <w:b/>
                <w:bCs/>
                <w:color w:val="000000" w:themeColor="text1"/>
                <w:kern w:val="0"/>
                <w:sz w:val="24"/>
                <w14:textFill>
                  <w14:solidFill>
                    <w14:schemeClr w14:val="tx1"/>
                  </w14:solidFill>
                </w14:textFill>
              </w:rPr>
              <w:t>号</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相关要求</w:t>
            </w:r>
            <w:r>
              <w:rPr>
                <w:b/>
                <w:bCs/>
                <w:color w:val="000000" w:themeColor="text1"/>
                <w:kern w:val="0"/>
                <w:sz w:val="24"/>
                <w14:textFill>
                  <w14:solidFill>
                    <w14:schemeClr w14:val="tx1"/>
                  </w14:solidFill>
                </w14:textFill>
              </w:rPr>
              <w:t>的相符性分析。</w:t>
            </w:r>
          </w:p>
          <w:p w14:paraId="18A53B70">
            <w:pPr>
              <w:widowControl/>
              <w:adjustRightInd w:val="0"/>
              <w:snapToGrid w:val="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表1-1</w:t>
            </w:r>
            <w:r>
              <w:rPr>
                <w:rFonts w:hint="eastAsia"/>
                <w:b/>
                <w:color w:val="000000" w:themeColor="text1"/>
                <w:kern w:val="0"/>
                <w:szCs w:val="21"/>
                <w14:textFill>
                  <w14:solidFill>
                    <w14:schemeClr w14:val="tx1"/>
                  </w14:solidFill>
                </w14:textFill>
              </w:rPr>
              <w:t>2</w:t>
            </w:r>
            <w:r>
              <w:rPr>
                <w:b/>
                <w:color w:val="000000" w:themeColor="text1"/>
                <w:kern w:val="0"/>
                <w:szCs w:val="21"/>
                <w14:textFill>
                  <w14:solidFill>
                    <w14:schemeClr w14:val="tx1"/>
                  </w14:solidFill>
                </w14:textFill>
              </w:rPr>
              <w:t xml:space="preserve">  </w:t>
            </w:r>
            <w:r>
              <w:rPr>
                <w:rFonts w:hint="eastAsia"/>
                <w:b/>
                <w:color w:val="000000" w:themeColor="text1"/>
                <w:kern w:val="0"/>
                <w:szCs w:val="21"/>
                <w14:textFill>
                  <w14:solidFill>
                    <w14:schemeClr w14:val="tx1"/>
                  </w14:solidFill>
                </w14:textFill>
              </w:rPr>
              <w:t>项目与</w:t>
            </w:r>
            <w:r>
              <w:rPr>
                <w:b/>
                <w:color w:val="000000" w:themeColor="text1"/>
                <w:kern w:val="0"/>
                <w:szCs w:val="21"/>
                <w14:textFill>
                  <w14:solidFill>
                    <w14:schemeClr w14:val="tx1"/>
                  </w14:solidFill>
                </w14:textFill>
              </w:rPr>
              <w:t>（高府发〔2022〕9号）中</w:t>
            </w:r>
            <w:r>
              <w:rPr>
                <w:rFonts w:hint="eastAsia"/>
                <w:b/>
                <w:color w:val="000000" w:themeColor="text1"/>
                <w:kern w:val="0"/>
                <w:szCs w:val="21"/>
                <w14:textFill>
                  <w14:solidFill>
                    <w14:schemeClr w14:val="tx1"/>
                  </w14:solidFill>
                </w14:textFill>
              </w:rPr>
              <w:t>相关要求</w:t>
            </w:r>
            <w:r>
              <w:rPr>
                <w:b/>
                <w:color w:val="000000" w:themeColor="text1"/>
                <w:kern w:val="0"/>
                <w:szCs w:val="21"/>
                <w14:textFill>
                  <w14:solidFill>
                    <w14:schemeClr w14:val="tx1"/>
                  </w14:solidFill>
                </w14:textFill>
              </w:rPr>
              <w:t>的相符性分析</w:t>
            </w:r>
          </w:p>
          <w:tbl>
            <w:tblPr>
              <w:tblStyle w:val="4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3"/>
              <w:gridCol w:w="5094"/>
              <w:gridCol w:w="1780"/>
              <w:gridCol w:w="783"/>
            </w:tblGrid>
            <w:tr w14:paraId="4CA49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15E5F37C">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序号</w:t>
                  </w:r>
                </w:p>
              </w:tc>
              <w:tc>
                <w:tcPr>
                  <w:tcW w:w="3076" w:type="pct"/>
                  <w:vAlign w:val="center"/>
                </w:tcPr>
                <w:p w14:paraId="31BA8D93">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重点任务</w:t>
                  </w:r>
                </w:p>
              </w:tc>
              <w:tc>
                <w:tcPr>
                  <w:tcW w:w="1075" w:type="pct"/>
                  <w:vAlign w:val="center"/>
                </w:tcPr>
                <w:p w14:paraId="5CD61CB6">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项目情况</w:t>
                  </w:r>
                </w:p>
              </w:tc>
              <w:tc>
                <w:tcPr>
                  <w:tcW w:w="473" w:type="pct"/>
                  <w:vAlign w:val="center"/>
                </w:tcPr>
                <w:p w14:paraId="1D1869EE">
                  <w:pPr>
                    <w:pStyle w:val="271"/>
                    <w:jc w:val="center"/>
                    <w:rPr>
                      <w:rFonts w:ascii="Times New Roman" w:hAnsi="Times New Roman" w:eastAsia="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相符性</w:t>
                  </w:r>
                </w:p>
              </w:tc>
            </w:tr>
            <w:tr w14:paraId="439EC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60CC8580">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3076" w:type="pct"/>
                  <w:vAlign w:val="center"/>
                </w:tcPr>
                <w:p w14:paraId="3ED3A716">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建立以“三线一单”为核心的生态环境分区管控体系。严格落实生态保护红线、环境质量底线、资源利用上线要求，将生态保护红线、环境质量底线、资源利用上线的约束落实到环境管控单元，落实生态环境准入清单要求，建立健全“三线一单”生态环境分区管控体系。</w:t>
                  </w:r>
                </w:p>
                <w:p w14:paraId="212A707E">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严格执行“三线一单”环境分区管控制度和排污许可制度，强化“三线一单”在污染防治、生态修复、环境风险防控和日常环境管理中的应用。健全环境影响评价等生态环境源头预防体系，对重点区域、重点流域、重点行业依法开展规划环境影响评价，调整优化不符合生态环境功能定位的产业布局、规模和结构，严格控制重点流域环境风险项目，开展重大经济、技术政策的生态环境影响分析和社会经济影响分析。</w:t>
                  </w:r>
                </w:p>
              </w:tc>
              <w:tc>
                <w:tcPr>
                  <w:tcW w:w="1075" w:type="pct"/>
                  <w:vAlign w:val="center"/>
                </w:tcPr>
                <w:p w14:paraId="742A6850">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w:t>
                  </w:r>
                  <w:r>
                    <w:rPr>
                      <w:rFonts w:hint="eastAsia" w:ascii="Times New Roman" w:hAnsi="Times New Roman" w:cs="Times New Roman"/>
                      <w:color w:val="000000" w:themeColor="text1"/>
                      <w:sz w:val="21"/>
                      <w:szCs w:val="21"/>
                      <w14:textFill>
                        <w14:solidFill>
                          <w14:schemeClr w14:val="tx1"/>
                        </w14:solidFill>
                      </w14:textFill>
                    </w:rPr>
                    <w:t>符合生态环境分区管控要求</w:t>
                  </w:r>
                </w:p>
              </w:tc>
              <w:tc>
                <w:tcPr>
                  <w:tcW w:w="473" w:type="pct"/>
                  <w:vAlign w:val="center"/>
                </w:tcPr>
                <w:p w14:paraId="19F0BD66">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r w14:paraId="163B4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3C62F47D">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p>
              </w:tc>
              <w:tc>
                <w:tcPr>
                  <w:tcW w:w="3076" w:type="pct"/>
                  <w:vAlign w:val="center"/>
                </w:tcPr>
                <w:p w14:paraId="3B4A246B">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1075" w:type="pct"/>
                  <w:vAlign w:val="center"/>
                </w:tcPr>
                <w:p w14:paraId="266401E0">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本项目</w:t>
                  </w:r>
                  <w:r>
                    <w:rPr>
                      <w:rFonts w:hint="eastAsia" w:ascii="Times New Roman" w:hAnsi="Times New Roman"/>
                      <w:color w:val="000000" w:themeColor="text1"/>
                      <w:sz w:val="21"/>
                      <w:szCs w:val="21"/>
                      <w14:textFill>
                        <w14:solidFill>
                          <w14:schemeClr w14:val="tx1"/>
                        </w14:solidFill>
                      </w14:textFill>
                    </w:rPr>
                    <w:t>调漆、喷漆</w:t>
                  </w:r>
                  <w:r>
                    <w:rPr>
                      <w:rFonts w:hint="eastAsia" w:ascii="Times New Roman" w:hAnsi="Times New Roman" w:cs="Times New Roman"/>
                      <w:color w:val="000000" w:themeColor="text1"/>
                      <w:sz w:val="21"/>
                      <w:szCs w:val="21"/>
                      <w14:textFill>
                        <w14:solidFill>
                          <w14:schemeClr w14:val="tx1"/>
                        </w14:solidFill>
                      </w14:textFill>
                    </w:rPr>
                    <w:t>废气密闭负压收集后经“水帘柜+过滤棉”预处理后与密闭负压收集的烘干废气一并经“活性炭吸附脱附+小型催化燃烧装置”处理，</w:t>
                  </w:r>
                  <w:r>
                    <w:rPr>
                      <w:rFonts w:ascii="Times New Roman" w:hAnsi="Times New Roman" w:cs="Times New Roman"/>
                      <w:color w:val="000000" w:themeColor="text1"/>
                      <w:sz w:val="21"/>
                      <w:szCs w:val="21"/>
                      <w14:textFill>
                        <w14:solidFill>
                          <w14:schemeClr w14:val="tx1"/>
                        </w14:solidFill>
                      </w14:textFill>
                    </w:rPr>
                    <w:t>本项目挥发性有机物能够实现达标排放。</w:t>
                  </w:r>
                </w:p>
              </w:tc>
              <w:tc>
                <w:tcPr>
                  <w:tcW w:w="473" w:type="pct"/>
                  <w:vAlign w:val="center"/>
                </w:tcPr>
                <w:p w14:paraId="65A8C284">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r w14:paraId="0A65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7A4BEB5D">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3</w:t>
                  </w:r>
                </w:p>
              </w:tc>
              <w:tc>
                <w:tcPr>
                  <w:tcW w:w="3076" w:type="pct"/>
                  <w:vAlign w:val="center"/>
                </w:tcPr>
                <w:p w14:paraId="4D914D43">
                  <w:pPr>
                    <w:pStyle w:val="271"/>
                    <w:topLinePunct/>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加强挥发性有机污染物治理。以表面涂装、包装印刷、塑料制品等</w:t>
                  </w:r>
                  <w:r>
                    <w:rPr>
                      <w:rFonts w:hint="eastAsia" w:ascii="Times New Roman" w:hAnsi="Times New Roman" w:cs="Times New Roman"/>
                      <w:color w:val="000000" w:themeColor="text1"/>
                      <w:sz w:val="21"/>
                      <w:szCs w:val="21"/>
                      <w14:textFill>
                        <w14:solidFill>
                          <w14:schemeClr w14:val="tx1"/>
                        </w14:solidFill>
                      </w14:textFill>
                    </w:rPr>
                    <w:t>行业为重点治理行业，以5月－10 月为重点控制时段，严格重点行业挥发性有机物全过程管控，强化汽修行业挥发性有机物综合治理。加强挥发性有机物污染防治的宣传教育，大力推进绿色原料替代，全面推进使用低挥发性有机物含量涂料、油墨、胶粘剂和清洗剂。开展工业园区、企业集群排查和综合整治，推广建设涉挥发性有机物“绿岛”项目。</w:t>
                  </w:r>
                </w:p>
              </w:tc>
              <w:tc>
                <w:tcPr>
                  <w:tcW w:w="1075" w:type="pct"/>
                  <w:vAlign w:val="center"/>
                </w:tcPr>
                <w:p w14:paraId="5A4DF48E">
                  <w:pPr>
                    <w:pStyle w:val="271"/>
                    <w:kinsoku/>
                    <w:topLinePunct/>
                    <w:jc w:val="center"/>
                    <w:rPr>
                      <w:rFonts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本项目</w:t>
                  </w:r>
                  <w:r>
                    <w:rPr>
                      <w:rFonts w:hint="eastAsia" w:ascii="Times New Roman" w:hAnsi="Times New Roman"/>
                      <w:color w:val="000000" w:themeColor="text1"/>
                      <w:sz w:val="21"/>
                      <w:szCs w:val="21"/>
                      <w14:textFill>
                        <w14:solidFill>
                          <w14:schemeClr w14:val="tx1"/>
                        </w14:solidFill>
                      </w14:textFill>
                    </w:rPr>
                    <w:t>调漆、喷漆</w:t>
                  </w:r>
                  <w:r>
                    <w:rPr>
                      <w:rFonts w:hint="eastAsia" w:ascii="Times New Roman" w:hAnsi="Times New Roman" w:cs="Times New Roman"/>
                      <w:color w:val="000000" w:themeColor="text1"/>
                      <w:sz w:val="21"/>
                      <w:szCs w:val="21"/>
                      <w14:textFill>
                        <w14:solidFill>
                          <w14:schemeClr w14:val="tx1"/>
                        </w14:solidFill>
                      </w14:textFill>
                    </w:rPr>
                    <w:t>废气密闭负压收集后经“水帘柜+过滤棉”预处理后与密闭负压收集的烘干废气一并经“活性炭吸附脱附+小型催化燃烧装置”处理，</w:t>
                  </w:r>
                  <w:r>
                    <w:rPr>
                      <w:rFonts w:ascii="Times New Roman" w:hAnsi="Times New Roman" w:cs="Times New Roman"/>
                      <w:color w:val="000000" w:themeColor="text1"/>
                      <w:sz w:val="21"/>
                      <w:szCs w:val="21"/>
                      <w14:textFill>
                        <w14:solidFill>
                          <w14:schemeClr w14:val="tx1"/>
                        </w14:solidFill>
                      </w14:textFill>
                    </w:rPr>
                    <w:t>本项目挥发性有机物能够实现达标排放。本项目使用的油漆符合《工业防护涂料中有害物质限量》（GB 30981-2020）要求。</w:t>
                  </w:r>
                </w:p>
              </w:tc>
              <w:tc>
                <w:tcPr>
                  <w:tcW w:w="473" w:type="pct"/>
                  <w:vAlign w:val="center"/>
                </w:tcPr>
                <w:p w14:paraId="7BABD708">
                  <w:pPr>
                    <w:pStyle w:val="271"/>
                    <w:jc w:val="center"/>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相符</w:t>
                  </w:r>
                </w:p>
              </w:tc>
            </w:tr>
            <w:tr w14:paraId="401D2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2753726A">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4</w:t>
                  </w:r>
                </w:p>
              </w:tc>
              <w:tc>
                <w:tcPr>
                  <w:tcW w:w="3076" w:type="pct"/>
                  <w:vAlign w:val="center"/>
                </w:tcPr>
                <w:p w14:paraId="47591B42">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1075" w:type="pct"/>
                  <w:vAlign w:val="center"/>
                </w:tcPr>
                <w:p w14:paraId="40778925">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w:t>
                  </w:r>
                  <w:r>
                    <w:rPr>
                      <w:rFonts w:ascii="Times New Roman" w:hAnsi="Times New Roman" w:cs="Times New Roman"/>
                      <w:color w:val="000000" w:themeColor="text1"/>
                      <w:sz w:val="21"/>
                      <w:szCs w:val="21"/>
                      <w14:textFill>
                        <w14:solidFill>
                          <w14:schemeClr w14:val="tx1"/>
                        </w14:solidFill>
                      </w14:textFill>
                    </w:rPr>
                    <w:t>项目水帘废水作为危废处置，生活污水经化粪池处理后，定期清掏用于周边林地灌溉，不外排。</w:t>
                  </w:r>
                </w:p>
              </w:tc>
              <w:tc>
                <w:tcPr>
                  <w:tcW w:w="473" w:type="pct"/>
                  <w:vAlign w:val="center"/>
                </w:tcPr>
                <w:p w14:paraId="44D525EF">
                  <w:pPr>
                    <w:pStyle w:val="271"/>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相符</w:t>
                  </w:r>
                </w:p>
              </w:tc>
            </w:tr>
            <w:tr w14:paraId="2676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5D816F51">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5</w:t>
                  </w:r>
                </w:p>
              </w:tc>
              <w:tc>
                <w:tcPr>
                  <w:tcW w:w="3076" w:type="pct"/>
                  <w:vAlign w:val="center"/>
                </w:tcPr>
                <w:p w14:paraId="49986D90">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实施建设用地风险管控与治理修复。依法加强建设用地准入管理，落实建设用地土壤污染风险管控和修复名录制度。健全污染地块违法再开发利用联防联控机制，协同开展污染地块再开发利用监管。规范建设用地有关报告评审，根据土壤污染状况详查结果进行分类，科学合理确定土地用途，探索在产企业边生产边管控的土壤污染风险管控模式和污染地块“环境修复+开发建设”模式。对列入建设用地土壤污染风险管控和修复名录的地块，联动自然资源、住建、生态环境等部门定期开展现场督查。加强未利用地环境管理，防止新增建设项目造成新的土壤污染。</w:t>
                  </w:r>
                </w:p>
              </w:tc>
              <w:tc>
                <w:tcPr>
                  <w:tcW w:w="1075" w:type="pct"/>
                  <w:vAlign w:val="center"/>
                </w:tcPr>
                <w:p w14:paraId="77AFFFCE">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本项目用地不涉及土壤污染。</w:t>
                  </w:r>
                </w:p>
              </w:tc>
              <w:tc>
                <w:tcPr>
                  <w:tcW w:w="473" w:type="pct"/>
                  <w:vAlign w:val="center"/>
                </w:tcPr>
                <w:p w14:paraId="35F58184">
                  <w:pPr>
                    <w:pStyle w:val="271"/>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相符</w:t>
                  </w:r>
                </w:p>
              </w:tc>
            </w:tr>
            <w:tr w14:paraId="3B049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6" w:type="pct"/>
                  <w:vAlign w:val="center"/>
                </w:tcPr>
                <w:p w14:paraId="75E1C148">
                  <w:pPr>
                    <w:kinsoku w:val="0"/>
                    <w:autoSpaceDE w:val="0"/>
                    <w:autoSpaceDN w:val="0"/>
                    <w:adjustRightInd w:val="0"/>
                    <w:snapToGrid w:val="0"/>
                    <w:jc w:val="center"/>
                    <w:textAlignment w:val="baseline"/>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6</w:t>
                  </w:r>
                </w:p>
              </w:tc>
              <w:tc>
                <w:tcPr>
                  <w:tcW w:w="3076" w:type="pct"/>
                  <w:vAlign w:val="center"/>
                </w:tcPr>
                <w:p w14:paraId="70C0EDE0">
                  <w:pPr>
                    <w:pStyle w:val="271"/>
                    <w:topLinePunct/>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提升危险废物管理水平。组织危险废物环境隐患专项排查整治，全面查清涉危单位生产经营重点环节、重点场所环境风险隐患。精准掌控涉危单位危险废物产生、贮存、运输、接收、利用、处置等情况，健全危险废物监督管理台账，鼓励物联网在危废监管中示范应用。强化应急管理、生态环境、卫生健康、公安、交通运输等部门联合执法，以化工、生物医药等为重点行业，以废酸、废碱、医疗废物、废铅蓄电池和废弃危险化学品等为重点类别，以贮存处置量大、非法转移、倾倒、处置案件频发和管理力量薄弱的乡镇、园区为重点区域，创新采用大数据分析和产废数量核查等措施，持续保持高压严打态势，严厉打击危险废物非法转移、倾倒和处理处置等违法犯罪行为。</w:t>
                  </w:r>
                </w:p>
              </w:tc>
              <w:tc>
                <w:tcPr>
                  <w:tcW w:w="1075" w:type="pct"/>
                  <w:vAlign w:val="center"/>
                </w:tcPr>
                <w:p w14:paraId="34729AFE">
                  <w:pPr>
                    <w:pStyle w:val="271"/>
                    <w:kinsoku/>
                    <w:topLinePunct/>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本项目危险废物委托有资质单位进行处置，并按要求建立危废台账</w:t>
                  </w:r>
                </w:p>
              </w:tc>
              <w:tc>
                <w:tcPr>
                  <w:tcW w:w="473" w:type="pct"/>
                  <w:vAlign w:val="center"/>
                </w:tcPr>
                <w:p w14:paraId="2BB0DC6A">
                  <w:pPr>
                    <w:pStyle w:val="271"/>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相符</w:t>
                  </w:r>
                </w:p>
              </w:tc>
            </w:tr>
          </w:tbl>
          <w:p w14:paraId="41A22BA2">
            <w:pPr>
              <w:pStyle w:val="128"/>
              <w:adjustRightInd w:val="0"/>
              <w:snapToGrid w:val="0"/>
              <w:spacing w:line="360" w:lineRule="auto"/>
              <w:ind w:firstLine="48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综上，本项目与《高安市“十四五”生态环境保护规划》（高府发〔2022〕9号）</w:t>
            </w:r>
            <w:r>
              <w:rPr>
                <w:rFonts w:hint="eastAsia"/>
                <w:color w:val="000000" w:themeColor="text1"/>
                <w:kern w:val="0"/>
                <w:sz w:val="24"/>
                <w14:textFill>
                  <w14:solidFill>
                    <w14:schemeClr w14:val="tx1"/>
                  </w14:solidFill>
                </w14:textFill>
              </w:rPr>
              <w:t>相关要求</w:t>
            </w:r>
            <w:r>
              <w:rPr>
                <w:color w:val="000000" w:themeColor="text1"/>
                <w:kern w:val="0"/>
                <w:sz w:val="24"/>
                <w14:textFill>
                  <w14:solidFill>
                    <w14:schemeClr w14:val="tx1"/>
                  </w14:solidFill>
                </w14:textFill>
              </w:rPr>
              <w:t>相符。</w:t>
            </w:r>
          </w:p>
          <w:p w14:paraId="53B5A11B">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65A4EA9C">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7EB5AD27">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6D16B58C">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7480C1C4">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6A03C99">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D146D23">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0B5A56B0">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086CD9A0">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B7C6C59">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0B09C6D3">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29F2C682">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55989FB">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09DCB69">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60A74E0A">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2C1E5F58">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3D5DE7A3">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5A5AE0EA">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4189B2D0">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247D5FC9">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2E47C2E2">
            <w:pPr>
              <w:pStyle w:val="128"/>
              <w:adjustRightInd w:val="0"/>
              <w:snapToGrid w:val="0"/>
              <w:spacing w:line="360" w:lineRule="auto"/>
              <w:ind w:firstLine="480"/>
              <w:jc w:val="left"/>
              <w:rPr>
                <w:color w:val="000000" w:themeColor="text1"/>
                <w:kern w:val="0"/>
                <w:sz w:val="24"/>
                <w14:textFill>
                  <w14:solidFill>
                    <w14:schemeClr w14:val="tx1"/>
                  </w14:solidFill>
                </w14:textFill>
              </w:rPr>
            </w:pPr>
          </w:p>
          <w:p w14:paraId="296E1D4D">
            <w:pPr>
              <w:pStyle w:val="128"/>
              <w:adjustRightInd w:val="0"/>
              <w:snapToGrid w:val="0"/>
              <w:spacing w:line="360" w:lineRule="auto"/>
              <w:ind w:firstLine="480"/>
              <w:jc w:val="left"/>
              <w:rPr>
                <w:color w:val="000000" w:themeColor="text1"/>
                <w:kern w:val="0"/>
                <w:sz w:val="24"/>
                <w14:textFill>
                  <w14:solidFill>
                    <w14:schemeClr w14:val="tx1"/>
                  </w14:solidFill>
                </w14:textFill>
              </w:rPr>
            </w:pPr>
          </w:p>
        </w:tc>
      </w:tr>
    </w:tbl>
    <w:p w14:paraId="063BE8E3">
      <w:pPr>
        <w:pStyle w:val="40"/>
        <w:rPr>
          <w:snapToGrid w:val="0"/>
          <w:color w:val="000000" w:themeColor="text1"/>
          <w14:textFill>
            <w14:solidFill>
              <w14:schemeClr w14:val="tx1"/>
            </w14:solidFill>
          </w14:textFill>
        </w:rPr>
        <w:sectPr>
          <w:pgSz w:w="11906" w:h="16838"/>
          <w:pgMar w:top="1440" w:right="1080" w:bottom="1440" w:left="1080" w:header="851" w:footer="851" w:gutter="0"/>
          <w:pgNumType w:start="1"/>
          <w:cols w:space="720" w:num="1"/>
          <w:docGrid w:linePitch="312" w:charSpace="0"/>
        </w:sectPr>
      </w:pPr>
    </w:p>
    <w:p w14:paraId="4361FF6B">
      <w:pPr>
        <w:pStyle w:val="40"/>
        <w:spacing w:before="0" w:after="0"/>
        <w:rPr>
          <w:snapToGrid w:val="0"/>
          <w:color w:val="000000" w:themeColor="text1"/>
          <w14:textFill>
            <w14:solidFill>
              <w14:schemeClr w14:val="tx1"/>
            </w14:solidFill>
          </w14:textFill>
        </w:rPr>
      </w:pPr>
      <w:bookmarkStart w:id="5" w:name="_Toc198560474"/>
      <w:r>
        <w:rPr>
          <w:snapToGrid w:val="0"/>
          <w:color w:val="000000" w:themeColor="text1"/>
          <w14:textFill>
            <w14:solidFill>
              <w14:schemeClr w14:val="tx1"/>
            </w14:solidFill>
          </w14:textFill>
        </w:rPr>
        <w:t>二、建设项目工程分析</w:t>
      </w:r>
      <w:bookmarkEnd w:id="5"/>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05"/>
      </w:tblGrid>
      <w:tr w14:paraId="169C1D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21908181">
            <w:pPr>
              <w:pStyle w:val="39"/>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建设内容</w:t>
            </w:r>
          </w:p>
        </w:tc>
        <w:tc>
          <w:tcPr>
            <w:tcW w:w="9305" w:type="dxa"/>
          </w:tcPr>
          <w:p w14:paraId="3FC4E617">
            <w:pPr>
              <w:pStyle w:val="159"/>
              <w:numPr>
                <w:ilvl w:val="1"/>
                <w:numId w:val="10"/>
              </w:numPr>
              <w:ind w:firstLineChars="0"/>
              <w:rPr>
                <w:b/>
                <w:bCs w:val="0"/>
              </w:rPr>
            </w:pPr>
            <w:r>
              <w:rPr>
                <w:b/>
                <w:bCs w:val="0"/>
              </w:rPr>
              <w:t>项目由来及环评类别判定说明</w:t>
            </w:r>
          </w:p>
          <w:p w14:paraId="7FBBCAFB">
            <w:pPr>
              <w:pStyle w:val="159"/>
              <w:ind w:firstLine="482"/>
              <w:rPr>
                <w:b/>
                <w:bCs w:val="0"/>
              </w:rPr>
            </w:pPr>
            <w:r>
              <w:rPr>
                <w:b/>
                <w:bCs w:val="0"/>
              </w:rPr>
              <w:t>1、项目由来</w:t>
            </w:r>
          </w:p>
          <w:p w14:paraId="6266FC16">
            <w:pPr>
              <w:pStyle w:val="159"/>
              <w:rPr>
                <w:lang w:val="en-US"/>
              </w:rPr>
            </w:pPr>
            <w:r>
              <w:rPr>
                <w:rFonts w:hint="eastAsia"/>
              </w:rPr>
              <w:t>高安钜鼎运动器材有限公司</w:t>
            </w:r>
            <w:r>
              <w:t>成立于20</w:t>
            </w:r>
            <w:r>
              <w:rPr>
                <w:rFonts w:hint="eastAsia"/>
              </w:rPr>
              <w:t>19</w:t>
            </w:r>
            <w:r>
              <w:t>年</w:t>
            </w:r>
            <w:r>
              <w:rPr>
                <w:rFonts w:hint="eastAsia"/>
              </w:rPr>
              <w:t>8</w:t>
            </w:r>
            <w:r>
              <w:t>月</w:t>
            </w:r>
            <w:r>
              <w:rPr>
                <w:rFonts w:hint="eastAsia"/>
              </w:rPr>
              <w:t>1</w:t>
            </w:r>
            <w:r>
              <w:t>日，主要从事</w:t>
            </w:r>
            <w:r>
              <w:rPr>
                <w:lang w:val="en-US"/>
              </w:rPr>
              <w:t>体育用品及器材制造，体育用品及器材零售等</w:t>
            </w:r>
            <w:r>
              <w:rPr>
                <w:rFonts w:hint="eastAsia"/>
                <w:lang w:val="en-US"/>
              </w:rPr>
              <w:t>，</w:t>
            </w:r>
            <w:r>
              <w:rPr>
                <w:lang w:val="en-US"/>
              </w:rPr>
              <w:t>拟投资</w:t>
            </w:r>
            <w:r>
              <w:rPr>
                <w:rFonts w:hint="eastAsia"/>
                <w:lang w:val="en-US"/>
              </w:rPr>
              <w:t>3</w:t>
            </w:r>
            <w:r>
              <w:rPr>
                <w:lang w:val="en-US"/>
              </w:rPr>
              <w:t>0万元，于</w:t>
            </w:r>
            <w:r>
              <w:rPr>
                <w:rFonts w:hint="eastAsia"/>
                <w:lang w:val="en-US"/>
              </w:rPr>
              <w:t>高安市黄沙岗镇挂榜村柒家村（高安市黄沙柒星建材厂内）</w:t>
            </w:r>
            <w:r>
              <w:rPr>
                <w:lang w:val="en-US"/>
              </w:rPr>
              <w:t>，租赁</w:t>
            </w:r>
            <w:r>
              <w:rPr>
                <w:rFonts w:hint="eastAsia"/>
                <w:lang w:val="en-US"/>
              </w:rPr>
              <w:t>高安市黄沙柒星建材厂现有</w:t>
            </w:r>
            <w:r>
              <w:rPr>
                <w:lang w:val="en-US"/>
              </w:rPr>
              <w:t>厂房，建设“</w:t>
            </w:r>
            <w:r>
              <w:rPr>
                <w:rFonts w:hint="eastAsia" w:eastAsiaTheme="minorEastAsia"/>
              </w:rPr>
              <w:t>高安钜鼎运动器材有限公司年产50万副球拍建设项目</w:t>
            </w:r>
            <w:r>
              <w:rPr>
                <w:lang w:val="en-US"/>
              </w:rPr>
              <w:t>”，即为本项目。</w:t>
            </w:r>
          </w:p>
          <w:p w14:paraId="23E1D067">
            <w:pPr>
              <w:pStyle w:val="159"/>
            </w:pPr>
            <w:r>
              <w:t>为此，建设单位委托本环评单位编制该项目的环境影响报告文件。本单位接受委托后，立即派技术人员踏勘现场和收集有关资料，并依照相关规定编写成环境影响报告文件，供建设单位报环境保护行政主管部门审批和作为污染防治建设的依据。</w:t>
            </w:r>
          </w:p>
          <w:p w14:paraId="2904D54A">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2、环评类别判定</w:t>
            </w:r>
          </w:p>
          <w:p w14:paraId="39773181">
            <w:pPr>
              <w:pStyle w:val="72"/>
              <w:spacing w:line="360" w:lineRule="auto"/>
              <w:ind w:firstLine="480" w:firstLineChars="200"/>
              <w:jc w:val="both"/>
              <w:rPr>
                <w:bCs/>
                <w:color w:val="000000" w:themeColor="text1"/>
                <w:sz w:val="24"/>
                <w:lang w:val="en-US"/>
                <w14:textFill>
                  <w14:solidFill>
                    <w14:schemeClr w14:val="tx1"/>
                  </w14:solidFill>
                </w14:textFill>
              </w:rPr>
            </w:pPr>
            <w:r>
              <w:rPr>
                <w:bCs/>
                <w:color w:val="000000" w:themeColor="text1"/>
                <w:sz w:val="24"/>
                <w14:textFill>
                  <w14:solidFill>
                    <w14:schemeClr w14:val="tx1"/>
                  </w14:solidFill>
                </w14:textFill>
              </w:rPr>
              <w:t>根据《建设项目环境影响评价分类管理名录》（2021年版）相关内容，</w:t>
            </w:r>
            <w:r>
              <w:rPr>
                <w:bCs/>
                <w:color w:val="000000" w:themeColor="text1"/>
                <w:sz w:val="24"/>
                <w:lang w:val="en-US"/>
                <w14:textFill>
                  <w14:solidFill>
                    <w14:schemeClr w14:val="tx1"/>
                  </w14:solidFill>
                </w14:textFill>
              </w:rPr>
              <w:t>本项目属于“二十一、文教、工美、体育和娱乐用品制造业24：年用溶剂型涂料（含稀释剂）10吨以下的”类别</w:t>
            </w:r>
            <w:r>
              <w:rPr>
                <w:bCs/>
                <w:color w:val="000000" w:themeColor="text1"/>
                <w:sz w:val="24"/>
                <w14:textFill>
                  <w14:solidFill>
                    <w14:schemeClr w14:val="tx1"/>
                  </w14:solidFill>
                </w14:textFill>
              </w:rPr>
              <w:t>，应编制环境影响报告表。</w:t>
            </w:r>
          </w:p>
          <w:p w14:paraId="2CB2EF7E">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表2-1  环评类别判定表</w:t>
            </w:r>
          </w:p>
          <w:tbl>
            <w:tblPr>
              <w:tblStyle w:val="4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4"/>
              <w:gridCol w:w="1329"/>
              <w:gridCol w:w="1171"/>
              <w:gridCol w:w="2137"/>
              <w:gridCol w:w="2684"/>
              <w:gridCol w:w="1004"/>
            </w:tblGrid>
            <w:tr w14:paraId="23504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415" w:type="pct"/>
                  <w:vAlign w:val="center"/>
                </w:tcPr>
                <w:p w14:paraId="679A6F24">
                  <w:pPr>
                    <w:pStyle w:val="72"/>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732" w:type="pct"/>
                  <w:vAlign w:val="center"/>
                </w:tcPr>
                <w:p w14:paraId="2AA6A507">
                  <w:pPr>
                    <w:pStyle w:val="72"/>
                    <w:rPr>
                      <w:color w:val="000000" w:themeColor="text1"/>
                      <w14:textFill>
                        <w14:solidFill>
                          <w14:schemeClr w14:val="tx1"/>
                        </w14:solidFill>
                      </w14:textFill>
                    </w:rPr>
                  </w:pPr>
                  <w:r>
                    <w:rPr>
                      <w:color w:val="000000" w:themeColor="text1"/>
                      <w14:textFill>
                        <w14:solidFill>
                          <w14:schemeClr w14:val="tx1"/>
                        </w14:solidFill>
                      </w14:textFill>
                    </w:rPr>
                    <w:t>国民经济行业类别</w:t>
                  </w:r>
                </w:p>
              </w:tc>
              <w:tc>
                <w:tcPr>
                  <w:tcW w:w="645" w:type="pct"/>
                  <w:vAlign w:val="center"/>
                </w:tcPr>
                <w:p w14:paraId="5615B510">
                  <w:pPr>
                    <w:pStyle w:val="72"/>
                    <w:rPr>
                      <w:color w:val="000000" w:themeColor="text1"/>
                      <w14:textFill>
                        <w14:solidFill>
                          <w14:schemeClr w14:val="tx1"/>
                        </w14:solidFill>
                      </w14:textFill>
                    </w:rPr>
                  </w:pPr>
                  <w:r>
                    <w:rPr>
                      <w:color w:val="000000" w:themeColor="text1"/>
                      <w14:textFill>
                        <w14:solidFill>
                          <w14:schemeClr w14:val="tx1"/>
                        </w14:solidFill>
                      </w14:textFill>
                    </w:rPr>
                    <w:t>产品产能</w:t>
                  </w:r>
                </w:p>
              </w:tc>
              <w:tc>
                <w:tcPr>
                  <w:tcW w:w="1177" w:type="pct"/>
                  <w:vAlign w:val="center"/>
                </w:tcPr>
                <w:p w14:paraId="19D01782">
                  <w:pPr>
                    <w:pStyle w:val="72"/>
                    <w:rPr>
                      <w:color w:val="000000" w:themeColor="text1"/>
                      <w14:textFill>
                        <w14:solidFill>
                          <w14:schemeClr w14:val="tx1"/>
                        </w14:solidFill>
                      </w14:textFill>
                    </w:rPr>
                  </w:pPr>
                  <w:r>
                    <w:rPr>
                      <w:color w:val="000000" w:themeColor="text1"/>
                      <w14:textFill>
                        <w14:solidFill>
                          <w14:schemeClr w14:val="tx1"/>
                        </w14:solidFill>
                      </w14:textFill>
                    </w:rPr>
                    <w:t>工艺</w:t>
                  </w:r>
                </w:p>
              </w:tc>
              <w:tc>
                <w:tcPr>
                  <w:tcW w:w="1478" w:type="pct"/>
                  <w:vAlign w:val="center"/>
                </w:tcPr>
                <w:p w14:paraId="5F2290E5">
                  <w:pPr>
                    <w:pStyle w:val="72"/>
                    <w:rPr>
                      <w:color w:val="000000" w:themeColor="text1"/>
                      <w14:textFill>
                        <w14:solidFill>
                          <w14:schemeClr w14:val="tx1"/>
                        </w14:solidFill>
                      </w14:textFill>
                    </w:rPr>
                  </w:pPr>
                  <w:r>
                    <w:rPr>
                      <w:color w:val="000000" w:themeColor="text1"/>
                      <w14:textFill>
                        <w14:solidFill>
                          <w14:schemeClr w14:val="tx1"/>
                        </w14:solidFill>
                      </w14:textFill>
                    </w:rPr>
                    <w:t>对应名录条款</w:t>
                  </w:r>
                </w:p>
              </w:tc>
              <w:tc>
                <w:tcPr>
                  <w:tcW w:w="553" w:type="pct"/>
                  <w:vAlign w:val="center"/>
                </w:tcPr>
                <w:p w14:paraId="4C1D83A6">
                  <w:pPr>
                    <w:pStyle w:val="72"/>
                    <w:rPr>
                      <w:color w:val="000000" w:themeColor="text1"/>
                      <w14:textFill>
                        <w14:solidFill>
                          <w14:schemeClr w14:val="tx1"/>
                        </w14:solidFill>
                      </w14:textFill>
                    </w:rPr>
                  </w:pPr>
                  <w:r>
                    <w:rPr>
                      <w:color w:val="000000" w:themeColor="text1"/>
                      <w14:textFill>
                        <w14:solidFill>
                          <w14:schemeClr w14:val="tx1"/>
                        </w14:solidFill>
                      </w14:textFill>
                    </w:rPr>
                    <w:t>类别</w:t>
                  </w:r>
                </w:p>
              </w:tc>
            </w:tr>
            <w:tr w14:paraId="5BE71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415" w:type="pct"/>
                  <w:vAlign w:val="center"/>
                </w:tcPr>
                <w:p w14:paraId="59689F95">
                  <w:pPr>
                    <w:pStyle w:val="72"/>
                    <w:rPr>
                      <w:color w:val="000000" w:themeColor="text1"/>
                      <w14:textFill>
                        <w14:solidFill>
                          <w14:schemeClr w14:val="tx1"/>
                        </w14:solidFill>
                      </w14:textFill>
                    </w:rPr>
                  </w:pPr>
                  <w:r>
                    <w:rPr>
                      <w:color w:val="000000" w:themeColor="text1"/>
                      <w14:textFill>
                        <w14:solidFill>
                          <w14:schemeClr w14:val="tx1"/>
                        </w14:solidFill>
                      </w14:textFill>
                    </w:rPr>
                    <w:t>1</w:t>
                  </w:r>
                </w:p>
              </w:tc>
              <w:tc>
                <w:tcPr>
                  <w:tcW w:w="732" w:type="pct"/>
                  <w:vAlign w:val="center"/>
                </w:tcPr>
                <w:p w14:paraId="1DBEEA14">
                  <w:pPr>
                    <w:jc w:val="center"/>
                    <w:rPr>
                      <w:color w:val="000000" w:themeColor="text1"/>
                      <w14:textFill>
                        <w14:solidFill>
                          <w14:schemeClr w14:val="tx1"/>
                        </w14:solidFill>
                      </w14:textFill>
                    </w:rPr>
                  </w:pPr>
                  <w:r>
                    <w:rPr>
                      <w:color w:val="000000" w:themeColor="text1"/>
                      <w14:textFill>
                        <w14:solidFill>
                          <w14:schemeClr w14:val="tx1"/>
                        </w14:solidFill>
                      </w14:textFill>
                    </w:rPr>
                    <w:t>C2442 专项运动器材及配件制造</w:t>
                  </w:r>
                </w:p>
              </w:tc>
              <w:tc>
                <w:tcPr>
                  <w:tcW w:w="645" w:type="pct"/>
                  <w:vAlign w:val="center"/>
                </w:tcPr>
                <w:p w14:paraId="4026B7AA">
                  <w:pPr>
                    <w:jc w:val="center"/>
                    <w:rPr>
                      <w:color w:val="000000" w:themeColor="text1"/>
                      <w14:textFill>
                        <w14:solidFill>
                          <w14:schemeClr w14:val="tx1"/>
                        </w14:solidFill>
                      </w14:textFill>
                    </w:rPr>
                  </w:pPr>
                  <w:r>
                    <w:rPr>
                      <w:color w:val="000000" w:themeColor="text1"/>
                      <w14:textFill>
                        <w14:solidFill>
                          <w14:schemeClr w14:val="tx1"/>
                        </w14:solidFill>
                      </w14:textFill>
                    </w:rPr>
                    <w:t>年产</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0万副羽毛球拍</w:t>
                  </w:r>
                </w:p>
              </w:tc>
              <w:tc>
                <w:tcPr>
                  <w:tcW w:w="1177" w:type="pct"/>
                  <w:vAlign w:val="center"/>
                </w:tcPr>
                <w:p w14:paraId="2860C9A7">
                  <w:pPr>
                    <w:jc w:val="center"/>
                    <w:rPr>
                      <w:color w:val="000000" w:themeColor="text1"/>
                      <w14:textFill>
                        <w14:solidFill>
                          <w14:schemeClr w14:val="tx1"/>
                        </w14:solidFill>
                      </w14:textFill>
                    </w:rPr>
                  </w:pPr>
                  <w:r>
                    <w:rPr>
                      <w:color w:val="000000" w:themeColor="text1"/>
                      <w14:textFill>
                        <w14:solidFill>
                          <w14:schemeClr w14:val="tx1"/>
                        </w14:solidFill>
                      </w14:textFill>
                    </w:rPr>
                    <w:t>滚圆、成型、打眼、喷漆、烘干、打护套、穿线、紧线、包柄、包装入库</w:t>
                  </w:r>
                </w:p>
              </w:tc>
              <w:tc>
                <w:tcPr>
                  <w:tcW w:w="1478" w:type="pct"/>
                  <w:vAlign w:val="center"/>
                </w:tcPr>
                <w:p w14:paraId="2424DDCB">
                  <w:pPr>
                    <w:pStyle w:val="72"/>
                    <w:rPr>
                      <w:color w:val="000000" w:themeColor="text1"/>
                      <w14:textFill>
                        <w14:solidFill>
                          <w14:schemeClr w14:val="tx1"/>
                        </w14:solidFill>
                      </w14:textFill>
                    </w:rPr>
                  </w:pPr>
                  <w:r>
                    <w:rPr>
                      <w:color w:val="000000" w:themeColor="text1"/>
                      <w14:textFill>
                        <w14:solidFill>
                          <w14:schemeClr w14:val="tx1"/>
                        </w14:solidFill>
                      </w14:textFill>
                    </w:rPr>
                    <w:t>二十一、文教、工美、体育和娱乐用品制造业24：年用溶剂型涂料（含稀释剂）10吨以下的</w:t>
                  </w:r>
                </w:p>
              </w:tc>
              <w:tc>
                <w:tcPr>
                  <w:tcW w:w="553" w:type="pct"/>
                  <w:vAlign w:val="center"/>
                </w:tcPr>
                <w:p w14:paraId="355D6B38">
                  <w:pPr>
                    <w:pStyle w:val="72"/>
                    <w:rPr>
                      <w:color w:val="000000" w:themeColor="text1"/>
                      <w14:textFill>
                        <w14:solidFill>
                          <w14:schemeClr w14:val="tx1"/>
                        </w14:solidFill>
                      </w14:textFill>
                    </w:rPr>
                  </w:pPr>
                  <w:r>
                    <w:rPr>
                      <w:color w:val="000000" w:themeColor="text1"/>
                      <w14:textFill>
                        <w14:solidFill>
                          <w14:schemeClr w14:val="tx1"/>
                        </w14:solidFill>
                      </w14:textFill>
                    </w:rPr>
                    <w:t>报告表</w:t>
                  </w:r>
                </w:p>
              </w:tc>
            </w:tr>
          </w:tbl>
          <w:p w14:paraId="4CA50241">
            <w:pPr>
              <w:pStyle w:val="159"/>
              <w:numPr>
                <w:ilvl w:val="1"/>
                <w:numId w:val="10"/>
              </w:numPr>
              <w:ind w:left="0" w:firstLine="482"/>
              <w:rPr>
                <w:b/>
                <w:bCs w:val="0"/>
              </w:rPr>
            </w:pPr>
            <w:r>
              <w:rPr>
                <w:b/>
                <w:bCs w:val="0"/>
              </w:rPr>
              <w:t>项目建设内容</w:t>
            </w:r>
          </w:p>
          <w:p w14:paraId="715454D2">
            <w:pPr>
              <w:pStyle w:val="178"/>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1、项目建设规模及组成</w:t>
            </w:r>
          </w:p>
          <w:p w14:paraId="4B46FAFE">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表2-2  项目工程组成一览表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0"/>
              <w:gridCol w:w="1135"/>
              <w:gridCol w:w="6094"/>
              <w:gridCol w:w="710"/>
            </w:tblGrid>
            <w:tr w14:paraId="0654A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Align w:val="center"/>
                </w:tcPr>
                <w:p w14:paraId="7D17C21A">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工程类别</w:t>
                  </w:r>
                </w:p>
              </w:tc>
              <w:tc>
                <w:tcPr>
                  <w:tcW w:w="625" w:type="pct"/>
                  <w:vAlign w:val="center"/>
                </w:tcPr>
                <w:p w14:paraId="137E6BDD">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项目名称</w:t>
                  </w:r>
                </w:p>
              </w:tc>
              <w:tc>
                <w:tcPr>
                  <w:tcW w:w="3356" w:type="pct"/>
                  <w:vAlign w:val="center"/>
                </w:tcPr>
                <w:p w14:paraId="73FCC00B">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建设内容和规模</w:t>
                  </w:r>
                </w:p>
              </w:tc>
              <w:tc>
                <w:tcPr>
                  <w:tcW w:w="391" w:type="pct"/>
                  <w:vAlign w:val="center"/>
                </w:tcPr>
                <w:p w14:paraId="42606021">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备注</w:t>
                  </w:r>
                </w:p>
              </w:tc>
            </w:tr>
            <w:tr w14:paraId="44479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restart"/>
                  <w:vAlign w:val="center"/>
                </w:tcPr>
                <w:p w14:paraId="79C3B08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主体工程</w:t>
                  </w:r>
                </w:p>
              </w:tc>
              <w:tc>
                <w:tcPr>
                  <w:tcW w:w="625" w:type="pct"/>
                  <w:vAlign w:val="center"/>
                </w:tcPr>
                <w:p w14:paraId="635785F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生产车间</w:t>
                  </w:r>
                </w:p>
              </w:tc>
              <w:tc>
                <w:tcPr>
                  <w:tcW w:w="3356" w:type="pct"/>
                  <w:vAlign w:val="center"/>
                </w:tcPr>
                <w:p w14:paraId="2FBABEED">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租赁现有厂房，</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186</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，主要布置机加工区、喷漆</w:t>
                  </w:r>
                  <w:r>
                    <w:rPr>
                      <w:rFonts w:hint="eastAsia"/>
                      <w:color w:val="000000" w:themeColor="text1"/>
                      <w:kern w:val="0"/>
                      <w:szCs w:val="21"/>
                      <w14:textFill>
                        <w14:solidFill>
                          <w14:schemeClr w14:val="tx1"/>
                        </w14:solidFill>
                      </w14:textFill>
                    </w:rPr>
                    <w:t>房、</w:t>
                  </w:r>
                  <w:r>
                    <w:rPr>
                      <w:color w:val="000000" w:themeColor="text1"/>
                      <w:kern w:val="0"/>
                      <w:szCs w:val="21"/>
                      <w14:textFill>
                        <w14:solidFill>
                          <w14:schemeClr w14:val="tx1"/>
                        </w14:solidFill>
                      </w14:textFill>
                    </w:rPr>
                    <w:t>烘干</w:t>
                  </w:r>
                  <w:r>
                    <w:rPr>
                      <w:rFonts w:hint="eastAsia"/>
                      <w:color w:val="000000" w:themeColor="text1"/>
                      <w:kern w:val="0"/>
                      <w:szCs w:val="21"/>
                      <w14:textFill>
                        <w14:solidFill>
                          <w14:schemeClr w14:val="tx1"/>
                        </w14:solidFill>
                      </w14:textFill>
                    </w:rPr>
                    <w:t>房</w:t>
                  </w:r>
                  <w:r>
                    <w:rPr>
                      <w:color w:val="000000" w:themeColor="text1"/>
                      <w:kern w:val="0"/>
                      <w:szCs w:val="21"/>
                      <w14:textFill>
                        <w14:solidFill>
                          <w14:schemeClr w14:val="tx1"/>
                        </w14:solidFill>
                      </w14:textFill>
                    </w:rPr>
                    <w:t>、组装区、包装区</w:t>
                  </w:r>
                  <w:r>
                    <w:rPr>
                      <w:rFonts w:hint="eastAsia"/>
                      <w:color w:val="000000" w:themeColor="text1"/>
                      <w:kern w:val="0"/>
                      <w:szCs w:val="21"/>
                      <w14:textFill>
                        <w14:solidFill>
                          <w14:schemeClr w14:val="tx1"/>
                        </w14:solidFill>
                      </w14:textFill>
                    </w:rPr>
                    <w:t>、原料堆放区、成品区、办公区</w:t>
                  </w:r>
                  <w:r>
                    <w:rPr>
                      <w:color w:val="000000" w:themeColor="text1"/>
                      <w:kern w:val="0"/>
                      <w:szCs w:val="21"/>
                      <w14:textFill>
                        <w14:solidFill>
                          <w14:schemeClr w14:val="tx1"/>
                        </w14:solidFill>
                      </w14:textFill>
                    </w:rPr>
                    <w:t>等。</w:t>
                  </w:r>
                </w:p>
              </w:tc>
              <w:tc>
                <w:tcPr>
                  <w:tcW w:w="391" w:type="pct"/>
                  <w:vMerge w:val="restart"/>
                  <w:vAlign w:val="center"/>
                </w:tcPr>
                <w:p w14:paraId="2A3B6968">
                  <w:pPr>
                    <w:autoSpaceDE w:val="0"/>
                    <w:autoSpaceDN w:val="0"/>
                    <w:adjustRightInd w:val="0"/>
                    <w:jc w:val="center"/>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租赁</w:t>
                  </w:r>
                  <w:r>
                    <w:rPr>
                      <w:rFonts w:hint="eastAsia"/>
                      <w:color w:val="000000" w:themeColor="text1"/>
                      <w:kern w:val="0"/>
                      <w:szCs w:val="21"/>
                      <w14:textFill>
                        <w14:solidFill>
                          <w14:schemeClr w14:val="tx1"/>
                        </w14:solidFill>
                      </w14:textFill>
                    </w:rPr>
                    <w:t>现有</w:t>
                  </w:r>
                  <w:r>
                    <w:rPr>
                      <w:color w:val="000000" w:themeColor="text1"/>
                      <w:kern w:val="0"/>
                      <w:szCs w:val="21"/>
                      <w14:textFill>
                        <w14:solidFill>
                          <w14:schemeClr w14:val="tx1"/>
                        </w14:solidFill>
                      </w14:textFill>
                    </w:rPr>
                    <w:t>厂房，根据实际生产需要布置设备</w:t>
                  </w:r>
                </w:p>
              </w:tc>
            </w:tr>
            <w:tr w14:paraId="516D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09626655">
                  <w:pPr>
                    <w:adjustRightInd w:val="0"/>
                    <w:snapToGrid w:val="0"/>
                    <w:jc w:val="center"/>
                    <w:rPr>
                      <w:color w:val="000000" w:themeColor="text1"/>
                      <w:szCs w:val="21"/>
                      <w14:textFill>
                        <w14:solidFill>
                          <w14:schemeClr w14:val="tx1"/>
                        </w14:solidFill>
                      </w14:textFill>
                    </w:rPr>
                  </w:pPr>
                </w:p>
              </w:tc>
              <w:tc>
                <w:tcPr>
                  <w:tcW w:w="625" w:type="pct"/>
                  <w:vAlign w:val="center"/>
                </w:tcPr>
                <w:p w14:paraId="1EFC8E1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机加工区</w:t>
                  </w:r>
                </w:p>
              </w:tc>
              <w:tc>
                <w:tcPr>
                  <w:tcW w:w="3356" w:type="pct"/>
                  <w:vAlign w:val="center"/>
                </w:tcPr>
                <w:p w14:paraId="59E3DF92">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西北</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30</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，主要布置滚圈机、成型机等机加工设备。</w:t>
                  </w:r>
                </w:p>
              </w:tc>
              <w:tc>
                <w:tcPr>
                  <w:tcW w:w="391" w:type="pct"/>
                  <w:vMerge w:val="continue"/>
                  <w:vAlign w:val="center"/>
                </w:tcPr>
                <w:p w14:paraId="1604CE5D">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644A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741EBF7A">
                  <w:pPr>
                    <w:adjustRightInd w:val="0"/>
                    <w:snapToGrid w:val="0"/>
                    <w:jc w:val="center"/>
                    <w:rPr>
                      <w:color w:val="000000" w:themeColor="text1"/>
                      <w:szCs w:val="21"/>
                      <w14:textFill>
                        <w14:solidFill>
                          <w14:schemeClr w14:val="tx1"/>
                        </w14:solidFill>
                      </w14:textFill>
                    </w:rPr>
                  </w:pPr>
                </w:p>
              </w:tc>
              <w:tc>
                <w:tcPr>
                  <w:tcW w:w="625" w:type="pct"/>
                  <w:vAlign w:val="center"/>
                </w:tcPr>
                <w:p w14:paraId="5AA4A59A">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喷漆</w:t>
                  </w:r>
                  <w:r>
                    <w:rPr>
                      <w:rFonts w:hint="eastAsia"/>
                      <w:color w:val="000000" w:themeColor="text1"/>
                      <w:szCs w:val="21"/>
                      <w14:textFill>
                        <w14:solidFill>
                          <w14:schemeClr w14:val="tx1"/>
                        </w14:solidFill>
                      </w14:textFill>
                    </w:rPr>
                    <w:t>房</w:t>
                  </w:r>
                </w:p>
              </w:tc>
              <w:tc>
                <w:tcPr>
                  <w:tcW w:w="3356" w:type="pct"/>
                  <w:vAlign w:val="center"/>
                </w:tcPr>
                <w:p w14:paraId="7971EF91">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西南</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1F，H=3m，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20</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，主要布置</w:t>
                  </w:r>
                  <w:r>
                    <w:rPr>
                      <w:rFonts w:hint="eastAsia"/>
                      <w:color w:val="000000" w:themeColor="text1"/>
                      <w:kern w:val="0"/>
                      <w:szCs w:val="21"/>
                      <w14:textFill>
                        <w14:solidFill>
                          <w14:schemeClr w14:val="tx1"/>
                        </w14:solidFill>
                      </w14:textFill>
                    </w:rPr>
                    <w:t>水洗</w:t>
                  </w:r>
                  <w:r>
                    <w:rPr>
                      <w:color w:val="000000" w:themeColor="text1"/>
                      <w:kern w:val="0"/>
                      <w:szCs w:val="21"/>
                      <w14:textFill>
                        <w14:solidFill>
                          <w14:schemeClr w14:val="tx1"/>
                        </w14:solidFill>
                      </w14:textFill>
                    </w:rPr>
                    <w:t>台</w:t>
                  </w:r>
                  <w:r>
                    <w:rPr>
                      <w:rFonts w:hint="eastAsia"/>
                      <w:color w:val="000000" w:themeColor="text1"/>
                      <w:kern w:val="0"/>
                      <w:szCs w:val="21"/>
                      <w14:textFill>
                        <w14:solidFill>
                          <w14:schemeClr w14:val="tx1"/>
                        </w14:solidFill>
                      </w14:textFill>
                    </w:rPr>
                    <w:t>、喷漆线、喷枪等，内部设置烘干房</w:t>
                  </w:r>
                  <w:r>
                    <w:rPr>
                      <w:color w:val="000000" w:themeColor="text1"/>
                      <w:kern w:val="0"/>
                      <w:szCs w:val="21"/>
                      <w14:textFill>
                        <w14:solidFill>
                          <w14:schemeClr w14:val="tx1"/>
                        </w14:solidFill>
                      </w14:textFill>
                    </w:rPr>
                    <w:t>。</w:t>
                  </w:r>
                </w:p>
              </w:tc>
              <w:tc>
                <w:tcPr>
                  <w:tcW w:w="391" w:type="pct"/>
                  <w:vMerge w:val="continue"/>
                  <w:vAlign w:val="center"/>
                </w:tcPr>
                <w:p w14:paraId="230079B9">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6B640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074593E1">
                  <w:pPr>
                    <w:adjustRightInd w:val="0"/>
                    <w:snapToGrid w:val="0"/>
                    <w:jc w:val="center"/>
                    <w:rPr>
                      <w:color w:val="000000" w:themeColor="text1"/>
                      <w:szCs w:val="21"/>
                      <w14:textFill>
                        <w14:solidFill>
                          <w14:schemeClr w14:val="tx1"/>
                        </w14:solidFill>
                      </w14:textFill>
                    </w:rPr>
                  </w:pPr>
                </w:p>
              </w:tc>
              <w:tc>
                <w:tcPr>
                  <w:tcW w:w="625" w:type="pct"/>
                  <w:vAlign w:val="center"/>
                </w:tcPr>
                <w:p w14:paraId="1346CF8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烘干房</w:t>
                  </w:r>
                </w:p>
              </w:tc>
              <w:tc>
                <w:tcPr>
                  <w:tcW w:w="3356" w:type="pct"/>
                  <w:vAlign w:val="center"/>
                </w:tcPr>
                <w:p w14:paraId="1E93DE4F">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w:t>
                  </w:r>
                  <w:r>
                    <w:rPr>
                      <w:rFonts w:hint="eastAsia"/>
                      <w:color w:val="000000" w:themeColor="text1"/>
                      <w:kern w:val="0"/>
                      <w:szCs w:val="21"/>
                      <w14:textFill>
                        <w14:solidFill>
                          <w14:schemeClr w14:val="tx1"/>
                        </w14:solidFill>
                      </w14:textFill>
                    </w:rPr>
                    <w:t>喷漆房</w:t>
                  </w:r>
                  <w:r>
                    <w:rPr>
                      <w:color w:val="000000" w:themeColor="text1"/>
                      <w:kern w:val="0"/>
                      <w:szCs w:val="21"/>
                      <w14:textFill>
                        <w14:solidFill>
                          <w14:schemeClr w14:val="tx1"/>
                        </w14:solidFill>
                      </w14:textFill>
                    </w:rPr>
                    <w:t>内部</w:t>
                  </w:r>
                  <w:r>
                    <w:rPr>
                      <w:rFonts w:hint="eastAsia"/>
                      <w:color w:val="000000" w:themeColor="text1"/>
                      <w:kern w:val="0"/>
                      <w:szCs w:val="21"/>
                      <w14:textFill>
                        <w14:solidFill>
                          <w14:schemeClr w14:val="tx1"/>
                        </w14:solidFill>
                      </w14:textFill>
                    </w:rPr>
                    <w:t>西</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1F，H=3m，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，主要布置烘箱。</w:t>
                  </w:r>
                </w:p>
              </w:tc>
              <w:tc>
                <w:tcPr>
                  <w:tcW w:w="391" w:type="pct"/>
                  <w:vMerge w:val="continue"/>
                  <w:vAlign w:val="center"/>
                </w:tcPr>
                <w:p w14:paraId="29C450FF">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480B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19EA8AB1">
                  <w:pPr>
                    <w:adjustRightInd w:val="0"/>
                    <w:snapToGrid w:val="0"/>
                    <w:jc w:val="center"/>
                    <w:rPr>
                      <w:color w:val="000000" w:themeColor="text1"/>
                      <w:szCs w:val="21"/>
                      <w14:textFill>
                        <w14:solidFill>
                          <w14:schemeClr w14:val="tx1"/>
                        </w14:solidFill>
                      </w14:textFill>
                    </w:rPr>
                  </w:pPr>
                </w:p>
              </w:tc>
              <w:tc>
                <w:tcPr>
                  <w:tcW w:w="625" w:type="pct"/>
                  <w:vAlign w:val="center"/>
                </w:tcPr>
                <w:p w14:paraId="55D7563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组装区</w:t>
                  </w:r>
                </w:p>
              </w:tc>
              <w:tc>
                <w:tcPr>
                  <w:tcW w:w="3356" w:type="pct"/>
                  <w:vAlign w:val="center"/>
                </w:tcPr>
                <w:p w14:paraId="4113FC89">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西</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50m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，主要布置打眼机、打护套机、紧线机等组装设备。</w:t>
                  </w:r>
                </w:p>
              </w:tc>
              <w:tc>
                <w:tcPr>
                  <w:tcW w:w="391" w:type="pct"/>
                  <w:vMerge w:val="continue"/>
                  <w:vAlign w:val="center"/>
                </w:tcPr>
                <w:p w14:paraId="36CBEB36">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1642D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74F50BDB">
                  <w:pPr>
                    <w:adjustRightInd w:val="0"/>
                    <w:snapToGrid w:val="0"/>
                    <w:jc w:val="center"/>
                    <w:rPr>
                      <w:color w:val="000000" w:themeColor="text1"/>
                      <w:szCs w:val="21"/>
                      <w14:textFill>
                        <w14:solidFill>
                          <w14:schemeClr w14:val="tx1"/>
                        </w14:solidFill>
                      </w14:textFill>
                    </w:rPr>
                  </w:pPr>
                </w:p>
              </w:tc>
              <w:tc>
                <w:tcPr>
                  <w:tcW w:w="625" w:type="pct"/>
                  <w:vAlign w:val="center"/>
                </w:tcPr>
                <w:p w14:paraId="77D4B92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包装区</w:t>
                  </w:r>
                </w:p>
              </w:tc>
              <w:tc>
                <w:tcPr>
                  <w:tcW w:w="3356" w:type="pct"/>
                  <w:vAlign w:val="center"/>
                </w:tcPr>
                <w:p w14:paraId="36D02340">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中部</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10</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，主要进行成品包装。</w:t>
                  </w:r>
                </w:p>
              </w:tc>
              <w:tc>
                <w:tcPr>
                  <w:tcW w:w="391" w:type="pct"/>
                  <w:vMerge w:val="continue"/>
                  <w:vAlign w:val="center"/>
                </w:tcPr>
                <w:p w14:paraId="69E5217E">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7A94C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restart"/>
                  <w:vAlign w:val="center"/>
                </w:tcPr>
                <w:p w14:paraId="54E210B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储运工程</w:t>
                  </w:r>
                </w:p>
              </w:tc>
              <w:tc>
                <w:tcPr>
                  <w:tcW w:w="625" w:type="pct"/>
                  <w:vAlign w:val="center"/>
                </w:tcPr>
                <w:p w14:paraId="7FA816D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原料堆放区</w:t>
                  </w:r>
                </w:p>
              </w:tc>
              <w:tc>
                <w:tcPr>
                  <w:tcW w:w="3356" w:type="pct"/>
                  <w:vAlign w:val="center"/>
                </w:tcPr>
                <w:p w14:paraId="6E81388E">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北</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15</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，储存</w:t>
                  </w:r>
                  <w:r>
                    <w:rPr>
                      <w:rFonts w:hint="eastAsia"/>
                      <w:color w:val="000000" w:themeColor="text1"/>
                      <w:kern w:val="0"/>
                      <w:szCs w:val="21"/>
                      <w14:textFill>
                        <w14:solidFill>
                          <w14:schemeClr w14:val="tx1"/>
                        </w14:solidFill>
                      </w14:textFill>
                    </w:rPr>
                    <w:t>羽毛球拍生产原材料，内部设置2m</w:t>
                  </w:r>
                  <w:r>
                    <w:rPr>
                      <w:rFonts w:hint="eastAsia"/>
                      <w:color w:val="000000" w:themeColor="text1"/>
                      <w:kern w:val="0"/>
                      <w:szCs w:val="21"/>
                      <w:vertAlign w:val="superscript"/>
                      <w14:textFill>
                        <w14:solidFill>
                          <w14:schemeClr w14:val="tx1"/>
                        </w14:solidFill>
                      </w14:textFill>
                    </w:rPr>
                    <w:t>2</w:t>
                  </w:r>
                  <w:r>
                    <w:rPr>
                      <w:rFonts w:hint="eastAsia"/>
                      <w:color w:val="000000" w:themeColor="text1"/>
                      <w:kern w:val="0"/>
                      <w:szCs w:val="21"/>
                      <w14:textFill>
                        <w14:solidFill>
                          <w14:schemeClr w14:val="tx1"/>
                        </w14:solidFill>
                      </w14:textFill>
                    </w:rPr>
                    <w:t>的化学品仓库用于存放油漆、稀释剂、机油等物料</w:t>
                  </w:r>
                  <w:r>
                    <w:rPr>
                      <w:color w:val="000000" w:themeColor="text1"/>
                      <w:kern w:val="0"/>
                      <w:szCs w:val="21"/>
                      <w14:textFill>
                        <w14:solidFill>
                          <w14:schemeClr w14:val="tx1"/>
                        </w14:solidFill>
                      </w14:textFill>
                    </w:rPr>
                    <w:t>。</w:t>
                  </w:r>
                </w:p>
              </w:tc>
              <w:tc>
                <w:tcPr>
                  <w:tcW w:w="391" w:type="pct"/>
                  <w:vMerge w:val="continue"/>
                  <w:vAlign w:val="center"/>
                </w:tcPr>
                <w:p w14:paraId="6E638290">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0C9A7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1D4E9B8E">
                  <w:pPr>
                    <w:adjustRightInd w:val="0"/>
                    <w:snapToGrid w:val="0"/>
                    <w:jc w:val="center"/>
                    <w:rPr>
                      <w:color w:val="000000" w:themeColor="text1"/>
                      <w:szCs w:val="21"/>
                      <w14:textFill>
                        <w14:solidFill>
                          <w14:schemeClr w14:val="tx1"/>
                        </w14:solidFill>
                      </w14:textFill>
                    </w:rPr>
                  </w:pPr>
                </w:p>
              </w:tc>
              <w:tc>
                <w:tcPr>
                  <w:tcW w:w="625" w:type="pct"/>
                  <w:vAlign w:val="center"/>
                </w:tcPr>
                <w:p w14:paraId="6BB26A3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成品区</w:t>
                  </w:r>
                </w:p>
              </w:tc>
              <w:tc>
                <w:tcPr>
                  <w:tcW w:w="3356" w:type="pct"/>
                  <w:vAlign w:val="center"/>
                </w:tcPr>
                <w:p w14:paraId="36A14201">
                  <w:pPr>
                    <w:autoSpaceDE w:val="0"/>
                    <w:autoSpaceDN w:val="0"/>
                    <w:adjustRightInd w:val="0"/>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北</w:t>
                  </w:r>
                  <w:r>
                    <w:rPr>
                      <w:color w:val="000000" w:themeColor="text1"/>
                      <w:kern w:val="0"/>
                      <w:szCs w:val="21"/>
                      <w14:textFill>
                        <w14:solidFill>
                          <w14:schemeClr w14:val="tx1"/>
                        </w14:solidFill>
                      </w14:textFill>
                    </w:rPr>
                    <w:t>侧，</w:t>
                  </w:r>
                  <w:r>
                    <w:rPr>
                      <w:rFonts w:hint="eastAsia"/>
                      <w:color w:val="000000" w:themeColor="text1"/>
                      <w:kern w:val="0"/>
                      <w:szCs w:val="21"/>
                      <w14:textFill>
                        <w14:solidFill>
                          <w14:schemeClr w14:val="tx1"/>
                        </w14:solidFill>
                      </w14:textFill>
                    </w:rPr>
                    <w:t>1F，H=10m，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7</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用于</w:t>
                  </w:r>
                  <w:r>
                    <w:rPr>
                      <w:color w:val="000000" w:themeColor="text1"/>
                      <w:kern w:val="0"/>
                      <w:szCs w:val="21"/>
                      <w14:textFill>
                        <w14:solidFill>
                          <w14:schemeClr w14:val="tx1"/>
                        </w14:solidFill>
                      </w14:textFill>
                    </w:rPr>
                    <w:t>储存成品。</w:t>
                  </w:r>
                </w:p>
              </w:tc>
              <w:tc>
                <w:tcPr>
                  <w:tcW w:w="391" w:type="pct"/>
                  <w:vMerge w:val="continue"/>
                  <w:vAlign w:val="center"/>
                </w:tcPr>
                <w:p w14:paraId="636DF69B">
                  <w:pPr>
                    <w:autoSpaceDE w:val="0"/>
                    <w:autoSpaceDN w:val="0"/>
                    <w:adjustRightInd w:val="0"/>
                    <w:jc w:val="center"/>
                    <w:textAlignment w:val="baseline"/>
                    <w:rPr>
                      <w:color w:val="000000" w:themeColor="text1"/>
                      <w:kern w:val="0"/>
                      <w:szCs w:val="21"/>
                      <w14:textFill>
                        <w14:solidFill>
                          <w14:schemeClr w14:val="tx1"/>
                        </w14:solidFill>
                      </w14:textFill>
                    </w:rPr>
                  </w:pPr>
                </w:p>
              </w:tc>
            </w:tr>
            <w:tr w14:paraId="15FA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Align w:val="center"/>
                </w:tcPr>
                <w:p w14:paraId="1C7E88F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辅助工程</w:t>
                  </w:r>
                </w:p>
              </w:tc>
              <w:tc>
                <w:tcPr>
                  <w:tcW w:w="625" w:type="pct"/>
                  <w:vAlign w:val="center"/>
                </w:tcPr>
                <w:p w14:paraId="3D58B4E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办公区</w:t>
                  </w:r>
                </w:p>
              </w:tc>
              <w:tc>
                <w:tcPr>
                  <w:tcW w:w="3356" w:type="pct"/>
                  <w:vAlign w:val="center"/>
                </w:tcPr>
                <w:p w14:paraId="0F201D71">
                  <w:pPr>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位于生产车间内部</w:t>
                  </w:r>
                  <w:r>
                    <w:rPr>
                      <w:rFonts w:hint="eastAsia"/>
                      <w:color w:val="000000" w:themeColor="text1"/>
                      <w:kern w:val="0"/>
                      <w:szCs w:val="21"/>
                      <w14:textFill>
                        <w14:solidFill>
                          <w14:schemeClr w14:val="tx1"/>
                        </w14:solidFill>
                      </w14:textFill>
                    </w:rPr>
                    <w:t>东南角</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1F，H=3m，</w:t>
                  </w:r>
                  <w:r>
                    <w:rPr>
                      <w:color w:val="000000" w:themeColor="text1"/>
                      <w:kern w:val="0"/>
                      <w:szCs w:val="21"/>
                      <w14:textFill>
                        <w14:solidFill>
                          <w14:schemeClr w14:val="tx1"/>
                        </w14:solidFill>
                      </w14:textFill>
                    </w:rPr>
                    <w:t>占地面积约</w:t>
                  </w: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0m</w:t>
                  </w:r>
                  <w:r>
                    <w:rPr>
                      <w:color w:val="000000" w:themeColor="text1"/>
                      <w:kern w:val="0"/>
                      <w:szCs w:val="21"/>
                      <w:vertAlign w:val="superscript"/>
                      <w14:textFill>
                        <w14:solidFill>
                          <w14:schemeClr w14:val="tx1"/>
                        </w14:solidFill>
                      </w14:textFill>
                    </w:rPr>
                    <w:t>2</w:t>
                  </w:r>
                  <w:r>
                    <w:rPr>
                      <w:color w:val="000000" w:themeColor="text1"/>
                      <w:kern w:val="0"/>
                      <w:szCs w:val="21"/>
                      <w14:textFill>
                        <w14:solidFill>
                          <w14:schemeClr w14:val="tx1"/>
                        </w14:solidFill>
                      </w14:textFill>
                    </w:rPr>
                    <w:t>，用于办公。</w:t>
                  </w:r>
                </w:p>
              </w:tc>
              <w:tc>
                <w:tcPr>
                  <w:tcW w:w="391" w:type="pct"/>
                  <w:vMerge w:val="continue"/>
                  <w:vAlign w:val="center"/>
                </w:tcPr>
                <w:p w14:paraId="5E163BA2">
                  <w:pPr>
                    <w:adjustRightInd w:val="0"/>
                    <w:snapToGrid w:val="0"/>
                    <w:jc w:val="center"/>
                    <w:rPr>
                      <w:color w:val="000000" w:themeColor="text1"/>
                      <w:kern w:val="0"/>
                      <w:szCs w:val="21"/>
                      <w14:textFill>
                        <w14:solidFill>
                          <w14:schemeClr w14:val="tx1"/>
                        </w14:solidFill>
                      </w14:textFill>
                    </w:rPr>
                  </w:pPr>
                </w:p>
              </w:tc>
            </w:tr>
            <w:tr w14:paraId="32677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restart"/>
                  <w:vAlign w:val="center"/>
                </w:tcPr>
                <w:p w14:paraId="77F9E8D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625" w:type="pct"/>
                  <w:vAlign w:val="center"/>
                </w:tcPr>
                <w:p w14:paraId="4966093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供水</w:t>
                  </w:r>
                </w:p>
              </w:tc>
              <w:tc>
                <w:tcPr>
                  <w:tcW w:w="3356" w:type="pct"/>
                  <w:vAlign w:val="center"/>
                </w:tcPr>
                <w:p w14:paraId="6A7D9604">
                  <w:pPr>
                    <w:adjustRightInd w:val="0"/>
                    <w:snapToGrid w:val="0"/>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本项目用水由市政供水管网供给。</w:t>
                  </w:r>
                </w:p>
              </w:tc>
              <w:tc>
                <w:tcPr>
                  <w:tcW w:w="391" w:type="pct"/>
                  <w:vAlign w:val="center"/>
                </w:tcPr>
                <w:p w14:paraId="6EF11960">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新建</w:t>
                  </w:r>
                </w:p>
              </w:tc>
            </w:tr>
            <w:tr w14:paraId="245CF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4642AB57">
                  <w:pPr>
                    <w:adjustRightInd w:val="0"/>
                    <w:snapToGrid w:val="0"/>
                    <w:jc w:val="center"/>
                    <w:rPr>
                      <w:color w:val="000000" w:themeColor="text1"/>
                      <w:szCs w:val="21"/>
                      <w14:textFill>
                        <w14:solidFill>
                          <w14:schemeClr w14:val="tx1"/>
                        </w14:solidFill>
                      </w14:textFill>
                    </w:rPr>
                  </w:pPr>
                </w:p>
              </w:tc>
              <w:tc>
                <w:tcPr>
                  <w:tcW w:w="625" w:type="pct"/>
                  <w:vAlign w:val="center"/>
                </w:tcPr>
                <w:p w14:paraId="06B4066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供电</w:t>
                  </w:r>
                </w:p>
              </w:tc>
              <w:tc>
                <w:tcPr>
                  <w:tcW w:w="3356" w:type="pct"/>
                  <w:vAlign w:val="center"/>
                </w:tcPr>
                <w:p w14:paraId="4366FA3B">
                  <w:pPr>
                    <w:adjustRightInd w:val="0"/>
                    <w:snapToGrid w:val="0"/>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全部由市政供电部门供应。</w:t>
                  </w:r>
                </w:p>
              </w:tc>
              <w:tc>
                <w:tcPr>
                  <w:tcW w:w="391" w:type="pct"/>
                  <w:vAlign w:val="center"/>
                </w:tcPr>
                <w:p w14:paraId="609A8E96">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新建</w:t>
                  </w:r>
                </w:p>
              </w:tc>
            </w:tr>
            <w:tr w14:paraId="145E8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restart"/>
                  <w:vAlign w:val="center"/>
                </w:tcPr>
                <w:p w14:paraId="5C75CA9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625" w:type="pct"/>
                  <w:vAlign w:val="center"/>
                </w:tcPr>
                <w:p w14:paraId="2DE9AD91">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3356" w:type="pct"/>
                  <w:vAlign w:val="center"/>
                </w:tcPr>
                <w:p w14:paraId="78B45BAE">
                  <w:pPr>
                    <w:pStyle w:val="58"/>
                    <w:jc w:val="both"/>
                    <w:rPr>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调漆、喷漆废气密闭负压收集后经“水帘柜+过滤棉”预处理后与密闭负压收集的烘干废气一并经“活性炭吸附脱附+小型催化燃烧装置”处理后</w:t>
                  </w:r>
                  <w:r>
                    <w:rPr>
                      <w:rFonts w:eastAsiaTheme="minorEastAsia"/>
                      <w:color w:val="000000" w:themeColor="text1"/>
                      <w14:textFill>
                        <w14:solidFill>
                          <w14:schemeClr w14:val="tx1"/>
                        </w14:solidFill>
                      </w14:textFill>
                    </w:rPr>
                    <w:t>，经一根15m高排气筒（DA001）排放，未收集喷漆房废气通过加强喷漆房</w:t>
                  </w:r>
                  <w:r>
                    <w:rPr>
                      <w:rFonts w:hint="eastAsia" w:eastAsiaTheme="minorEastAsia"/>
                      <w:color w:val="000000" w:themeColor="text1"/>
                      <w14:textFill>
                        <w14:solidFill>
                          <w14:schemeClr w14:val="tx1"/>
                        </w14:solidFill>
                      </w14:textFill>
                    </w:rPr>
                    <w:t>、烘干房</w:t>
                  </w:r>
                  <w:r>
                    <w:rPr>
                      <w:rFonts w:eastAsiaTheme="minorEastAsia"/>
                      <w:color w:val="000000" w:themeColor="text1"/>
                      <w14:textFill>
                        <w14:solidFill>
                          <w14:schemeClr w14:val="tx1"/>
                        </w14:solidFill>
                      </w14:textFill>
                    </w:rPr>
                    <w:t>密闭、车间通风进行抑制。</w:t>
                  </w:r>
                </w:p>
              </w:tc>
              <w:tc>
                <w:tcPr>
                  <w:tcW w:w="391" w:type="pct"/>
                  <w:vAlign w:val="center"/>
                </w:tcPr>
                <w:p w14:paraId="3A2E1168">
                  <w:pPr>
                    <w:pStyle w:val="58"/>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新建</w:t>
                  </w:r>
                </w:p>
              </w:tc>
            </w:tr>
            <w:tr w14:paraId="0BF6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0A1BEEEC">
                  <w:pPr>
                    <w:widowControl/>
                    <w:adjustRightInd w:val="0"/>
                    <w:snapToGrid w:val="0"/>
                    <w:jc w:val="center"/>
                    <w:rPr>
                      <w:color w:val="000000" w:themeColor="text1"/>
                      <w:szCs w:val="21"/>
                      <w14:textFill>
                        <w14:solidFill>
                          <w14:schemeClr w14:val="tx1"/>
                        </w14:solidFill>
                      </w14:textFill>
                    </w:rPr>
                  </w:pPr>
                </w:p>
              </w:tc>
              <w:tc>
                <w:tcPr>
                  <w:tcW w:w="625" w:type="pct"/>
                  <w:vAlign w:val="center"/>
                </w:tcPr>
                <w:p w14:paraId="6CA999A4">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3356" w:type="pct"/>
                  <w:vAlign w:val="center"/>
                </w:tcPr>
                <w:p w14:paraId="4178147A">
                  <w:pPr>
                    <w:pStyle w:val="58"/>
                    <w:jc w:val="both"/>
                    <w:rPr>
                      <w:color w:val="000000" w:themeColor="text1"/>
                      <w14:textFill>
                        <w14:solidFill>
                          <w14:schemeClr w14:val="tx1"/>
                        </w14:solidFill>
                      </w14:textFill>
                    </w:rPr>
                  </w:pPr>
                  <w:r>
                    <w:rPr>
                      <w:rFonts w:eastAsiaTheme="minorEastAsia"/>
                      <w:color w:val="000000" w:themeColor="text1"/>
                      <w14:textFill>
                        <w14:solidFill>
                          <w14:schemeClr w14:val="tx1"/>
                        </w14:solidFill>
                      </w14:textFill>
                    </w:rPr>
                    <w:t>项目</w:t>
                  </w:r>
                  <w:r>
                    <w:rPr>
                      <w:rFonts w:hint="eastAsia" w:eastAsiaTheme="minorEastAsia"/>
                      <w:color w:val="000000" w:themeColor="text1"/>
                      <w14:textFill>
                        <w14:solidFill>
                          <w14:schemeClr w14:val="tx1"/>
                        </w14:solidFill>
                      </w14:textFill>
                    </w:rPr>
                    <w:t>水帘废水作为危废处置</w:t>
                  </w:r>
                  <w:r>
                    <w:rPr>
                      <w:rFonts w:eastAsiaTheme="minorEastAsia"/>
                      <w:color w:val="000000" w:themeColor="text1"/>
                      <w14:textFill>
                        <w14:solidFill>
                          <w14:schemeClr w14:val="tx1"/>
                        </w14:solidFill>
                      </w14:textFill>
                    </w:rPr>
                    <w:t>，生活污水经化粪池处理后，定期清掏</w:t>
                  </w:r>
                  <w:r>
                    <w:rPr>
                      <w:rFonts w:hint="eastAsia" w:eastAsiaTheme="minorEastAsia"/>
                      <w:color w:val="000000" w:themeColor="text1"/>
                      <w14:textFill>
                        <w14:solidFill>
                          <w14:schemeClr w14:val="tx1"/>
                        </w14:solidFill>
                      </w14:textFill>
                    </w:rPr>
                    <w:t>用于周边林地灌溉</w:t>
                  </w:r>
                  <w:r>
                    <w:rPr>
                      <w:rFonts w:eastAsiaTheme="minorEastAsia"/>
                      <w:color w:val="000000" w:themeColor="text1"/>
                      <w14:textFill>
                        <w14:solidFill>
                          <w14:schemeClr w14:val="tx1"/>
                        </w14:solidFill>
                      </w14:textFill>
                    </w:rPr>
                    <w:t>，不外排。</w:t>
                  </w:r>
                </w:p>
              </w:tc>
              <w:tc>
                <w:tcPr>
                  <w:tcW w:w="391" w:type="pct"/>
                  <w:vAlign w:val="center"/>
                </w:tcPr>
                <w:p w14:paraId="36B65560">
                  <w:pPr>
                    <w:pStyle w:val="58"/>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新建</w:t>
                  </w:r>
                </w:p>
              </w:tc>
            </w:tr>
            <w:tr w14:paraId="43C9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7C71608E">
                  <w:pPr>
                    <w:widowControl/>
                    <w:adjustRightInd w:val="0"/>
                    <w:snapToGrid w:val="0"/>
                    <w:jc w:val="center"/>
                    <w:rPr>
                      <w:color w:val="000000" w:themeColor="text1"/>
                      <w:szCs w:val="21"/>
                      <w14:textFill>
                        <w14:solidFill>
                          <w14:schemeClr w14:val="tx1"/>
                        </w14:solidFill>
                      </w14:textFill>
                    </w:rPr>
                  </w:pPr>
                </w:p>
              </w:tc>
              <w:tc>
                <w:tcPr>
                  <w:tcW w:w="625" w:type="pct"/>
                  <w:vAlign w:val="center"/>
                </w:tcPr>
                <w:p w14:paraId="249214F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3356" w:type="pct"/>
                  <w:vAlign w:val="center"/>
                </w:tcPr>
                <w:p w14:paraId="133BC285">
                  <w:pPr>
                    <w:adjustRightInd w:val="0"/>
                    <w:snapToGrid w:val="0"/>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设备基础减震、厂房隔声、增强厂区绿化。</w:t>
                  </w:r>
                </w:p>
              </w:tc>
              <w:tc>
                <w:tcPr>
                  <w:tcW w:w="391" w:type="pct"/>
                  <w:vAlign w:val="center"/>
                </w:tcPr>
                <w:p w14:paraId="76A219EA">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新建</w:t>
                  </w:r>
                </w:p>
              </w:tc>
            </w:tr>
            <w:tr w14:paraId="2E4DC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8" w:type="pct"/>
                  <w:vMerge w:val="continue"/>
                  <w:vAlign w:val="center"/>
                </w:tcPr>
                <w:p w14:paraId="1835E712">
                  <w:pPr>
                    <w:widowControl/>
                    <w:adjustRightInd w:val="0"/>
                    <w:snapToGrid w:val="0"/>
                    <w:jc w:val="center"/>
                    <w:rPr>
                      <w:color w:val="000000" w:themeColor="text1"/>
                      <w:szCs w:val="21"/>
                      <w14:textFill>
                        <w14:solidFill>
                          <w14:schemeClr w14:val="tx1"/>
                        </w14:solidFill>
                      </w14:textFill>
                    </w:rPr>
                  </w:pPr>
                </w:p>
              </w:tc>
              <w:tc>
                <w:tcPr>
                  <w:tcW w:w="625" w:type="pct"/>
                  <w:vAlign w:val="center"/>
                </w:tcPr>
                <w:p w14:paraId="66EE695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w:t>
                  </w:r>
                </w:p>
              </w:tc>
              <w:tc>
                <w:tcPr>
                  <w:tcW w:w="3356" w:type="pct"/>
                  <w:vAlign w:val="center"/>
                </w:tcPr>
                <w:p w14:paraId="634D0E18">
                  <w:pPr>
                    <w:adjustRightInd w:val="0"/>
                    <w:snapToGrid w:val="0"/>
                    <w:rPr>
                      <w:color w:val="000000" w:themeColor="text1"/>
                      <w:szCs w:val="21"/>
                      <w14:textFill>
                        <w14:solidFill>
                          <w14:schemeClr w14:val="tx1"/>
                        </w14:solidFill>
                      </w14:textFill>
                    </w:rPr>
                  </w:pPr>
                  <w:r>
                    <w:rPr>
                      <w:rFonts w:eastAsiaTheme="minorEastAsia"/>
                      <w:bCs/>
                      <w:color w:val="000000" w:themeColor="text1"/>
                      <w:kern w:val="28"/>
                      <w:szCs w:val="21"/>
                      <w14:textFill>
                        <w14:solidFill>
                          <w14:schemeClr w14:val="tx1"/>
                        </w14:solidFill>
                      </w14:textFill>
                    </w:rPr>
                    <w:t>新建一般固废暂存间（5m</w:t>
                  </w:r>
                  <w:r>
                    <w:rPr>
                      <w:rFonts w:eastAsiaTheme="minorEastAsia"/>
                      <w:bCs/>
                      <w:color w:val="000000" w:themeColor="text1"/>
                      <w:kern w:val="28"/>
                      <w:szCs w:val="21"/>
                      <w:vertAlign w:val="superscript"/>
                      <w14:textFill>
                        <w14:solidFill>
                          <w14:schemeClr w14:val="tx1"/>
                        </w14:solidFill>
                      </w14:textFill>
                    </w:rPr>
                    <w:t>2</w:t>
                  </w:r>
                  <w:r>
                    <w:rPr>
                      <w:rFonts w:eastAsiaTheme="minorEastAsia"/>
                      <w:bCs/>
                      <w:color w:val="000000" w:themeColor="text1"/>
                      <w:kern w:val="28"/>
                      <w:szCs w:val="21"/>
                      <w14:textFill>
                        <w14:solidFill>
                          <w14:schemeClr w14:val="tx1"/>
                        </w14:solidFill>
                      </w14:textFill>
                    </w:rPr>
                    <w:t>），危废贮存库（</w:t>
                  </w:r>
                  <w:r>
                    <w:rPr>
                      <w:rFonts w:hint="eastAsia" w:eastAsiaTheme="minorEastAsia"/>
                      <w:bCs/>
                      <w:color w:val="000000" w:themeColor="text1"/>
                      <w:kern w:val="28"/>
                      <w:szCs w:val="21"/>
                      <w14:textFill>
                        <w14:solidFill>
                          <w14:schemeClr w14:val="tx1"/>
                        </w14:solidFill>
                      </w14:textFill>
                    </w:rPr>
                    <w:t>10</w:t>
                  </w:r>
                  <w:r>
                    <w:rPr>
                      <w:rFonts w:eastAsiaTheme="minorEastAsia"/>
                      <w:bCs/>
                      <w:color w:val="000000" w:themeColor="text1"/>
                      <w:kern w:val="28"/>
                      <w:szCs w:val="21"/>
                      <w14:textFill>
                        <w14:solidFill>
                          <w14:schemeClr w14:val="tx1"/>
                        </w14:solidFill>
                      </w14:textFill>
                    </w:rPr>
                    <w:t>m</w:t>
                  </w:r>
                  <w:r>
                    <w:rPr>
                      <w:rFonts w:eastAsiaTheme="minorEastAsia"/>
                      <w:bCs/>
                      <w:color w:val="000000" w:themeColor="text1"/>
                      <w:kern w:val="28"/>
                      <w:szCs w:val="21"/>
                      <w:vertAlign w:val="superscript"/>
                      <w14:textFill>
                        <w14:solidFill>
                          <w14:schemeClr w14:val="tx1"/>
                        </w14:solidFill>
                      </w14:textFill>
                    </w:rPr>
                    <w:t>2</w:t>
                  </w:r>
                  <w:r>
                    <w:rPr>
                      <w:rFonts w:eastAsiaTheme="minorEastAsia"/>
                      <w:bCs/>
                      <w:color w:val="000000" w:themeColor="text1"/>
                      <w:kern w:val="28"/>
                      <w:szCs w:val="21"/>
                      <w14:textFill>
                        <w14:solidFill>
                          <w14:schemeClr w14:val="tx1"/>
                        </w14:solidFill>
                      </w14:textFill>
                    </w:rPr>
                    <w:t>）。固废分类收集、堆放，危险废物委托有资质单位处置。</w:t>
                  </w:r>
                </w:p>
              </w:tc>
              <w:tc>
                <w:tcPr>
                  <w:tcW w:w="391" w:type="pct"/>
                  <w:vAlign w:val="center"/>
                </w:tcPr>
                <w:p w14:paraId="1E228B7B">
                  <w:pPr>
                    <w:adjustRightInd w:val="0"/>
                    <w:snapToGrid w:val="0"/>
                    <w:jc w:val="center"/>
                    <w:rPr>
                      <w:rFonts w:eastAsiaTheme="minorEastAsia"/>
                      <w:bCs/>
                      <w:color w:val="000000" w:themeColor="text1"/>
                      <w:kern w:val="28"/>
                      <w:szCs w:val="21"/>
                      <w14:textFill>
                        <w14:solidFill>
                          <w14:schemeClr w14:val="tx1"/>
                        </w14:solidFill>
                      </w14:textFill>
                    </w:rPr>
                  </w:pPr>
                  <w:r>
                    <w:rPr>
                      <w:rFonts w:eastAsiaTheme="minorEastAsia"/>
                      <w:bCs/>
                      <w:color w:val="000000" w:themeColor="text1"/>
                      <w:kern w:val="28"/>
                      <w:szCs w:val="21"/>
                      <w14:textFill>
                        <w14:solidFill>
                          <w14:schemeClr w14:val="tx1"/>
                        </w14:solidFill>
                      </w14:textFill>
                    </w:rPr>
                    <w:t>新建</w:t>
                  </w:r>
                </w:p>
              </w:tc>
            </w:tr>
          </w:tbl>
          <w:p w14:paraId="782E79E2">
            <w:pPr>
              <w:pStyle w:val="178"/>
              <w:ind w:firstLine="482"/>
              <w:rPr>
                <w:rFonts w:eastAsia="宋体"/>
                <w:b/>
                <w:color w:val="000000" w:themeColor="text1"/>
                <w:lang w:val="en-US"/>
                <w14:textFill>
                  <w14:solidFill>
                    <w14:schemeClr w14:val="tx1"/>
                  </w14:solidFill>
                </w14:textFill>
              </w:rPr>
            </w:pPr>
            <w:r>
              <w:rPr>
                <w:rFonts w:eastAsia="宋体"/>
                <w:b/>
                <w:color w:val="000000" w:themeColor="text1"/>
                <w14:textFill>
                  <w14:solidFill>
                    <w14:schemeClr w14:val="tx1"/>
                  </w14:solidFill>
                </w14:textFill>
              </w:rPr>
              <w:t>2、</w:t>
            </w:r>
            <w:r>
              <w:rPr>
                <w:rFonts w:eastAsia="宋体"/>
                <w:b/>
                <w:color w:val="000000" w:themeColor="text1"/>
                <w:lang w:val="en-US"/>
                <w14:textFill>
                  <w14:solidFill>
                    <w14:schemeClr w14:val="tx1"/>
                  </w14:solidFill>
                </w14:textFill>
              </w:rPr>
              <w:t>产品方案</w:t>
            </w:r>
          </w:p>
          <w:p w14:paraId="2A06D64D">
            <w:pPr>
              <w:pStyle w:val="178"/>
              <w:rPr>
                <w:rFonts w:eastAsia="宋体"/>
                <w:color w:val="000000" w:themeColor="text1"/>
                <w:lang w:val="en-US"/>
                <w14:textFill>
                  <w14:solidFill>
                    <w14:schemeClr w14:val="tx1"/>
                  </w14:solidFill>
                </w14:textFill>
              </w:rPr>
            </w:pPr>
            <w:r>
              <w:rPr>
                <w:rFonts w:eastAsia="宋体"/>
                <w:color w:val="000000" w:themeColor="text1"/>
                <w:lang w:val="en-US"/>
                <w14:textFill>
                  <w14:solidFill>
                    <w14:schemeClr w14:val="tx1"/>
                  </w14:solidFill>
                </w14:textFill>
              </w:rPr>
              <w:t>项目产品方案见表2-</w:t>
            </w:r>
            <w:r>
              <w:rPr>
                <w:rFonts w:hint="eastAsia" w:eastAsia="宋体"/>
                <w:color w:val="000000" w:themeColor="text1"/>
                <w:lang w:val="en-US"/>
                <w14:textFill>
                  <w14:solidFill>
                    <w14:schemeClr w14:val="tx1"/>
                  </w14:solidFill>
                </w14:textFill>
              </w:rPr>
              <w:t>3</w:t>
            </w:r>
            <w:r>
              <w:rPr>
                <w:rFonts w:eastAsia="宋体"/>
                <w:color w:val="000000" w:themeColor="text1"/>
                <w:lang w:val="en-US"/>
                <w14:textFill>
                  <w14:solidFill>
                    <w14:schemeClr w14:val="tx1"/>
                  </w14:solidFill>
                </w14:textFill>
              </w:rPr>
              <w:t>。</w:t>
            </w:r>
          </w:p>
          <w:p w14:paraId="635823E8">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w:t>
            </w:r>
            <w:r>
              <w:rPr>
                <w:rFonts w:hint="eastAsia" w:eastAsiaTheme="minorEastAsia"/>
                <w:color w:val="000000" w:themeColor="text1"/>
                <w14:textFill>
                  <w14:solidFill>
                    <w14:schemeClr w14:val="tx1"/>
                  </w14:solidFill>
                </w14:textFill>
              </w:rPr>
              <w:t xml:space="preserve">3 </w:t>
            </w:r>
            <w:r>
              <w:rPr>
                <w:rFonts w:eastAsiaTheme="minorEastAsia"/>
                <w:color w:val="000000" w:themeColor="text1"/>
                <w14:textFill>
                  <w14:solidFill>
                    <w14:schemeClr w14:val="tx1"/>
                  </w14:solidFill>
                </w14:textFill>
              </w:rPr>
              <w:t xml:space="preserve"> 产品方案一览表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4"/>
              <w:gridCol w:w="1634"/>
              <w:gridCol w:w="1132"/>
              <w:gridCol w:w="1135"/>
              <w:gridCol w:w="3684"/>
            </w:tblGrid>
            <w:tr w14:paraId="423C5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92" w:type="dxa"/>
                  <w:vAlign w:val="center"/>
                </w:tcPr>
                <w:p w14:paraId="4766769D">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序号</w:t>
                  </w:r>
                </w:p>
              </w:tc>
              <w:tc>
                <w:tcPr>
                  <w:tcW w:w="1632" w:type="dxa"/>
                  <w:vAlign w:val="center"/>
                </w:tcPr>
                <w:p w14:paraId="40E13E20">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产品名称</w:t>
                  </w:r>
                </w:p>
              </w:tc>
              <w:tc>
                <w:tcPr>
                  <w:tcW w:w="1131" w:type="dxa"/>
                  <w:vAlign w:val="center"/>
                </w:tcPr>
                <w:p w14:paraId="1C192A58">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单位</w:t>
                  </w:r>
                </w:p>
              </w:tc>
              <w:tc>
                <w:tcPr>
                  <w:tcW w:w="1134" w:type="dxa"/>
                  <w:vAlign w:val="center"/>
                </w:tcPr>
                <w:p w14:paraId="0C7A27D8">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产量</w:t>
                  </w:r>
                </w:p>
              </w:tc>
              <w:tc>
                <w:tcPr>
                  <w:tcW w:w="3680" w:type="dxa"/>
                  <w:vAlign w:val="center"/>
                </w:tcPr>
                <w:p w14:paraId="455753F3">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备注</w:t>
                  </w:r>
                </w:p>
              </w:tc>
            </w:tr>
            <w:tr w14:paraId="34B33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492" w:type="dxa"/>
                  <w:vAlign w:val="center"/>
                </w:tcPr>
                <w:p w14:paraId="20510D51">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1</w:t>
                  </w:r>
                </w:p>
              </w:tc>
              <w:tc>
                <w:tcPr>
                  <w:tcW w:w="1632" w:type="dxa"/>
                  <w:vAlign w:val="center"/>
                </w:tcPr>
                <w:p w14:paraId="6078AA93">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羽毛球拍</w:t>
                  </w:r>
                </w:p>
              </w:tc>
              <w:tc>
                <w:tcPr>
                  <w:tcW w:w="1131" w:type="dxa"/>
                  <w:vAlign w:val="center"/>
                </w:tcPr>
                <w:p w14:paraId="1034B48E">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万副/a</w:t>
                  </w:r>
                </w:p>
              </w:tc>
              <w:tc>
                <w:tcPr>
                  <w:tcW w:w="1134" w:type="dxa"/>
                  <w:vAlign w:val="center"/>
                </w:tcPr>
                <w:p w14:paraId="50FF5552">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hint="eastAsia" w:eastAsia="宋体"/>
                      <w:bCs/>
                      <w:color w:val="000000" w:themeColor="text1"/>
                      <w:sz w:val="21"/>
                      <w:szCs w:val="21"/>
                      <w:lang w:val="en-US"/>
                      <w14:textFill>
                        <w14:solidFill>
                          <w14:schemeClr w14:val="tx1"/>
                        </w14:solidFill>
                      </w14:textFill>
                    </w:rPr>
                    <w:t>50</w:t>
                  </w:r>
                </w:p>
              </w:tc>
              <w:tc>
                <w:tcPr>
                  <w:tcW w:w="3680" w:type="dxa"/>
                  <w:vAlign w:val="center"/>
                </w:tcPr>
                <w:p w14:paraId="6E790B4B">
                  <w:pPr>
                    <w:pStyle w:val="178"/>
                    <w:spacing w:line="240" w:lineRule="auto"/>
                    <w:ind w:firstLine="0" w:firstLineChars="0"/>
                    <w:jc w:val="center"/>
                    <w:rPr>
                      <w:rFonts w:eastAsia="宋体"/>
                      <w:bCs/>
                      <w:color w:val="000000" w:themeColor="text1"/>
                      <w:sz w:val="21"/>
                      <w:szCs w:val="21"/>
                      <w:lang w:val="en-US"/>
                      <w14:textFill>
                        <w14:solidFill>
                          <w14:schemeClr w14:val="tx1"/>
                        </w14:solidFill>
                      </w14:textFill>
                    </w:rPr>
                  </w:pPr>
                  <w:r>
                    <w:rPr>
                      <w:rFonts w:eastAsia="宋体"/>
                      <w:bCs/>
                      <w:color w:val="000000" w:themeColor="text1"/>
                      <w:sz w:val="21"/>
                      <w:szCs w:val="21"/>
                      <w:lang w:val="en-US"/>
                      <w14:textFill>
                        <w14:solidFill>
                          <w14:schemeClr w14:val="tx1"/>
                        </w14:solidFill>
                      </w14:textFill>
                    </w:rPr>
                    <w:t>质量标准执行</w:t>
                  </w:r>
                  <w:r>
                    <w:rPr>
                      <w:rFonts w:hint="eastAsia" w:eastAsia="宋体"/>
                      <w:bCs/>
                      <w:color w:val="000000" w:themeColor="text1"/>
                      <w:sz w:val="21"/>
                      <w:szCs w:val="21"/>
                      <w:lang w:val="en-US"/>
                      <w14:textFill>
                        <w14:solidFill>
                          <w14:schemeClr w14:val="tx1"/>
                        </w14:solidFill>
                      </w14:textFill>
                    </w:rPr>
                    <w:t>《羽毛球拍及部件的物理参数和试验方法》</w:t>
                  </w:r>
                  <w:r>
                    <w:rPr>
                      <w:rFonts w:eastAsia="宋体"/>
                      <w:bCs/>
                      <w:color w:val="000000" w:themeColor="text1"/>
                      <w:sz w:val="21"/>
                      <w:szCs w:val="21"/>
                      <w:lang w:val="en-US"/>
                      <w14:textFill>
                        <w14:solidFill>
                          <w14:schemeClr w14:val="tx1"/>
                        </w14:solidFill>
                      </w14:textFill>
                    </w:rPr>
                    <w:t>GB/T 32608-2016</w:t>
                  </w:r>
                </w:p>
              </w:tc>
            </w:tr>
          </w:tbl>
          <w:p w14:paraId="5ADDDCA0">
            <w:pPr>
              <w:pStyle w:val="178"/>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3、主要原辅材料及用量</w:t>
            </w:r>
          </w:p>
          <w:p w14:paraId="0C65DCAA">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w:t>
            </w:r>
            <w:r>
              <w:rPr>
                <w:rFonts w:hint="eastAsia" w:eastAsiaTheme="minorEastAsia"/>
                <w:color w:val="000000" w:themeColor="text1"/>
                <w14:textFill>
                  <w14:solidFill>
                    <w14:schemeClr w14:val="tx1"/>
                  </w14:solidFill>
                </w14:textFill>
              </w:rPr>
              <w:t>4</w:t>
            </w:r>
            <w:r>
              <w:rPr>
                <w:rFonts w:eastAsiaTheme="minorEastAsia"/>
                <w:color w:val="000000" w:themeColor="text1"/>
                <w14:textFill>
                  <w14:solidFill>
                    <w14:schemeClr w14:val="tx1"/>
                  </w14:solidFill>
                </w14:textFill>
              </w:rPr>
              <w:t xml:space="preserve">  项目主要原辅材料消耗一览表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997"/>
              <w:gridCol w:w="1140"/>
              <w:gridCol w:w="1140"/>
              <w:gridCol w:w="1282"/>
              <w:gridCol w:w="3405"/>
            </w:tblGrid>
            <w:tr w14:paraId="1B79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Align w:val="center"/>
                </w:tcPr>
                <w:p w14:paraId="3ACF26D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产品</w:t>
                  </w:r>
                </w:p>
              </w:tc>
              <w:tc>
                <w:tcPr>
                  <w:tcW w:w="549" w:type="pct"/>
                  <w:vAlign w:val="center"/>
                </w:tcPr>
                <w:p w14:paraId="38130CE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名称</w:t>
                  </w:r>
                </w:p>
              </w:tc>
              <w:tc>
                <w:tcPr>
                  <w:tcW w:w="628" w:type="pct"/>
                  <w:vAlign w:val="center"/>
                </w:tcPr>
                <w:p w14:paraId="4DE3F11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单位</w:t>
                  </w:r>
                </w:p>
              </w:tc>
              <w:tc>
                <w:tcPr>
                  <w:tcW w:w="628" w:type="pct"/>
                  <w:vAlign w:val="center"/>
                </w:tcPr>
                <w:p w14:paraId="3CA49EA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年用量</w:t>
                  </w:r>
                </w:p>
              </w:tc>
              <w:tc>
                <w:tcPr>
                  <w:tcW w:w="706" w:type="pct"/>
                  <w:vAlign w:val="center"/>
                </w:tcPr>
                <w:p w14:paraId="126829D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最大储存量</w:t>
                  </w:r>
                </w:p>
              </w:tc>
              <w:tc>
                <w:tcPr>
                  <w:tcW w:w="1875" w:type="pct"/>
                  <w:vAlign w:val="center"/>
                </w:tcPr>
                <w:p w14:paraId="4119F28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w:t>
                  </w:r>
                </w:p>
              </w:tc>
            </w:tr>
            <w:tr w14:paraId="5274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Merge w:val="restart"/>
                  <w:vAlign w:val="center"/>
                </w:tcPr>
                <w:p w14:paraId="2CDBB35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羽毛球拍</w:t>
                  </w:r>
                </w:p>
              </w:tc>
              <w:tc>
                <w:tcPr>
                  <w:tcW w:w="549" w:type="pct"/>
                  <w:vAlign w:val="center"/>
                </w:tcPr>
                <w:p w14:paraId="037BA25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铝杆</w:t>
                  </w:r>
                </w:p>
              </w:tc>
              <w:tc>
                <w:tcPr>
                  <w:tcW w:w="628" w:type="pct"/>
                  <w:vAlign w:val="center"/>
                </w:tcPr>
                <w:p w14:paraId="3910A580">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万根</w:t>
                  </w:r>
                </w:p>
              </w:tc>
              <w:tc>
                <w:tcPr>
                  <w:tcW w:w="628" w:type="pct"/>
                  <w:vAlign w:val="center"/>
                </w:tcPr>
                <w:p w14:paraId="4EA9DF90">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706" w:type="pct"/>
                  <w:vAlign w:val="center"/>
                </w:tcPr>
                <w:p w14:paraId="65F27CC3">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0.5</w:t>
                  </w:r>
                </w:p>
              </w:tc>
              <w:tc>
                <w:tcPr>
                  <w:tcW w:w="1875" w:type="pct"/>
                  <w:vAlign w:val="center"/>
                </w:tcPr>
                <w:p w14:paraId="22A942C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、捆装，暂存于仓库</w:t>
                  </w:r>
                </w:p>
              </w:tc>
            </w:tr>
            <w:tr w14:paraId="07B3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Merge w:val="continue"/>
                  <w:vAlign w:val="center"/>
                </w:tcPr>
                <w:p w14:paraId="52A978CA">
                  <w:pPr>
                    <w:widowControl/>
                    <w:jc w:val="center"/>
                    <w:rPr>
                      <w:color w:val="000000" w:themeColor="text1"/>
                      <w:kern w:val="0"/>
                      <w:szCs w:val="21"/>
                      <w14:textFill>
                        <w14:solidFill>
                          <w14:schemeClr w14:val="tx1"/>
                        </w14:solidFill>
                      </w14:textFill>
                    </w:rPr>
                  </w:pPr>
                </w:p>
              </w:tc>
              <w:tc>
                <w:tcPr>
                  <w:tcW w:w="549" w:type="pct"/>
                  <w:vAlign w:val="center"/>
                </w:tcPr>
                <w:p w14:paraId="4A8BC6B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铁杆</w:t>
                  </w:r>
                </w:p>
              </w:tc>
              <w:tc>
                <w:tcPr>
                  <w:tcW w:w="628" w:type="pct"/>
                  <w:vAlign w:val="center"/>
                </w:tcPr>
                <w:p w14:paraId="6F53DC9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万根</w:t>
                  </w:r>
                </w:p>
              </w:tc>
              <w:tc>
                <w:tcPr>
                  <w:tcW w:w="628" w:type="pct"/>
                  <w:vAlign w:val="center"/>
                </w:tcPr>
                <w:p w14:paraId="7F431CFE">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45</w:t>
                  </w:r>
                </w:p>
              </w:tc>
              <w:tc>
                <w:tcPr>
                  <w:tcW w:w="706" w:type="pct"/>
                  <w:vAlign w:val="center"/>
                </w:tcPr>
                <w:p w14:paraId="4CBC31B0">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1875" w:type="pct"/>
                  <w:vAlign w:val="center"/>
                </w:tcPr>
                <w:p w14:paraId="6ACAF8B0">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、捆装，暂存于仓库</w:t>
                  </w:r>
                </w:p>
              </w:tc>
            </w:tr>
            <w:tr w14:paraId="6B91A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Merge w:val="continue"/>
                  <w:vAlign w:val="center"/>
                </w:tcPr>
                <w:p w14:paraId="090106D4">
                  <w:pPr>
                    <w:widowControl/>
                    <w:jc w:val="center"/>
                    <w:rPr>
                      <w:color w:val="000000" w:themeColor="text1"/>
                      <w:kern w:val="0"/>
                      <w:szCs w:val="21"/>
                      <w14:textFill>
                        <w14:solidFill>
                          <w14:schemeClr w14:val="tx1"/>
                        </w14:solidFill>
                      </w14:textFill>
                    </w:rPr>
                  </w:pPr>
                </w:p>
              </w:tc>
              <w:tc>
                <w:tcPr>
                  <w:tcW w:w="549" w:type="pct"/>
                  <w:vAlign w:val="center"/>
                </w:tcPr>
                <w:p w14:paraId="076FAF1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木柄</w:t>
                  </w:r>
                </w:p>
              </w:tc>
              <w:tc>
                <w:tcPr>
                  <w:tcW w:w="628" w:type="pct"/>
                  <w:vAlign w:val="center"/>
                </w:tcPr>
                <w:p w14:paraId="629D929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万根</w:t>
                  </w:r>
                </w:p>
              </w:tc>
              <w:tc>
                <w:tcPr>
                  <w:tcW w:w="628" w:type="pct"/>
                  <w:vAlign w:val="center"/>
                </w:tcPr>
                <w:p w14:paraId="520CDD3B">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w:t>
                  </w:r>
                </w:p>
              </w:tc>
              <w:tc>
                <w:tcPr>
                  <w:tcW w:w="706" w:type="pct"/>
                  <w:vAlign w:val="center"/>
                </w:tcPr>
                <w:p w14:paraId="528FF361">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1875" w:type="pct"/>
                  <w:vAlign w:val="center"/>
                </w:tcPr>
                <w:p w14:paraId="7778ACF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、包装，暂存于仓库</w:t>
                  </w:r>
                </w:p>
              </w:tc>
            </w:tr>
            <w:tr w14:paraId="6704A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Merge w:val="continue"/>
                  <w:vAlign w:val="center"/>
                </w:tcPr>
                <w:p w14:paraId="4EC8FC63">
                  <w:pPr>
                    <w:widowControl/>
                    <w:jc w:val="center"/>
                    <w:rPr>
                      <w:color w:val="000000" w:themeColor="text1"/>
                      <w:kern w:val="0"/>
                      <w:szCs w:val="21"/>
                      <w14:textFill>
                        <w14:solidFill>
                          <w14:schemeClr w14:val="tx1"/>
                        </w14:solidFill>
                      </w14:textFill>
                    </w:rPr>
                  </w:pPr>
                </w:p>
              </w:tc>
              <w:tc>
                <w:tcPr>
                  <w:tcW w:w="549" w:type="pct"/>
                  <w:vAlign w:val="center"/>
                </w:tcPr>
                <w:p w14:paraId="0F8745D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护套</w:t>
                  </w:r>
                </w:p>
              </w:tc>
              <w:tc>
                <w:tcPr>
                  <w:tcW w:w="628" w:type="pct"/>
                  <w:vAlign w:val="center"/>
                </w:tcPr>
                <w:p w14:paraId="538F4E2D">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万</w:t>
                  </w:r>
                  <w:r>
                    <w:rPr>
                      <w:color w:val="000000" w:themeColor="text1"/>
                      <w:kern w:val="0"/>
                      <w:szCs w:val="21"/>
                      <w14:textFill>
                        <w14:solidFill>
                          <w14:schemeClr w14:val="tx1"/>
                        </w14:solidFill>
                      </w14:textFill>
                    </w:rPr>
                    <w:t>m</w:t>
                  </w:r>
                </w:p>
              </w:tc>
              <w:tc>
                <w:tcPr>
                  <w:tcW w:w="628" w:type="pct"/>
                  <w:vAlign w:val="center"/>
                </w:tcPr>
                <w:p w14:paraId="3BB704F7">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w:t>
                  </w:r>
                </w:p>
              </w:tc>
              <w:tc>
                <w:tcPr>
                  <w:tcW w:w="706" w:type="pct"/>
                  <w:vAlign w:val="center"/>
                </w:tcPr>
                <w:p w14:paraId="774651CB">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1875" w:type="pct"/>
                  <w:vAlign w:val="center"/>
                </w:tcPr>
                <w:p w14:paraId="5FBCBF5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、包装，暂存于仓库</w:t>
                  </w:r>
                </w:p>
              </w:tc>
            </w:tr>
            <w:tr w14:paraId="29C6C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vMerge w:val="continue"/>
                  <w:vAlign w:val="center"/>
                </w:tcPr>
                <w:p w14:paraId="2FE229E8">
                  <w:pPr>
                    <w:widowControl/>
                    <w:jc w:val="center"/>
                    <w:rPr>
                      <w:color w:val="000000" w:themeColor="text1"/>
                      <w:kern w:val="0"/>
                      <w:szCs w:val="21"/>
                      <w14:textFill>
                        <w14:solidFill>
                          <w14:schemeClr w14:val="tx1"/>
                        </w14:solidFill>
                      </w14:textFill>
                    </w:rPr>
                  </w:pPr>
                </w:p>
              </w:tc>
              <w:tc>
                <w:tcPr>
                  <w:tcW w:w="549" w:type="pct"/>
                  <w:vAlign w:val="center"/>
                </w:tcPr>
                <w:p w14:paraId="126E7231">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球拍线</w:t>
                  </w:r>
                </w:p>
              </w:tc>
              <w:tc>
                <w:tcPr>
                  <w:tcW w:w="628" w:type="pct"/>
                  <w:vAlign w:val="center"/>
                </w:tcPr>
                <w:p w14:paraId="321F6B2A">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万条</w:t>
                  </w:r>
                </w:p>
              </w:tc>
              <w:tc>
                <w:tcPr>
                  <w:tcW w:w="628" w:type="pct"/>
                  <w:vAlign w:val="center"/>
                </w:tcPr>
                <w:p w14:paraId="7A5EE7EC">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w:t>
                  </w:r>
                </w:p>
              </w:tc>
              <w:tc>
                <w:tcPr>
                  <w:tcW w:w="706" w:type="pct"/>
                  <w:vAlign w:val="center"/>
                </w:tcPr>
                <w:p w14:paraId="25F43562">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w:t>
                  </w:r>
                </w:p>
              </w:tc>
              <w:tc>
                <w:tcPr>
                  <w:tcW w:w="1875" w:type="pct"/>
                  <w:vAlign w:val="center"/>
                </w:tcPr>
                <w:p w14:paraId="24B0B2C4">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外购、包装，暂存于仓库</w:t>
                  </w:r>
                </w:p>
              </w:tc>
            </w:tr>
            <w:tr w14:paraId="7091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3784B3E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油漆</w:t>
                  </w:r>
                </w:p>
              </w:tc>
              <w:tc>
                <w:tcPr>
                  <w:tcW w:w="628" w:type="pct"/>
                  <w:vAlign w:val="center"/>
                </w:tcPr>
                <w:p w14:paraId="78F794E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t</w:t>
                  </w:r>
                </w:p>
              </w:tc>
              <w:tc>
                <w:tcPr>
                  <w:tcW w:w="628" w:type="pct"/>
                  <w:vAlign w:val="center"/>
                </w:tcPr>
                <w:p w14:paraId="4D17CA1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w:t>
                  </w:r>
                  <w:r>
                    <w:rPr>
                      <w:rFonts w:hint="eastAsia"/>
                      <w:color w:val="000000" w:themeColor="text1"/>
                      <w:kern w:val="0"/>
                      <w:szCs w:val="21"/>
                      <w14:textFill>
                        <w14:solidFill>
                          <w14:schemeClr w14:val="tx1"/>
                        </w14:solidFill>
                      </w14:textFill>
                    </w:rPr>
                    <w:t>127</w:t>
                  </w:r>
                </w:p>
              </w:tc>
              <w:tc>
                <w:tcPr>
                  <w:tcW w:w="706" w:type="pct"/>
                  <w:vAlign w:val="center"/>
                </w:tcPr>
                <w:p w14:paraId="24B0B77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0.3</w:t>
                  </w:r>
                </w:p>
              </w:tc>
              <w:tc>
                <w:tcPr>
                  <w:tcW w:w="1875" w:type="pct"/>
                  <w:vAlign w:val="center"/>
                </w:tcPr>
                <w:p w14:paraId="2A7BF5C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、桶装，暂存于化学品仓库</w:t>
                  </w:r>
                </w:p>
              </w:tc>
            </w:tr>
            <w:tr w14:paraId="5B10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19E48BB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稀释剂</w:t>
                  </w:r>
                </w:p>
              </w:tc>
              <w:tc>
                <w:tcPr>
                  <w:tcW w:w="628" w:type="pct"/>
                  <w:vAlign w:val="center"/>
                </w:tcPr>
                <w:p w14:paraId="6FD0F54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t</w:t>
                  </w:r>
                </w:p>
              </w:tc>
              <w:tc>
                <w:tcPr>
                  <w:tcW w:w="628" w:type="pct"/>
                  <w:vAlign w:val="center"/>
                </w:tcPr>
                <w:p w14:paraId="3E5E59B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r>
                    <w:rPr>
                      <w:rFonts w:hint="eastAsia"/>
                      <w:color w:val="000000" w:themeColor="text1"/>
                      <w:kern w:val="0"/>
                      <w:szCs w:val="21"/>
                      <w14:textFill>
                        <w14:solidFill>
                          <w14:schemeClr w14:val="tx1"/>
                        </w14:solidFill>
                      </w14:textFill>
                    </w:rPr>
                    <w:t>.042</w:t>
                  </w:r>
                </w:p>
              </w:tc>
              <w:tc>
                <w:tcPr>
                  <w:tcW w:w="706" w:type="pct"/>
                  <w:vAlign w:val="center"/>
                </w:tcPr>
                <w:p w14:paraId="44A3BE6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0.1</w:t>
                  </w:r>
                </w:p>
              </w:tc>
              <w:tc>
                <w:tcPr>
                  <w:tcW w:w="1875" w:type="pct"/>
                  <w:vAlign w:val="center"/>
                </w:tcPr>
                <w:p w14:paraId="58CD67B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、桶装，暂存于化学品仓库</w:t>
                  </w:r>
                </w:p>
              </w:tc>
            </w:tr>
            <w:tr w14:paraId="3057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468007F6">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催化剂</w:t>
                  </w:r>
                </w:p>
              </w:tc>
              <w:tc>
                <w:tcPr>
                  <w:tcW w:w="628" w:type="pct"/>
                  <w:vAlign w:val="center"/>
                </w:tcPr>
                <w:p w14:paraId="38BE34B8">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t</w:t>
                  </w:r>
                </w:p>
              </w:tc>
              <w:tc>
                <w:tcPr>
                  <w:tcW w:w="628" w:type="pct"/>
                  <w:vAlign w:val="center"/>
                </w:tcPr>
                <w:p w14:paraId="73F95434">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w:t>
                  </w:r>
                </w:p>
              </w:tc>
              <w:tc>
                <w:tcPr>
                  <w:tcW w:w="706" w:type="pct"/>
                  <w:vAlign w:val="center"/>
                </w:tcPr>
                <w:p w14:paraId="3F20352B">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w:t>
                  </w:r>
                </w:p>
              </w:tc>
              <w:tc>
                <w:tcPr>
                  <w:tcW w:w="1875" w:type="pct"/>
                  <w:vAlign w:val="center"/>
                </w:tcPr>
                <w:p w14:paraId="51A48A36">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外购，放置于小型催化燃烧装置内</w:t>
                  </w:r>
                </w:p>
              </w:tc>
            </w:tr>
            <w:tr w14:paraId="5C5C3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2886BE7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机油</w:t>
                  </w:r>
                </w:p>
              </w:tc>
              <w:tc>
                <w:tcPr>
                  <w:tcW w:w="628" w:type="pct"/>
                  <w:vAlign w:val="center"/>
                </w:tcPr>
                <w:p w14:paraId="5444FED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t</w:t>
                  </w:r>
                </w:p>
              </w:tc>
              <w:tc>
                <w:tcPr>
                  <w:tcW w:w="628" w:type="pct"/>
                  <w:vAlign w:val="center"/>
                </w:tcPr>
                <w:p w14:paraId="75F17FB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w:t>
                  </w:r>
                  <w:r>
                    <w:rPr>
                      <w:rFonts w:hint="eastAsia"/>
                      <w:color w:val="000000" w:themeColor="text1"/>
                      <w:kern w:val="0"/>
                      <w:szCs w:val="21"/>
                      <w14:textFill>
                        <w14:solidFill>
                          <w14:schemeClr w14:val="tx1"/>
                        </w14:solidFill>
                      </w14:textFill>
                    </w:rPr>
                    <w:t>3</w:t>
                  </w:r>
                </w:p>
              </w:tc>
              <w:tc>
                <w:tcPr>
                  <w:tcW w:w="706" w:type="pct"/>
                  <w:vAlign w:val="center"/>
                </w:tcPr>
                <w:p w14:paraId="4CBE0BE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0.01</w:t>
                  </w:r>
                </w:p>
              </w:tc>
              <w:tc>
                <w:tcPr>
                  <w:tcW w:w="1875" w:type="pct"/>
                  <w:vAlign w:val="center"/>
                </w:tcPr>
                <w:p w14:paraId="31DBE7E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外购</w:t>
                  </w:r>
                  <w:r>
                    <w:rPr>
                      <w:rFonts w:hint="eastAsia"/>
                      <w:color w:val="000000" w:themeColor="text1"/>
                      <w:kern w:val="0"/>
                      <w:szCs w:val="21"/>
                      <w14:textFill>
                        <w14:solidFill>
                          <w14:schemeClr w14:val="tx1"/>
                        </w14:solidFill>
                      </w14:textFill>
                    </w:rPr>
                    <w:t>、桶装，暂存于化学品仓库</w:t>
                  </w:r>
                </w:p>
              </w:tc>
            </w:tr>
            <w:tr w14:paraId="5C0CC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59E49C1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电</w:t>
                  </w:r>
                </w:p>
              </w:tc>
              <w:tc>
                <w:tcPr>
                  <w:tcW w:w="628" w:type="pct"/>
                  <w:vAlign w:val="center"/>
                </w:tcPr>
                <w:p w14:paraId="32452F9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万kW·h</w:t>
                  </w:r>
                </w:p>
              </w:tc>
              <w:tc>
                <w:tcPr>
                  <w:tcW w:w="628" w:type="pct"/>
                  <w:vAlign w:val="center"/>
                </w:tcPr>
                <w:p w14:paraId="233EA84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30</w:t>
                  </w:r>
                </w:p>
              </w:tc>
              <w:tc>
                <w:tcPr>
                  <w:tcW w:w="706" w:type="pct"/>
                  <w:vAlign w:val="center"/>
                </w:tcPr>
                <w:p w14:paraId="35CA035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875" w:type="pct"/>
                  <w:vAlign w:val="center"/>
                </w:tcPr>
                <w:p w14:paraId="21EEAA6C">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市政</w:t>
                  </w:r>
                  <w:r>
                    <w:rPr>
                      <w:color w:val="000000" w:themeColor="text1"/>
                      <w:kern w:val="0"/>
                      <w:szCs w:val="21"/>
                      <w14:textFill>
                        <w14:solidFill>
                          <w14:schemeClr w14:val="tx1"/>
                        </w14:solidFill>
                      </w14:textFill>
                    </w:rPr>
                    <w:t>电网</w:t>
                  </w:r>
                </w:p>
              </w:tc>
            </w:tr>
            <w:tr w14:paraId="376E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63" w:type="pct"/>
                  <w:gridSpan w:val="2"/>
                  <w:vAlign w:val="center"/>
                </w:tcPr>
                <w:p w14:paraId="70A9972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水</w:t>
                  </w:r>
                </w:p>
              </w:tc>
              <w:tc>
                <w:tcPr>
                  <w:tcW w:w="628" w:type="pct"/>
                  <w:vAlign w:val="center"/>
                </w:tcPr>
                <w:p w14:paraId="3518974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m</w:t>
                  </w:r>
                  <w:r>
                    <w:rPr>
                      <w:color w:val="000000" w:themeColor="text1"/>
                      <w:kern w:val="0"/>
                      <w:szCs w:val="21"/>
                      <w:vertAlign w:val="superscript"/>
                      <w14:textFill>
                        <w14:solidFill>
                          <w14:schemeClr w14:val="tx1"/>
                        </w14:solidFill>
                      </w14:textFill>
                    </w:rPr>
                    <w:t>3</w:t>
                  </w:r>
                </w:p>
              </w:tc>
              <w:tc>
                <w:tcPr>
                  <w:tcW w:w="628" w:type="pct"/>
                  <w:vAlign w:val="center"/>
                </w:tcPr>
                <w:p w14:paraId="0B7025AF">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600</w:t>
                  </w:r>
                </w:p>
              </w:tc>
              <w:tc>
                <w:tcPr>
                  <w:tcW w:w="706" w:type="pct"/>
                  <w:vAlign w:val="center"/>
                </w:tcPr>
                <w:p w14:paraId="6862687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875" w:type="pct"/>
                  <w:vAlign w:val="center"/>
                </w:tcPr>
                <w:p w14:paraId="224E786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自来水管网</w:t>
                  </w:r>
                </w:p>
              </w:tc>
            </w:tr>
          </w:tbl>
          <w:p w14:paraId="24B9C60A">
            <w:pPr>
              <w:pStyle w:val="178"/>
              <w:rPr>
                <w:rFonts w:eastAsia="宋体"/>
                <w:color w:val="000000" w:themeColor="text1"/>
                <w14:textFill>
                  <w14:solidFill>
                    <w14:schemeClr w14:val="tx1"/>
                  </w14:solidFill>
                </w14:textFill>
              </w:rPr>
            </w:pPr>
            <w:r>
              <w:rPr>
                <w:rFonts w:eastAsia="宋体"/>
                <w:color w:val="000000" w:themeColor="text1"/>
                <w:lang w:val="en-US"/>
                <w14:textFill>
                  <w14:solidFill>
                    <w14:schemeClr w14:val="tx1"/>
                  </w14:solidFill>
                </w14:textFill>
              </w:rPr>
              <w:t>（1）</w:t>
            </w:r>
            <w:r>
              <w:rPr>
                <w:rFonts w:eastAsia="宋体"/>
                <w:color w:val="000000" w:themeColor="text1"/>
                <w14:textFill>
                  <w14:solidFill>
                    <w14:schemeClr w14:val="tx1"/>
                  </w14:solidFill>
                </w14:textFill>
              </w:rPr>
              <w:t>主要原辅材料理化性质</w:t>
            </w:r>
          </w:p>
          <w:p w14:paraId="05EF429B">
            <w:pPr>
              <w:pStyle w:val="178"/>
              <w:rPr>
                <w:rFonts w:eastAsia="宋体"/>
                <w:color w:val="000000" w:themeColor="text1"/>
                <w14:textFill>
                  <w14:solidFill>
                    <w14:schemeClr w14:val="tx1"/>
                  </w14:solidFill>
                </w14:textFill>
              </w:rPr>
            </w:pPr>
            <w:r>
              <w:rPr>
                <w:rFonts w:ascii="Cambria Math" w:hAnsi="Cambria Math" w:eastAsia="宋体" w:cs="Cambria Math"/>
                <w:color w:val="000000" w:themeColor="text1"/>
                <w14:textFill>
                  <w14:solidFill>
                    <w14:schemeClr w14:val="tx1"/>
                  </w14:solidFill>
                </w14:textFill>
              </w:rPr>
              <w:t>①</w:t>
            </w:r>
            <w:r>
              <w:rPr>
                <w:rFonts w:eastAsia="宋体"/>
                <w:color w:val="000000" w:themeColor="text1"/>
                <w14:textFill>
                  <w14:solidFill>
                    <w14:schemeClr w14:val="tx1"/>
                  </w14:solidFill>
                </w14:textFill>
              </w:rPr>
              <w:t>油漆</w:t>
            </w:r>
          </w:p>
          <w:p w14:paraId="46DAE709">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本项目使用的油漆为丙烯酸漆，外观与性状：水清透明液体；相对密度：0.86；闪点（℃）：3.7℃；爆炸上限</w:t>
            </w:r>
            <w:r>
              <w:rPr>
                <w:rFonts w:hint="eastAsia" w:eastAsia="宋体"/>
                <w:color w:val="000000" w:themeColor="text1"/>
                <w14:textFill>
                  <w14:solidFill>
                    <w14:schemeClr w14:val="tx1"/>
                  </w14:solidFill>
                </w14:textFill>
              </w:rPr>
              <w:t>%</w:t>
            </w:r>
            <w:r>
              <w:rPr>
                <w:rFonts w:eastAsia="宋体"/>
                <w:color w:val="000000" w:themeColor="text1"/>
                <w14:textFill>
                  <w14:solidFill>
                    <w14:schemeClr w14:val="tx1"/>
                  </w14:solidFill>
                </w14:textFill>
              </w:rPr>
              <w:t>（V/V）：约23%；引燃温度（℃）：350℃；爆炸下限</w:t>
            </w:r>
            <w:r>
              <w:rPr>
                <w:rFonts w:hint="eastAsia" w:eastAsia="宋体"/>
                <w:color w:val="000000" w:themeColor="text1"/>
                <w14:textFill>
                  <w14:solidFill>
                    <w14:schemeClr w14:val="tx1"/>
                  </w14:solidFill>
                </w14:textFill>
              </w:rPr>
              <w:t>%</w:t>
            </w:r>
            <w:r>
              <w:rPr>
                <w:rFonts w:eastAsia="宋体"/>
                <w:color w:val="000000" w:themeColor="text1"/>
                <w14:textFill>
                  <w14:solidFill>
                    <w14:schemeClr w14:val="tx1"/>
                  </w14:solidFill>
                </w14:textFill>
              </w:rPr>
              <w:t>（V/V）：约1.5%；溶解性：不与水混溶。主要成分及含量：醋酸乙酯20~30%</w:t>
            </w:r>
            <w:r>
              <w:rPr>
                <w:rFonts w:hint="eastAsia" w:eastAsia="宋体"/>
                <w:color w:val="000000" w:themeColor="text1"/>
                <w14:textFill>
                  <w14:solidFill>
                    <w14:schemeClr w14:val="tx1"/>
                  </w14:solidFill>
                </w14:textFill>
              </w:rPr>
              <w:t>（本报告取30%）</w:t>
            </w:r>
            <w:r>
              <w:rPr>
                <w:rFonts w:eastAsia="宋体"/>
                <w:color w:val="000000" w:themeColor="text1"/>
                <w14:textFill>
                  <w14:solidFill>
                    <w14:schemeClr w14:val="tx1"/>
                  </w14:solidFill>
                </w14:textFill>
              </w:rPr>
              <w:t>，进口丙烯酸树脂45~55%，乙二醇乙醚乙酸酯10~15%</w:t>
            </w:r>
            <w:r>
              <w:rPr>
                <w:rFonts w:hint="eastAsia" w:eastAsia="宋体"/>
                <w:color w:val="000000" w:themeColor="text1"/>
                <w14:textFill>
                  <w14:solidFill>
                    <w14:schemeClr w14:val="tx1"/>
                  </w14:solidFill>
                </w14:textFill>
              </w:rPr>
              <w:t>（本报告取15%）</w:t>
            </w:r>
            <w:r>
              <w:rPr>
                <w:rFonts w:eastAsia="宋体"/>
                <w:color w:val="000000" w:themeColor="text1"/>
                <w14:textFill>
                  <w14:solidFill>
                    <w14:schemeClr w14:val="tx1"/>
                  </w14:solidFill>
                </w14:textFill>
              </w:rPr>
              <w:t>，消光粉3~5%。见附件</w:t>
            </w:r>
            <w:r>
              <w:rPr>
                <w:rFonts w:hint="eastAsia" w:eastAsia="宋体"/>
                <w:color w:val="000000" w:themeColor="text1"/>
                <w14:textFill>
                  <w14:solidFill>
                    <w14:schemeClr w14:val="tx1"/>
                  </w14:solidFill>
                </w14:textFill>
              </w:rPr>
              <w:t>五</w:t>
            </w:r>
            <w:r>
              <w:rPr>
                <w:rFonts w:eastAsia="宋体"/>
                <w:color w:val="000000" w:themeColor="text1"/>
                <w14:textFill>
                  <w14:solidFill>
                    <w14:schemeClr w14:val="tx1"/>
                  </w14:solidFill>
                </w14:textFill>
              </w:rPr>
              <w:t>。</w:t>
            </w:r>
          </w:p>
          <w:p w14:paraId="56DE1CFC">
            <w:pPr>
              <w:pStyle w:val="178"/>
              <w:rPr>
                <w:rFonts w:eastAsia="宋体"/>
                <w:color w:val="000000" w:themeColor="text1"/>
                <w14:textFill>
                  <w14:solidFill>
                    <w14:schemeClr w14:val="tx1"/>
                  </w14:solidFill>
                </w14:textFill>
              </w:rPr>
            </w:pPr>
            <w:r>
              <w:rPr>
                <w:rFonts w:ascii="Cambria Math" w:hAnsi="Cambria Math" w:eastAsia="宋体" w:cs="Cambria Math"/>
                <w:color w:val="000000" w:themeColor="text1"/>
                <w14:textFill>
                  <w14:solidFill>
                    <w14:schemeClr w14:val="tx1"/>
                  </w14:solidFill>
                </w14:textFill>
              </w:rPr>
              <w:t>②</w:t>
            </w:r>
            <w:r>
              <w:rPr>
                <w:rFonts w:eastAsia="宋体"/>
                <w:color w:val="000000" w:themeColor="text1"/>
                <w14:textFill>
                  <w14:solidFill>
                    <w14:schemeClr w14:val="tx1"/>
                  </w14:solidFill>
                </w14:textFill>
              </w:rPr>
              <w:t>稀释剂</w:t>
            </w:r>
          </w:p>
          <w:p w14:paraId="220ACBC9">
            <w:pPr>
              <w:pStyle w:val="178"/>
              <w:topLinePunct/>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外观与性状：液体；熔点/凝固点31℃；沸点/沸程154.3℃；闪点44℃(1013.25hPa)；蒸发率7hPa(30℃)；密度（g/</w:t>
            </w:r>
            <w:r>
              <w:rPr>
                <w:rFonts w:eastAsiaTheme="minorEastAsia"/>
                <w:color w:val="000000" w:themeColor="text1"/>
                <w14:textFill>
                  <w14:solidFill>
                    <w14:schemeClr w14:val="tx1"/>
                  </w14:solidFill>
                </w14:textFill>
              </w:rPr>
              <w:t>cm</w:t>
            </w:r>
            <w:r>
              <w:rPr>
                <w:rFonts w:eastAsiaTheme="minorEastAsia"/>
                <w:color w:val="000000" w:themeColor="text1"/>
                <w:vertAlign w:val="superscript"/>
                <w14:textFill>
                  <w14:solidFill>
                    <w14:schemeClr w14:val="tx1"/>
                  </w14:solidFill>
                </w14:textFill>
              </w:rPr>
              <w:t>3</w:t>
            </w:r>
            <w:r>
              <w:rPr>
                <w:rFonts w:eastAsia="宋体"/>
                <w:color w:val="000000" w:themeColor="text1"/>
                <w14:textFill>
                  <w14:solidFill>
                    <w14:schemeClr w14:val="tx1"/>
                  </w14:solidFill>
                </w14:textFill>
              </w:rPr>
              <w:t>）：0.9465。主要成分及含量：二甲苯23%，甲缩醛39%，环己酮6%，丙二醇甲醚乙酸酯7%，乙酸正丁酯16%，乙酸仲丁酯9%</w:t>
            </w:r>
            <w:r>
              <w:rPr>
                <w:rFonts w:hint="eastAsia" w:eastAsia="宋体"/>
                <w:color w:val="000000" w:themeColor="text1"/>
                <w14:textFill>
                  <w14:solidFill>
                    <w14:schemeClr w14:val="tx1"/>
                  </w14:solidFill>
                </w14:textFill>
              </w:rPr>
              <w:t>，</w:t>
            </w:r>
            <w:r>
              <w:rPr>
                <w:rFonts w:eastAsia="宋体"/>
                <w:color w:val="000000" w:themeColor="text1"/>
                <w14:textFill>
                  <w14:solidFill>
                    <w14:schemeClr w14:val="tx1"/>
                  </w14:solidFill>
                </w14:textFill>
              </w:rPr>
              <w:t>见附件</w:t>
            </w:r>
            <w:r>
              <w:rPr>
                <w:rFonts w:hint="eastAsia" w:eastAsia="宋体"/>
                <w:color w:val="000000" w:themeColor="text1"/>
                <w14:textFill>
                  <w14:solidFill>
                    <w14:schemeClr w14:val="tx1"/>
                  </w14:solidFill>
                </w14:textFill>
              </w:rPr>
              <w:t>五</w:t>
            </w:r>
            <w:r>
              <w:rPr>
                <w:rFonts w:eastAsia="宋体"/>
                <w:color w:val="000000" w:themeColor="text1"/>
                <w14:textFill>
                  <w14:solidFill>
                    <w14:schemeClr w14:val="tx1"/>
                  </w14:solidFill>
                </w14:textFill>
              </w:rPr>
              <w:t>。</w:t>
            </w:r>
          </w:p>
          <w:p w14:paraId="1338A880">
            <w:pPr>
              <w:pStyle w:val="178"/>
              <w:rPr>
                <w:rFonts w:eastAsia="宋体"/>
                <w:color w:val="000000" w:themeColor="text1"/>
                <w:lang w:val="en-US"/>
                <w14:textFill>
                  <w14:solidFill>
                    <w14:schemeClr w14:val="tx1"/>
                  </w14:solidFill>
                </w14:textFill>
              </w:rPr>
            </w:pPr>
            <w:r>
              <w:rPr>
                <w:rFonts w:eastAsia="宋体"/>
                <w:color w:val="000000" w:themeColor="text1"/>
                <w:lang w:val="en-US"/>
                <w14:textFill>
                  <w14:solidFill>
                    <w14:schemeClr w14:val="tx1"/>
                  </w14:solidFill>
                </w14:textFill>
              </w:rPr>
              <w:t>（2）油漆用量分析：</w:t>
            </w:r>
          </w:p>
          <w:p w14:paraId="7FA4FF1A">
            <w:pPr>
              <w:pStyle w:val="178"/>
              <w:rPr>
                <w:rFonts w:eastAsia="宋体"/>
                <w:color w:val="000000" w:themeColor="text1"/>
                <w:lang w:val="en-US"/>
                <w14:textFill>
                  <w14:solidFill>
                    <w14:schemeClr w14:val="tx1"/>
                  </w14:solidFill>
                </w14:textFill>
              </w:rPr>
            </w:pPr>
            <w:r>
              <w:rPr>
                <w:rFonts w:eastAsia="宋体"/>
                <w:color w:val="000000" w:themeColor="text1"/>
                <w:lang w:val="en-US"/>
                <w14:textFill>
                  <w14:solidFill>
                    <w14:schemeClr w14:val="tx1"/>
                  </w14:solidFill>
                </w14:textFill>
              </w:rPr>
              <w:t>项目年产</w:t>
            </w:r>
            <w:r>
              <w:rPr>
                <w:rFonts w:hint="eastAsia" w:eastAsia="宋体"/>
                <w:color w:val="000000" w:themeColor="text1"/>
                <w:lang w:val="en-US"/>
                <w14:textFill>
                  <w14:solidFill>
                    <w14:schemeClr w14:val="tx1"/>
                  </w14:solidFill>
                </w14:textFill>
              </w:rPr>
              <w:t>羽毛球拍5</w:t>
            </w:r>
            <w:r>
              <w:rPr>
                <w:rFonts w:eastAsia="宋体"/>
                <w:color w:val="000000" w:themeColor="text1"/>
                <w:lang w:val="en-US"/>
                <w14:textFill>
                  <w14:solidFill>
                    <w14:schemeClr w14:val="tx1"/>
                  </w14:solidFill>
                </w14:textFill>
              </w:rPr>
              <w:t>0万副，一副两只共计1</w:t>
            </w:r>
            <w:r>
              <w:rPr>
                <w:rFonts w:hint="eastAsia" w:eastAsia="宋体"/>
                <w:color w:val="000000" w:themeColor="text1"/>
                <w:lang w:val="en-US"/>
                <w14:textFill>
                  <w14:solidFill>
                    <w14:schemeClr w14:val="tx1"/>
                  </w14:solidFill>
                </w14:textFill>
              </w:rPr>
              <w:t>0</w:t>
            </w:r>
            <w:r>
              <w:rPr>
                <w:rFonts w:eastAsia="宋体"/>
                <w:color w:val="000000" w:themeColor="text1"/>
                <w:lang w:val="en-US"/>
                <w14:textFill>
                  <w14:solidFill>
                    <w14:schemeClr w14:val="tx1"/>
                  </w14:solidFill>
                </w14:textFill>
              </w:rPr>
              <w:t>0万只。每只球拍平均喷涂面积约为0.01m</w:t>
            </w:r>
            <w:r>
              <w:rPr>
                <w:rFonts w:eastAsia="宋体"/>
                <w:color w:val="000000" w:themeColor="text1"/>
                <w:vertAlign w:val="superscript"/>
                <w:lang w:val="en-US"/>
                <w14:textFill>
                  <w14:solidFill>
                    <w14:schemeClr w14:val="tx1"/>
                  </w14:solidFill>
                </w14:textFill>
              </w:rPr>
              <w:t>2</w:t>
            </w:r>
            <w:r>
              <w:rPr>
                <w:rFonts w:eastAsia="宋体"/>
                <w:color w:val="000000" w:themeColor="text1"/>
                <w:lang w:val="en-US"/>
                <w14:textFill>
                  <w14:solidFill>
                    <w14:schemeClr w14:val="tx1"/>
                  </w14:solidFill>
                </w14:textFill>
              </w:rPr>
              <w:t>，故喷涂面积共约1</w:t>
            </w:r>
            <w:r>
              <w:rPr>
                <w:rFonts w:hint="eastAsia" w:eastAsia="宋体"/>
                <w:color w:val="000000" w:themeColor="text1"/>
                <w:lang w:val="en-US"/>
                <w14:textFill>
                  <w14:solidFill>
                    <w14:schemeClr w14:val="tx1"/>
                  </w14:solidFill>
                </w14:textFill>
              </w:rPr>
              <w:t>0</w:t>
            </w:r>
            <w:r>
              <w:rPr>
                <w:rFonts w:eastAsia="宋体"/>
                <w:color w:val="000000" w:themeColor="text1"/>
                <w:lang w:val="en-US"/>
                <w14:textFill>
                  <w14:solidFill>
                    <w14:schemeClr w14:val="tx1"/>
                  </w14:solidFill>
                </w14:textFill>
              </w:rPr>
              <w:t>000m</w:t>
            </w:r>
            <w:r>
              <w:rPr>
                <w:rFonts w:eastAsia="宋体"/>
                <w:color w:val="000000" w:themeColor="text1"/>
                <w:vertAlign w:val="superscript"/>
                <w:lang w:val="en-US"/>
                <w14:textFill>
                  <w14:solidFill>
                    <w14:schemeClr w14:val="tx1"/>
                  </w14:solidFill>
                </w14:textFill>
              </w:rPr>
              <w:t>2</w:t>
            </w:r>
            <w:r>
              <w:rPr>
                <w:rFonts w:eastAsia="宋体"/>
                <w:color w:val="000000" w:themeColor="text1"/>
                <w:lang w:val="en-US"/>
                <w14:textFill>
                  <w14:solidFill>
                    <w14:schemeClr w14:val="tx1"/>
                  </w14:solidFill>
                </w14:textFill>
              </w:rPr>
              <w:t>。具体喷涂面积和油漆用量核算见表2-</w:t>
            </w:r>
            <w:r>
              <w:rPr>
                <w:rFonts w:hint="eastAsia" w:eastAsia="宋体"/>
                <w:color w:val="000000" w:themeColor="text1"/>
                <w:lang w:val="en-US"/>
                <w14:textFill>
                  <w14:solidFill>
                    <w14:schemeClr w14:val="tx1"/>
                  </w14:solidFill>
                </w14:textFill>
              </w:rPr>
              <w:t>5</w:t>
            </w:r>
            <w:r>
              <w:rPr>
                <w:rFonts w:eastAsia="宋体"/>
                <w:color w:val="000000" w:themeColor="text1"/>
                <w:lang w:val="en-US"/>
                <w14:textFill>
                  <w14:solidFill>
                    <w14:schemeClr w14:val="tx1"/>
                  </w14:solidFill>
                </w14:textFill>
              </w:rPr>
              <w:t>。</w:t>
            </w:r>
          </w:p>
          <w:p w14:paraId="77DB8905">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w:t>
            </w:r>
            <w:r>
              <w:rPr>
                <w:rFonts w:hint="eastAsia" w:eastAsiaTheme="minorEastAsia"/>
                <w:color w:val="000000" w:themeColor="text1"/>
                <w14:textFill>
                  <w14:solidFill>
                    <w14:schemeClr w14:val="tx1"/>
                  </w14:solidFill>
                </w14:textFill>
              </w:rPr>
              <w:t>5</w:t>
            </w:r>
            <w:r>
              <w:rPr>
                <w:rFonts w:eastAsiaTheme="minorEastAsia"/>
                <w:color w:val="000000" w:themeColor="text1"/>
                <w14:textFill>
                  <w14:solidFill>
                    <w14:schemeClr w14:val="tx1"/>
                  </w14:solidFill>
                </w14:textFill>
              </w:rPr>
              <w:t xml:space="preserve">  油漆使用量情况一览表</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107"/>
              <w:gridCol w:w="1107"/>
              <w:gridCol w:w="1258"/>
              <w:gridCol w:w="1106"/>
              <w:gridCol w:w="1105"/>
              <w:gridCol w:w="1381"/>
              <w:gridCol w:w="918"/>
            </w:tblGrid>
            <w:tr w14:paraId="5F80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Align w:val="center"/>
                </w:tcPr>
                <w:p w14:paraId="3C247955">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名称</w:t>
                  </w:r>
                </w:p>
              </w:tc>
              <w:tc>
                <w:tcPr>
                  <w:tcW w:w="1110" w:type="dxa"/>
                  <w:vAlign w:val="center"/>
                </w:tcPr>
                <w:p w14:paraId="5E4F76BD">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喷漆面积（m</w:t>
                  </w:r>
                  <w:r>
                    <w:rPr>
                      <w:rFonts w:eastAsiaTheme="minorEastAsia"/>
                      <w:b w:val="0"/>
                      <w:color w:val="000000" w:themeColor="text1"/>
                      <w:vertAlign w:val="superscript"/>
                      <w14:textFill>
                        <w14:solidFill>
                          <w14:schemeClr w14:val="tx1"/>
                        </w14:solidFill>
                      </w14:textFill>
                    </w:rPr>
                    <w:t>2</w:t>
                  </w:r>
                  <w:r>
                    <w:rPr>
                      <w:rFonts w:eastAsiaTheme="minorEastAsia"/>
                      <w:b w:val="0"/>
                      <w:color w:val="000000" w:themeColor="text1"/>
                      <w14:textFill>
                        <w14:solidFill>
                          <w14:schemeClr w14:val="tx1"/>
                        </w14:solidFill>
                      </w14:textFill>
                    </w:rPr>
                    <w:t>）</w:t>
                  </w:r>
                </w:p>
              </w:tc>
              <w:tc>
                <w:tcPr>
                  <w:tcW w:w="1109" w:type="dxa"/>
                  <w:vAlign w:val="center"/>
                </w:tcPr>
                <w:p w14:paraId="298B07BB">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漆膜总厚度（cm）</w:t>
                  </w:r>
                </w:p>
              </w:tc>
              <w:tc>
                <w:tcPr>
                  <w:tcW w:w="1258" w:type="dxa"/>
                  <w:vAlign w:val="center"/>
                </w:tcPr>
                <w:p w14:paraId="55B446F5">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密度（g/cm</w:t>
                  </w:r>
                  <w:r>
                    <w:rPr>
                      <w:rFonts w:eastAsiaTheme="minorEastAsia"/>
                      <w:b w:val="0"/>
                      <w:color w:val="000000" w:themeColor="text1"/>
                      <w:vertAlign w:val="superscript"/>
                      <w14:textFill>
                        <w14:solidFill>
                          <w14:schemeClr w14:val="tx1"/>
                        </w14:solidFill>
                      </w14:textFill>
                    </w:rPr>
                    <w:t>3</w:t>
                  </w:r>
                  <w:r>
                    <w:rPr>
                      <w:rFonts w:eastAsiaTheme="minorEastAsia"/>
                      <w:b w:val="0"/>
                      <w:color w:val="000000" w:themeColor="text1"/>
                      <w14:textFill>
                        <w14:solidFill>
                          <w14:schemeClr w14:val="tx1"/>
                        </w14:solidFill>
                      </w14:textFill>
                    </w:rPr>
                    <w:t>）</w:t>
                  </w:r>
                </w:p>
              </w:tc>
              <w:tc>
                <w:tcPr>
                  <w:tcW w:w="1109" w:type="dxa"/>
                  <w:vAlign w:val="center"/>
                </w:tcPr>
                <w:p w14:paraId="0012FD6C">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漆膜量（t/a）</w:t>
                  </w:r>
                </w:p>
              </w:tc>
              <w:tc>
                <w:tcPr>
                  <w:tcW w:w="1109" w:type="dxa"/>
                  <w:vAlign w:val="center"/>
                </w:tcPr>
                <w:p w14:paraId="7390D898">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上漆率（%）</w:t>
                  </w:r>
                </w:p>
              </w:tc>
              <w:tc>
                <w:tcPr>
                  <w:tcW w:w="1390" w:type="dxa"/>
                  <w:vAlign w:val="center"/>
                </w:tcPr>
                <w:p w14:paraId="16D2408D">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漆中固分含量比（%）</w:t>
                  </w:r>
                </w:p>
              </w:tc>
              <w:tc>
                <w:tcPr>
                  <w:tcW w:w="830" w:type="dxa"/>
                  <w:vAlign w:val="center"/>
                </w:tcPr>
                <w:p w14:paraId="1B030FC1">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漆用量（t/a）</w:t>
                  </w:r>
                </w:p>
              </w:tc>
            </w:tr>
            <w:tr w14:paraId="732A7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109" w:type="dxa"/>
                  <w:vAlign w:val="center"/>
                </w:tcPr>
                <w:p w14:paraId="53EDA7A2">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油漆</w:t>
                  </w:r>
                </w:p>
              </w:tc>
              <w:tc>
                <w:tcPr>
                  <w:tcW w:w="1110" w:type="dxa"/>
                  <w:vAlign w:val="center"/>
                </w:tcPr>
                <w:p w14:paraId="5F44CDB6">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1</w:t>
                  </w:r>
                  <w:r>
                    <w:rPr>
                      <w:rFonts w:hint="eastAsia" w:eastAsiaTheme="minorEastAsia"/>
                      <w:b w:val="0"/>
                      <w:color w:val="000000" w:themeColor="text1"/>
                      <w14:textFill>
                        <w14:solidFill>
                          <w14:schemeClr w14:val="tx1"/>
                        </w14:solidFill>
                      </w14:textFill>
                    </w:rPr>
                    <w:t>0</w:t>
                  </w:r>
                  <w:r>
                    <w:rPr>
                      <w:rFonts w:eastAsiaTheme="minorEastAsia"/>
                      <w:b w:val="0"/>
                      <w:color w:val="000000" w:themeColor="text1"/>
                      <w14:textFill>
                        <w14:solidFill>
                          <w14:schemeClr w14:val="tx1"/>
                        </w14:solidFill>
                      </w14:textFill>
                    </w:rPr>
                    <w:t>000</w:t>
                  </w:r>
                </w:p>
              </w:tc>
              <w:tc>
                <w:tcPr>
                  <w:tcW w:w="1109" w:type="dxa"/>
                  <w:vAlign w:val="center"/>
                </w:tcPr>
                <w:p w14:paraId="6D94B37A">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0.01</w:t>
                  </w:r>
                </w:p>
              </w:tc>
              <w:tc>
                <w:tcPr>
                  <w:tcW w:w="1258" w:type="dxa"/>
                  <w:vAlign w:val="center"/>
                </w:tcPr>
                <w:p w14:paraId="7CB652E4">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0.</w:t>
                  </w:r>
                  <w:r>
                    <w:rPr>
                      <w:rFonts w:hint="eastAsia" w:eastAsiaTheme="minorEastAsia"/>
                      <w:b w:val="0"/>
                      <w:color w:val="000000" w:themeColor="text1"/>
                      <w14:textFill>
                        <w14:solidFill>
                          <w14:schemeClr w14:val="tx1"/>
                        </w14:solidFill>
                      </w14:textFill>
                    </w:rPr>
                    <w:t>86</w:t>
                  </w:r>
                </w:p>
              </w:tc>
              <w:tc>
                <w:tcPr>
                  <w:tcW w:w="1109" w:type="dxa"/>
                  <w:vAlign w:val="center"/>
                </w:tcPr>
                <w:p w14:paraId="7996F387">
                  <w:pPr>
                    <w:pStyle w:val="180"/>
                    <w:spacing w:line="240" w:lineRule="auto"/>
                    <w:rPr>
                      <w:rFonts w:eastAsiaTheme="minorEastAsia"/>
                      <w:b w:val="0"/>
                      <w:color w:val="000000" w:themeColor="text1"/>
                      <w14:textFill>
                        <w14:solidFill>
                          <w14:schemeClr w14:val="tx1"/>
                        </w14:solidFill>
                      </w14:textFill>
                    </w:rPr>
                  </w:pPr>
                  <w:r>
                    <w:rPr>
                      <w:rFonts w:hint="eastAsia" w:eastAsiaTheme="minorEastAsia"/>
                      <w:b w:val="0"/>
                      <w:color w:val="000000" w:themeColor="text1"/>
                      <w14:textFill>
                        <w14:solidFill>
                          <w14:schemeClr w14:val="tx1"/>
                        </w14:solidFill>
                      </w14:textFill>
                    </w:rPr>
                    <w:t>0.86</w:t>
                  </w:r>
                </w:p>
              </w:tc>
              <w:tc>
                <w:tcPr>
                  <w:tcW w:w="1109" w:type="dxa"/>
                  <w:vAlign w:val="center"/>
                </w:tcPr>
                <w:p w14:paraId="2F09883E">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50</w:t>
                  </w:r>
                </w:p>
              </w:tc>
              <w:tc>
                <w:tcPr>
                  <w:tcW w:w="1390" w:type="dxa"/>
                  <w:vAlign w:val="center"/>
                </w:tcPr>
                <w:p w14:paraId="1BBC724A">
                  <w:pPr>
                    <w:pStyle w:val="180"/>
                    <w:spacing w:line="240" w:lineRule="auto"/>
                    <w:rPr>
                      <w:rFonts w:eastAsiaTheme="minorEastAsia"/>
                      <w:b w:val="0"/>
                      <w:color w:val="000000" w:themeColor="text1"/>
                      <w14:textFill>
                        <w14:solidFill>
                          <w14:schemeClr w14:val="tx1"/>
                        </w14:solidFill>
                      </w14:textFill>
                    </w:rPr>
                  </w:pPr>
                  <w:r>
                    <w:rPr>
                      <w:rFonts w:hint="eastAsia" w:eastAsiaTheme="minorEastAsia"/>
                      <w:b w:val="0"/>
                      <w:color w:val="000000" w:themeColor="text1"/>
                      <w14:textFill>
                        <w14:solidFill>
                          <w14:schemeClr w14:val="tx1"/>
                        </w14:solidFill>
                      </w14:textFill>
                    </w:rPr>
                    <w:t>55</w:t>
                  </w:r>
                </w:p>
              </w:tc>
              <w:tc>
                <w:tcPr>
                  <w:tcW w:w="830" w:type="dxa"/>
                  <w:vAlign w:val="center"/>
                </w:tcPr>
                <w:p w14:paraId="27794A77">
                  <w:pPr>
                    <w:pStyle w:val="180"/>
                    <w:spacing w:line="240" w:lineRule="auto"/>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3.</w:t>
                  </w:r>
                  <w:r>
                    <w:rPr>
                      <w:rFonts w:hint="eastAsia" w:eastAsiaTheme="minorEastAsia"/>
                      <w:b w:val="0"/>
                      <w:color w:val="000000" w:themeColor="text1"/>
                      <w14:textFill>
                        <w14:solidFill>
                          <w14:schemeClr w14:val="tx1"/>
                        </w14:solidFill>
                      </w14:textFill>
                    </w:rPr>
                    <w:t>127</w:t>
                  </w:r>
                </w:p>
              </w:tc>
            </w:tr>
          </w:tbl>
          <w:p w14:paraId="3F6E9ADB">
            <w:pPr>
              <w:pStyle w:val="180"/>
              <w:spacing w:line="240" w:lineRule="auto"/>
              <w:ind w:firstLine="420" w:firstLineChars="200"/>
              <w:jc w:val="both"/>
              <w:rPr>
                <w:rFonts w:eastAsiaTheme="minorEastAsia"/>
                <w:b w:val="0"/>
                <w:bCs/>
                <w:color w:val="000000" w:themeColor="text1"/>
                <w14:textFill>
                  <w14:solidFill>
                    <w14:schemeClr w14:val="tx1"/>
                  </w14:solidFill>
                </w14:textFill>
              </w:rPr>
            </w:pPr>
            <w:r>
              <w:rPr>
                <w:rFonts w:eastAsiaTheme="minorEastAsia"/>
                <w:b w:val="0"/>
                <w:bCs/>
                <w:color w:val="000000" w:themeColor="text1"/>
                <w14:textFill>
                  <w14:solidFill>
                    <w14:schemeClr w14:val="tx1"/>
                  </w14:solidFill>
                </w14:textFill>
              </w:rPr>
              <w:t>注：由于本项各种球拍属于异形件，油漆上漆</w:t>
            </w:r>
            <w:r>
              <w:rPr>
                <w:rFonts w:hint="eastAsia" w:eastAsiaTheme="minorEastAsia"/>
                <w:b w:val="0"/>
                <w:bCs/>
                <w:color w:val="000000" w:themeColor="text1"/>
                <w14:textFill>
                  <w14:solidFill>
                    <w14:schemeClr w14:val="tx1"/>
                  </w14:solidFill>
                </w14:textFill>
              </w:rPr>
              <w:t>率一</w:t>
            </w:r>
            <w:r>
              <w:rPr>
                <w:rFonts w:eastAsiaTheme="minorEastAsia"/>
                <w:b w:val="0"/>
                <w:bCs/>
                <w:color w:val="000000" w:themeColor="text1"/>
                <w14:textFill>
                  <w14:solidFill>
                    <w14:schemeClr w14:val="tx1"/>
                  </w14:solidFill>
                </w14:textFill>
              </w:rPr>
              <w:t>般低于常规的上漆率（75%），根据企业提供资料，本环评上漆率取50%核算。</w:t>
            </w:r>
          </w:p>
          <w:p w14:paraId="11378D37">
            <w:pPr>
              <w:pStyle w:val="178"/>
              <w:rPr>
                <w:rFonts w:eastAsia="宋体"/>
                <w:color w:val="000000" w:themeColor="text1"/>
                <w14:textFill>
                  <w14:solidFill>
                    <w14:schemeClr w14:val="tx1"/>
                  </w14:solidFill>
                </w14:textFill>
              </w:rPr>
            </w:pPr>
            <w:r>
              <w:rPr>
                <w:rFonts w:eastAsia="宋体"/>
                <w:color w:val="000000" w:themeColor="text1"/>
                <w:lang w:val="en-US"/>
                <w14:textFill>
                  <w14:solidFill>
                    <w14:schemeClr w14:val="tx1"/>
                  </w14:solidFill>
                </w14:textFill>
              </w:rPr>
              <w:t>经计算本项目油漆量为3.</w:t>
            </w:r>
            <w:r>
              <w:rPr>
                <w:rFonts w:hint="eastAsia" w:eastAsia="宋体"/>
                <w:color w:val="000000" w:themeColor="text1"/>
                <w:lang w:val="en-US"/>
                <w14:textFill>
                  <w14:solidFill>
                    <w14:schemeClr w14:val="tx1"/>
                  </w14:solidFill>
                </w14:textFill>
              </w:rPr>
              <w:t>127</w:t>
            </w:r>
            <w:r>
              <w:rPr>
                <w:rFonts w:eastAsia="宋体"/>
                <w:color w:val="000000" w:themeColor="text1"/>
                <w:lang w:val="en-US"/>
                <w14:textFill>
                  <w14:solidFill>
                    <w14:schemeClr w14:val="tx1"/>
                  </w14:solidFill>
                </w14:textFill>
              </w:rPr>
              <w:t>t/a，油漆与稀释剂调配比例约为3:1，稀释剂使用量约为1</w:t>
            </w:r>
            <w:r>
              <w:rPr>
                <w:rFonts w:hint="eastAsia" w:eastAsia="宋体"/>
                <w:color w:val="000000" w:themeColor="text1"/>
                <w:lang w:val="en-US"/>
                <w14:textFill>
                  <w14:solidFill>
                    <w14:schemeClr w14:val="tx1"/>
                  </w14:solidFill>
                </w14:textFill>
              </w:rPr>
              <w:t>.042</w:t>
            </w:r>
            <w:r>
              <w:rPr>
                <w:rFonts w:eastAsia="宋体"/>
                <w:color w:val="000000" w:themeColor="text1"/>
                <w:lang w:val="en-US"/>
                <w14:textFill>
                  <w14:solidFill>
                    <w14:schemeClr w14:val="tx1"/>
                  </w14:solidFill>
                </w14:textFill>
              </w:rPr>
              <w:t>t/a。</w:t>
            </w:r>
          </w:p>
          <w:p w14:paraId="1B313FAA">
            <w:pPr>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（3）与《工业防护涂料中有害物质限量》（GB 30981-2020）相符性分析</w:t>
            </w:r>
          </w:p>
          <w:p w14:paraId="4B641793">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根据油漆的MSDS，油漆密度为0.86</w:t>
            </w:r>
            <w:r>
              <w:rPr>
                <w:rFonts w:eastAsiaTheme="minorEastAsia"/>
                <w:color w:val="000000" w:themeColor="text1"/>
                <w:sz w:val="24"/>
                <w14:textFill>
                  <w14:solidFill>
                    <w14:schemeClr w14:val="tx1"/>
                  </w14:solidFill>
                </w14:textFill>
              </w:rPr>
              <w:t>g/cm</w:t>
            </w:r>
            <w:r>
              <w:rPr>
                <w:rFonts w:eastAsiaTheme="minorEastAsia"/>
                <w:color w:val="000000" w:themeColor="text1"/>
                <w:sz w:val="24"/>
                <w:vertAlign w:val="superscript"/>
                <w14:textFill>
                  <w14:solidFill>
                    <w14:schemeClr w14:val="tx1"/>
                  </w14:solidFill>
                </w14:textFill>
              </w:rPr>
              <w:t>3</w:t>
            </w:r>
            <w:r>
              <w:rPr>
                <w:rFonts w:hint="eastAsia" w:eastAsiaTheme="minorEastAsia"/>
                <w:color w:val="000000" w:themeColor="text1"/>
                <w:sz w:val="24"/>
                <w14:textFill>
                  <w14:solidFill>
                    <w14:schemeClr w14:val="tx1"/>
                  </w14:solidFill>
                </w14:textFill>
              </w:rPr>
              <w:t>，油漆中挥发性有机物含量最大为45%，</w:t>
            </w:r>
            <w:r>
              <w:rPr>
                <w:color w:val="000000" w:themeColor="text1"/>
                <w:sz w:val="24"/>
                <w14:textFill>
                  <w14:solidFill>
                    <w14:schemeClr w14:val="tx1"/>
                  </w14:solidFill>
                </w14:textFill>
              </w:rPr>
              <w:t>经计算，本项目使用的</w:t>
            </w:r>
            <w:r>
              <w:rPr>
                <w:color w:val="000000" w:themeColor="text1"/>
                <w:kern w:val="0"/>
                <w:sz w:val="24"/>
                <w14:textFill>
                  <w14:solidFill>
                    <w14:schemeClr w14:val="tx1"/>
                  </w14:solidFill>
                </w14:textFill>
              </w:rPr>
              <w:t>油漆</w:t>
            </w:r>
            <w:r>
              <w:rPr>
                <w:color w:val="000000" w:themeColor="text1"/>
                <w:sz w:val="24"/>
                <w14:textFill>
                  <w14:solidFill>
                    <w14:schemeClr w14:val="tx1"/>
                  </w14:solidFill>
                </w14:textFill>
              </w:rPr>
              <w:t>中挥发性有机物含量为</w:t>
            </w:r>
            <w:r>
              <w:rPr>
                <w:rFonts w:hint="eastAsia"/>
                <w:color w:val="000000" w:themeColor="text1"/>
                <w:sz w:val="24"/>
                <w14:textFill>
                  <w14:solidFill>
                    <w14:schemeClr w14:val="tx1"/>
                  </w14:solidFill>
                </w14:textFill>
              </w:rPr>
              <w:t>387</w:t>
            </w:r>
            <w:r>
              <w:rPr>
                <w:color w:val="000000" w:themeColor="text1"/>
                <w:sz w:val="24"/>
                <w14:textFill>
                  <w14:solidFill>
                    <w14:schemeClr w14:val="tx1"/>
                  </w14:solidFill>
                </w14:textFill>
              </w:rPr>
              <w:t>g/L，满足《工业防护涂料中有害物质限量》（GB 30981-2020）表2中型材涂料其他520g/L的限值要求。</w:t>
            </w:r>
          </w:p>
          <w:p w14:paraId="1E638E90">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（4）全厂物料平衡</w:t>
            </w:r>
          </w:p>
          <w:p w14:paraId="68190DE0">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项目油漆线物料平衡见下表。</w:t>
            </w:r>
          </w:p>
          <w:p w14:paraId="2436293C">
            <w:pPr>
              <w:pStyle w:val="191"/>
              <w:spacing w:beforeLines="0" w:after="0" w:line="240" w:lineRule="auto"/>
              <w:ind w:firstLine="0"/>
              <w:jc w:val="center"/>
              <w:rPr>
                <w:rFonts w:ascii="Times New Roman" w:hAnsi="Times New Roman" w:eastAsia="宋体"/>
                <w:b/>
                <w:color w:val="000000" w:themeColor="text1"/>
                <w:spacing w:val="0"/>
                <w:sz w:val="21"/>
                <w:szCs w:val="21"/>
                <w14:textFill>
                  <w14:solidFill>
                    <w14:schemeClr w14:val="tx1"/>
                  </w14:solidFill>
                </w14:textFill>
              </w:rPr>
            </w:pPr>
            <w:r>
              <w:rPr>
                <w:rFonts w:ascii="Times New Roman" w:hAnsi="Times New Roman" w:eastAsia="宋体"/>
                <w:b/>
                <w:color w:val="000000" w:themeColor="text1"/>
                <w:spacing w:val="0"/>
                <w:sz w:val="21"/>
                <w:szCs w:val="21"/>
                <w14:textFill>
                  <w14:solidFill>
                    <w14:schemeClr w14:val="tx1"/>
                  </w14:solidFill>
                </w14:textFill>
              </w:rPr>
              <w:t>表</w:t>
            </w:r>
            <w:r>
              <w:rPr>
                <w:rFonts w:hint="eastAsia" w:ascii="Times New Roman" w:hAnsi="Times New Roman" w:eastAsia="宋体"/>
                <w:b/>
                <w:color w:val="000000" w:themeColor="text1"/>
                <w:spacing w:val="0"/>
                <w:sz w:val="21"/>
                <w:szCs w:val="21"/>
                <w14:textFill>
                  <w14:solidFill>
                    <w14:schemeClr w14:val="tx1"/>
                  </w14:solidFill>
                </w14:textFill>
              </w:rPr>
              <w:t>2-6</w:t>
            </w:r>
            <w:r>
              <w:rPr>
                <w:rFonts w:ascii="Times New Roman" w:hAnsi="Times New Roman" w:eastAsia="宋体"/>
                <w:b/>
                <w:color w:val="000000" w:themeColor="text1"/>
                <w:spacing w:val="0"/>
                <w:sz w:val="21"/>
                <w:szCs w:val="21"/>
                <w14:textFill>
                  <w14:solidFill>
                    <w14:schemeClr w14:val="tx1"/>
                  </w14:solidFill>
                </w14:textFill>
              </w:rPr>
              <w:t xml:space="preserve">  油漆线物料平衡表  （单位：t</w:t>
            </w:r>
            <w:r>
              <w:rPr>
                <w:rFonts w:hint="eastAsia" w:ascii="Times New Roman" w:hAnsi="Times New Roman" w:eastAsia="宋体"/>
                <w:b/>
                <w:color w:val="000000" w:themeColor="text1"/>
                <w:spacing w:val="0"/>
                <w:sz w:val="21"/>
                <w:szCs w:val="21"/>
                <w14:textFill>
                  <w14:solidFill>
                    <w14:schemeClr w14:val="tx1"/>
                  </w14:solidFill>
                </w14:textFill>
              </w:rPr>
              <w:t>/a</w:t>
            </w:r>
            <w:r>
              <w:rPr>
                <w:rFonts w:ascii="Times New Roman" w:hAnsi="Times New Roman" w:eastAsia="宋体"/>
                <w:b/>
                <w:color w:val="000000" w:themeColor="text1"/>
                <w:spacing w:val="0"/>
                <w:sz w:val="21"/>
                <w:szCs w:val="21"/>
                <w14:textFill>
                  <w14:solidFill>
                    <w14:schemeClr w14:val="tx1"/>
                  </w14:solidFill>
                </w14:textFill>
              </w:rPr>
              <w:t>）</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988"/>
              <w:gridCol w:w="1405"/>
              <w:gridCol w:w="3189"/>
              <w:gridCol w:w="1610"/>
            </w:tblGrid>
            <w:tr w14:paraId="21D4E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917" w:type="dxa"/>
                  <w:gridSpan w:val="2"/>
                  <w:vAlign w:val="center"/>
                </w:tcPr>
                <w:p w14:paraId="4CD8BAFD">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原料</w:t>
                  </w:r>
                </w:p>
              </w:tc>
              <w:tc>
                <w:tcPr>
                  <w:tcW w:w="6308" w:type="dxa"/>
                  <w:gridSpan w:val="3"/>
                  <w:vAlign w:val="center"/>
                </w:tcPr>
                <w:p w14:paraId="318A4DBC">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产出</w:t>
                  </w:r>
                </w:p>
              </w:tc>
            </w:tr>
            <w:tr w14:paraId="715B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Align w:val="center"/>
                </w:tcPr>
                <w:p w14:paraId="7F925E52">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992" w:type="dxa"/>
                  <w:vAlign w:val="center"/>
                </w:tcPr>
                <w:p w14:paraId="2D3962A8">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数量</w:t>
                  </w:r>
                </w:p>
              </w:tc>
              <w:tc>
                <w:tcPr>
                  <w:tcW w:w="4678" w:type="dxa"/>
                  <w:gridSpan w:val="2"/>
                  <w:vAlign w:val="center"/>
                </w:tcPr>
                <w:p w14:paraId="0D8A8C0B">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1630" w:type="dxa"/>
                  <w:vAlign w:val="center"/>
                </w:tcPr>
                <w:p w14:paraId="172B40A4">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数量</w:t>
                  </w:r>
                </w:p>
              </w:tc>
            </w:tr>
            <w:tr w14:paraId="68070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Align w:val="center"/>
                </w:tcPr>
                <w:p w14:paraId="5E7E7F96">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油漆</w:t>
                  </w:r>
                </w:p>
              </w:tc>
              <w:tc>
                <w:tcPr>
                  <w:tcW w:w="992" w:type="dxa"/>
                  <w:vAlign w:val="center"/>
                </w:tcPr>
                <w:p w14:paraId="35F17D54">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3.</w:t>
                  </w:r>
                  <w:r>
                    <w:rPr>
                      <w:rFonts w:hint="eastAsia" w:cs="Times New Roman"/>
                      <w:color w:val="000000" w:themeColor="text1"/>
                      <w:spacing w:val="0"/>
                      <w:kern w:val="0"/>
                      <w:sz w:val="21"/>
                      <w:szCs w:val="21"/>
                      <w14:textFill>
                        <w14:solidFill>
                          <w14:schemeClr w14:val="tx1"/>
                        </w14:solidFill>
                      </w14:textFill>
                    </w:rPr>
                    <w:t>127</w:t>
                  </w:r>
                </w:p>
              </w:tc>
              <w:tc>
                <w:tcPr>
                  <w:tcW w:w="4678" w:type="dxa"/>
                  <w:gridSpan w:val="2"/>
                  <w:vAlign w:val="center"/>
                </w:tcPr>
                <w:p w14:paraId="0C61BF35">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工件附着</w:t>
                  </w:r>
                </w:p>
              </w:tc>
              <w:tc>
                <w:tcPr>
                  <w:tcW w:w="1630" w:type="dxa"/>
                  <w:vAlign w:val="center"/>
                </w:tcPr>
                <w:p w14:paraId="1CF116D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0.86</w:t>
                  </w:r>
                </w:p>
              </w:tc>
            </w:tr>
            <w:tr w14:paraId="58BB0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Align w:val="center"/>
                </w:tcPr>
                <w:p w14:paraId="70DD3B9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稀释剂</w:t>
                  </w:r>
                </w:p>
              </w:tc>
              <w:tc>
                <w:tcPr>
                  <w:tcW w:w="992" w:type="dxa"/>
                  <w:vAlign w:val="center"/>
                </w:tcPr>
                <w:p w14:paraId="7244C335">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1</w:t>
                  </w:r>
                  <w:r>
                    <w:rPr>
                      <w:rFonts w:hint="eastAsia" w:cs="Times New Roman"/>
                      <w:color w:val="000000" w:themeColor="text1"/>
                      <w:spacing w:val="0"/>
                      <w:kern w:val="0"/>
                      <w:sz w:val="21"/>
                      <w:szCs w:val="21"/>
                      <w14:textFill>
                        <w14:solidFill>
                          <w14:schemeClr w14:val="tx1"/>
                        </w14:solidFill>
                      </w14:textFill>
                    </w:rPr>
                    <w:t>.042</w:t>
                  </w:r>
                </w:p>
              </w:tc>
              <w:tc>
                <w:tcPr>
                  <w:tcW w:w="4678" w:type="dxa"/>
                  <w:gridSpan w:val="2"/>
                  <w:vAlign w:val="center"/>
                </w:tcPr>
                <w:p w14:paraId="5301CC0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漆渣</w:t>
                  </w:r>
                </w:p>
              </w:tc>
              <w:tc>
                <w:tcPr>
                  <w:tcW w:w="1630" w:type="dxa"/>
                  <w:vAlign w:val="center"/>
                </w:tcPr>
                <w:p w14:paraId="06FDFC0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0.</w:t>
                  </w:r>
                  <w:r>
                    <w:rPr>
                      <w:rFonts w:hint="eastAsia" w:cs="Times New Roman"/>
                      <w:color w:val="000000" w:themeColor="text1"/>
                      <w:spacing w:val="0"/>
                      <w:kern w:val="0"/>
                      <w:sz w:val="21"/>
                      <w:szCs w:val="21"/>
                      <w14:textFill>
                        <w14:solidFill>
                          <w14:schemeClr w14:val="tx1"/>
                        </w14:solidFill>
                      </w14:textFill>
                    </w:rPr>
                    <w:t>172</w:t>
                  </w:r>
                </w:p>
              </w:tc>
            </w:tr>
            <w:tr w14:paraId="5B74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Align w:val="center"/>
                </w:tcPr>
                <w:p w14:paraId="1AD60183">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92" w:type="dxa"/>
                  <w:vAlign w:val="center"/>
                </w:tcPr>
                <w:p w14:paraId="1F04BB2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418" w:type="dxa"/>
                  <w:vMerge w:val="restart"/>
                  <w:vAlign w:val="center"/>
                </w:tcPr>
                <w:p w14:paraId="138BD834">
                  <w:pPr>
                    <w:pStyle w:val="272"/>
                    <w:spacing w:line="240" w:lineRule="auto"/>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漆雾</w:t>
                  </w:r>
                </w:p>
              </w:tc>
              <w:tc>
                <w:tcPr>
                  <w:tcW w:w="3260" w:type="dxa"/>
                  <w:vAlign w:val="center"/>
                </w:tcPr>
                <w:p w14:paraId="76F1F5F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水帘柜去除</w:t>
                  </w:r>
                </w:p>
              </w:tc>
              <w:tc>
                <w:tcPr>
                  <w:tcW w:w="1630" w:type="dxa"/>
                  <w:vAlign w:val="center"/>
                </w:tcPr>
                <w:p w14:paraId="3B76E678">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0.371</w:t>
                  </w:r>
                </w:p>
              </w:tc>
            </w:tr>
            <w:tr w14:paraId="6E084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Merge w:val="restart"/>
                  <w:vAlign w:val="center"/>
                </w:tcPr>
                <w:p w14:paraId="185FCA4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92" w:type="dxa"/>
                  <w:vMerge w:val="restart"/>
                  <w:vAlign w:val="center"/>
                </w:tcPr>
                <w:p w14:paraId="2DE0787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418" w:type="dxa"/>
                  <w:vMerge w:val="continue"/>
                  <w:vAlign w:val="center"/>
                </w:tcPr>
                <w:p w14:paraId="177B13B4">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3260" w:type="dxa"/>
                  <w:vAlign w:val="center"/>
                </w:tcPr>
                <w:p w14:paraId="67AF8E05">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过滤棉去除</w:t>
                  </w:r>
                </w:p>
              </w:tc>
              <w:tc>
                <w:tcPr>
                  <w:tcW w:w="1630" w:type="dxa"/>
                  <w:vAlign w:val="center"/>
                </w:tcPr>
                <w:p w14:paraId="54E84768">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0.</w:t>
                  </w:r>
                  <w:r>
                    <w:rPr>
                      <w:rFonts w:hint="eastAsia" w:cs="Times New Roman"/>
                      <w:color w:val="000000" w:themeColor="text1"/>
                      <w:spacing w:val="0"/>
                      <w:kern w:val="0"/>
                      <w:sz w:val="21"/>
                      <w:szCs w:val="21"/>
                      <w14:textFill>
                        <w14:solidFill>
                          <w14:schemeClr w14:val="tx1"/>
                        </w14:solidFill>
                      </w14:textFill>
                    </w:rPr>
                    <w:t>223</w:t>
                  </w:r>
                </w:p>
              </w:tc>
            </w:tr>
            <w:tr w14:paraId="335BB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Merge w:val="continue"/>
                  <w:vAlign w:val="center"/>
                </w:tcPr>
                <w:p w14:paraId="4EDA1F1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92" w:type="dxa"/>
                  <w:vMerge w:val="continue"/>
                  <w:vAlign w:val="center"/>
                </w:tcPr>
                <w:p w14:paraId="20E8BA4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418" w:type="dxa"/>
                  <w:vMerge w:val="continue"/>
                  <w:vAlign w:val="center"/>
                </w:tcPr>
                <w:p w14:paraId="1B403E9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3260" w:type="dxa"/>
                  <w:vAlign w:val="center"/>
                </w:tcPr>
                <w:p w14:paraId="0AAD20AA">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排入大气</w:t>
                  </w:r>
                </w:p>
              </w:tc>
              <w:tc>
                <w:tcPr>
                  <w:tcW w:w="1630" w:type="dxa"/>
                  <w:vAlign w:val="center"/>
                </w:tcPr>
                <w:p w14:paraId="2ECAC106">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0.</w:t>
                  </w:r>
                  <w:r>
                    <w:rPr>
                      <w:rFonts w:hint="eastAsia" w:cs="Times New Roman"/>
                      <w:color w:val="000000" w:themeColor="text1"/>
                      <w:spacing w:val="0"/>
                      <w:kern w:val="0"/>
                      <w:sz w:val="21"/>
                      <w:szCs w:val="21"/>
                      <w14:textFill>
                        <w14:solidFill>
                          <w14:schemeClr w14:val="tx1"/>
                        </w14:solidFill>
                      </w14:textFill>
                    </w:rPr>
                    <w:t>094</w:t>
                  </w:r>
                </w:p>
              </w:tc>
            </w:tr>
            <w:tr w14:paraId="34ED6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Merge w:val="continue"/>
                  <w:vAlign w:val="center"/>
                </w:tcPr>
                <w:p w14:paraId="618390C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92" w:type="dxa"/>
                  <w:vMerge w:val="continue"/>
                  <w:vAlign w:val="center"/>
                </w:tcPr>
                <w:p w14:paraId="0F570CB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418" w:type="dxa"/>
                  <w:vMerge w:val="restart"/>
                  <w:vAlign w:val="center"/>
                </w:tcPr>
                <w:p w14:paraId="198FDF8A">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非甲烷总烃*</w:t>
                  </w:r>
                </w:p>
              </w:tc>
              <w:tc>
                <w:tcPr>
                  <w:tcW w:w="3260" w:type="dxa"/>
                  <w:vAlign w:val="center"/>
                </w:tcPr>
                <w:p w14:paraId="3F7F6BC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活性炭吸附脱附+小型催化燃烧装置去除</w:t>
                  </w:r>
                </w:p>
              </w:tc>
              <w:tc>
                <w:tcPr>
                  <w:tcW w:w="1630" w:type="dxa"/>
                  <w:vAlign w:val="center"/>
                </w:tcPr>
                <w:p w14:paraId="165779E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1.322</w:t>
                  </w:r>
                </w:p>
              </w:tc>
            </w:tr>
            <w:tr w14:paraId="5B1ED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Merge w:val="continue"/>
                  <w:vAlign w:val="center"/>
                </w:tcPr>
                <w:p w14:paraId="1376261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92" w:type="dxa"/>
                  <w:vMerge w:val="continue"/>
                  <w:vAlign w:val="center"/>
                </w:tcPr>
                <w:p w14:paraId="36A0F97B">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418" w:type="dxa"/>
                  <w:vMerge w:val="continue"/>
                  <w:vAlign w:val="center"/>
                </w:tcPr>
                <w:p w14:paraId="588FC07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3260" w:type="dxa"/>
                  <w:vAlign w:val="center"/>
                </w:tcPr>
                <w:p w14:paraId="1DD6AA4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排入大气</w:t>
                  </w:r>
                </w:p>
              </w:tc>
              <w:tc>
                <w:tcPr>
                  <w:tcW w:w="1630" w:type="dxa"/>
                  <w:vAlign w:val="center"/>
                </w:tcPr>
                <w:p w14:paraId="4F506AD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1.127</w:t>
                  </w:r>
                </w:p>
              </w:tc>
            </w:tr>
            <w:tr w14:paraId="3C170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25" w:type="dxa"/>
                  <w:vAlign w:val="center"/>
                </w:tcPr>
                <w:p w14:paraId="492FC27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992" w:type="dxa"/>
                  <w:vAlign w:val="center"/>
                </w:tcPr>
                <w:p w14:paraId="4845036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4.169</w:t>
                  </w:r>
                </w:p>
              </w:tc>
              <w:tc>
                <w:tcPr>
                  <w:tcW w:w="4678" w:type="dxa"/>
                  <w:gridSpan w:val="2"/>
                  <w:vAlign w:val="center"/>
                </w:tcPr>
                <w:p w14:paraId="1AA0B05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1630" w:type="dxa"/>
                  <w:vAlign w:val="center"/>
                </w:tcPr>
                <w:p w14:paraId="219A6B67">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fldChar w:fldCharType="begin"/>
                  </w:r>
                  <w:r>
                    <w:rPr>
                      <w:rFonts w:cs="Times New Roman"/>
                      <w:color w:val="000000" w:themeColor="text1"/>
                      <w:spacing w:val="0"/>
                      <w:kern w:val="0"/>
                      <w:sz w:val="21"/>
                      <w:szCs w:val="21"/>
                      <w14:textFill>
                        <w14:solidFill>
                          <w14:schemeClr w14:val="tx1"/>
                        </w14:solidFill>
                      </w14:textFill>
                    </w:rPr>
                    <w:instrText xml:space="preserve"> =SUM(ABOVE) </w:instrText>
                  </w:r>
                  <w:r>
                    <w:rPr>
                      <w:rFonts w:cs="Times New Roman"/>
                      <w:color w:val="000000" w:themeColor="text1"/>
                      <w:spacing w:val="0"/>
                      <w:kern w:val="0"/>
                      <w:sz w:val="21"/>
                      <w:szCs w:val="21"/>
                      <w14:textFill>
                        <w14:solidFill>
                          <w14:schemeClr w14:val="tx1"/>
                        </w14:solidFill>
                      </w14:textFill>
                    </w:rPr>
                    <w:fldChar w:fldCharType="separate"/>
                  </w:r>
                  <w:r>
                    <w:rPr>
                      <w:rFonts w:cs="Times New Roman"/>
                      <w:color w:val="000000" w:themeColor="text1"/>
                      <w:spacing w:val="0"/>
                      <w:kern w:val="0"/>
                      <w:sz w:val="21"/>
                      <w:szCs w:val="21"/>
                      <w14:textFill>
                        <w14:solidFill>
                          <w14:schemeClr w14:val="tx1"/>
                        </w14:solidFill>
                      </w14:textFill>
                    </w:rPr>
                    <w:t>4.169</w:t>
                  </w:r>
                  <w:r>
                    <w:rPr>
                      <w:rFonts w:cs="Times New Roman"/>
                      <w:color w:val="000000" w:themeColor="text1"/>
                      <w:spacing w:val="0"/>
                      <w:kern w:val="0"/>
                      <w:sz w:val="21"/>
                      <w:szCs w:val="21"/>
                      <w14:textFill>
                        <w14:solidFill>
                          <w14:schemeClr w14:val="tx1"/>
                        </w14:solidFill>
                      </w14:textFill>
                    </w:rPr>
                    <w:fldChar w:fldCharType="end"/>
                  </w:r>
                </w:p>
              </w:tc>
            </w:tr>
          </w:tbl>
          <w:p w14:paraId="5A9395A5">
            <w:pPr>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*备注：非甲烷总烃中，</w:t>
            </w:r>
            <w:r>
              <w:rPr>
                <w:rFonts w:hint="eastAsia"/>
                <w:color w:val="000000" w:themeColor="text1"/>
                <w:kern w:val="0"/>
                <w:szCs w:val="21"/>
                <w14:textFill>
                  <w14:solidFill>
                    <w14:schemeClr w14:val="tx1"/>
                  </w14:solidFill>
                </w14:textFill>
              </w:rPr>
              <w:t>活性炭吸附脱附+小型催化燃烧装置去除</w:t>
            </w:r>
            <w:r>
              <w:rPr>
                <w:color w:val="000000" w:themeColor="text1"/>
                <w:kern w:val="0"/>
                <w:szCs w:val="21"/>
                <w14:textFill>
                  <w14:solidFill>
                    <w14:schemeClr w14:val="tx1"/>
                  </w14:solidFill>
                </w14:textFill>
              </w:rPr>
              <w:t>量为</w:t>
            </w:r>
            <w:r>
              <w:rPr>
                <w:rFonts w:hint="eastAsia"/>
                <w:color w:val="000000" w:themeColor="text1"/>
                <w:kern w:val="0"/>
                <w:szCs w:val="21"/>
                <w14:textFill>
                  <w14:solidFill>
                    <w14:schemeClr w14:val="tx1"/>
                  </w14:solidFill>
                </w14:textFill>
              </w:rPr>
              <w:t>1.322</w:t>
            </w:r>
            <w:r>
              <w:rPr>
                <w:color w:val="000000" w:themeColor="text1"/>
                <w:kern w:val="0"/>
                <w:szCs w:val="21"/>
                <w14:textFill>
                  <w14:solidFill>
                    <w14:schemeClr w14:val="tx1"/>
                  </w14:solidFill>
                </w14:textFill>
              </w:rPr>
              <w:t>t/a（其中二甲苯为0.</w:t>
            </w:r>
            <w:r>
              <w:rPr>
                <w:rFonts w:hint="eastAsia"/>
                <w:color w:val="000000" w:themeColor="text1"/>
                <w:kern w:val="0"/>
                <w:szCs w:val="21"/>
                <w14:textFill>
                  <w14:solidFill>
                    <w14:schemeClr w14:val="tx1"/>
                  </w14:solidFill>
                </w14:textFill>
              </w:rPr>
              <w:t>175</w:t>
            </w:r>
            <w:r>
              <w:rPr>
                <w:color w:val="000000" w:themeColor="text1"/>
                <w:kern w:val="0"/>
                <w:szCs w:val="21"/>
                <w14:textFill>
                  <w14:solidFill>
                    <w14:schemeClr w14:val="tx1"/>
                  </w14:solidFill>
                </w14:textFill>
              </w:rPr>
              <w:t>t/a），排入大气中的量为</w:t>
            </w:r>
            <w:r>
              <w:rPr>
                <w:rFonts w:hint="eastAsia"/>
                <w:color w:val="000000" w:themeColor="text1"/>
                <w:kern w:val="0"/>
                <w:szCs w:val="21"/>
                <w14:textFill>
                  <w14:solidFill>
                    <w14:schemeClr w14:val="tx1"/>
                  </w14:solidFill>
                </w14:textFill>
              </w:rPr>
              <w:t>1.127</w:t>
            </w:r>
            <w:r>
              <w:rPr>
                <w:color w:val="000000" w:themeColor="text1"/>
                <w:kern w:val="0"/>
                <w:szCs w:val="21"/>
                <w14:textFill>
                  <w14:solidFill>
                    <w14:schemeClr w14:val="tx1"/>
                  </w14:solidFill>
                </w14:textFill>
              </w:rPr>
              <w:t>t/a（其中二甲苯为0.</w:t>
            </w:r>
            <w:r>
              <w:rPr>
                <w:rFonts w:hint="eastAsia"/>
                <w:color w:val="000000" w:themeColor="text1"/>
                <w:kern w:val="0"/>
                <w:szCs w:val="21"/>
                <w14:textFill>
                  <w14:solidFill>
                    <w14:schemeClr w14:val="tx1"/>
                  </w14:solidFill>
                </w14:textFill>
              </w:rPr>
              <w:t>149</w:t>
            </w:r>
            <w:r>
              <w:rPr>
                <w:color w:val="000000" w:themeColor="text1"/>
                <w:kern w:val="0"/>
                <w:szCs w:val="21"/>
                <w14:textFill>
                  <w14:solidFill>
                    <w14:schemeClr w14:val="tx1"/>
                  </w14:solidFill>
                </w14:textFill>
              </w:rPr>
              <w:t>t/a）。</w:t>
            </w:r>
          </w:p>
          <w:p w14:paraId="75AE71BA">
            <w:pPr>
              <w:pStyle w:val="2"/>
              <w:ind w:firstLine="480"/>
              <w:rPr>
                <w:b w:val="0"/>
                <w:bCs/>
                <w:color w:val="000000" w:themeColor="text1"/>
                <w:szCs w:val="24"/>
                <w:lang w:val="en-US"/>
                <w14:textFill>
                  <w14:solidFill>
                    <w14:schemeClr w14:val="tx1"/>
                  </w14:solidFill>
                </w14:textFill>
              </w:rPr>
            </w:pPr>
            <w:r>
              <w:rPr>
                <w:rFonts w:hint="eastAsia"/>
                <w:b w:val="0"/>
                <w:bCs/>
                <w:color w:val="000000" w:themeColor="text1"/>
                <w:szCs w:val="24"/>
                <w:lang w:val="en-US"/>
                <w14:textFill>
                  <w14:solidFill>
                    <w14:schemeClr w14:val="tx1"/>
                  </w14:solidFill>
                </w14:textFill>
              </w:rPr>
              <w:t>②全厂</w:t>
            </w:r>
            <w:r>
              <w:rPr>
                <w:b w:val="0"/>
                <w:bCs/>
                <w:color w:val="000000" w:themeColor="text1"/>
                <w:kern w:val="0"/>
                <w:szCs w:val="24"/>
                <w:lang w:val="en-US"/>
                <w14:textFill>
                  <w14:solidFill>
                    <w14:schemeClr w14:val="tx1"/>
                  </w14:solidFill>
                </w14:textFill>
              </w:rPr>
              <w:t>VOC</w:t>
            </w:r>
            <w:r>
              <w:rPr>
                <w:b w:val="0"/>
                <w:bCs/>
                <w:color w:val="000000" w:themeColor="text1"/>
                <w:kern w:val="0"/>
                <w:szCs w:val="24"/>
                <w:vertAlign w:val="subscript"/>
                <w:lang w:val="en-US"/>
                <w14:textFill>
                  <w14:solidFill>
                    <w14:schemeClr w14:val="tx1"/>
                  </w14:solidFill>
                </w14:textFill>
              </w:rPr>
              <w:t>s</w:t>
            </w:r>
            <w:r>
              <w:rPr>
                <w:b w:val="0"/>
                <w:bCs/>
                <w:color w:val="000000" w:themeColor="text1"/>
                <w:szCs w:val="24"/>
                <w14:textFill>
                  <w14:solidFill>
                    <w14:schemeClr w14:val="tx1"/>
                  </w14:solidFill>
                </w14:textFill>
              </w:rPr>
              <w:t>平衡</w:t>
            </w:r>
          </w:p>
          <w:p w14:paraId="4CEB92E1">
            <w:pPr>
              <w:pStyle w:val="191"/>
              <w:spacing w:beforeLines="0" w:after="0" w:line="240" w:lineRule="auto"/>
              <w:ind w:firstLine="0"/>
              <w:jc w:val="center"/>
              <w:outlineLvl w:val="9"/>
              <w:rPr>
                <w:rFonts w:ascii="Times New Roman" w:hAnsi="Times New Roman" w:eastAsia="宋体"/>
                <w:b/>
                <w:color w:val="000000" w:themeColor="text1"/>
                <w:spacing w:val="0"/>
                <w:sz w:val="21"/>
                <w:szCs w:val="21"/>
                <w14:textFill>
                  <w14:solidFill>
                    <w14:schemeClr w14:val="tx1"/>
                  </w14:solidFill>
                </w14:textFill>
              </w:rPr>
            </w:pPr>
            <w:r>
              <w:rPr>
                <w:rFonts w:ascii="Times New Roman" w:hAnsi="Times New Roman" w:eastAsia="宋体"/>
                <w:b/>
                <w:color w:val="000000" w:themeColor="text1"/>
                <w:spacing w:val="0"/>
                <w:sz w:val="21"/>
                <w:szCs w:val="21"/>
                <w14:textFill>
                  <w14:solidFill>
                    <w14:schemeClr w14:val="tx1"/>
                  </w14:solidFill>
                </w14:textFill>
              </w:rPr>
              <w:t>表</w:t>
            </w:r>
            <w:r>
              <w:rPr>
                <w:rFonts w:hint="eastAsia" w:ascii="Times New Roman" w:hAnsi="Times New Roman" w:eastAsia="宋体"/>
                <w:b/>
                <w:color w:val="000000" w:themeColor="text1"/>
                <w:spacing w:val="0"/>
                <w:sz w:val="21"/>
                <w:szCs w:val="21"/>
                <w14:textFill>
                  <w14:solidFill>
                    <w14:schemeClr w14:val="tx1"/>
                  </w14:solidFill>
                </w14:textFill>
              </w:rPr>
              <w:t>2-7</w:t>
            </w:r>
            <w:r>
              <w:rPr>
                <w:rFonts w:ascii="Times New Roman" w:hAnsi="Times New Roman" w:eastAsia="宋体"/>
                <w:b/>
                <w:color w:val="000000" w:themeColor="text1"/>
                <w:spacing w:val="0"/>
                <w:sz w:val="21"/>
                <w:szCs w:val="21"/>
                <w14:textFill>
                  <w14:solidFill>
                    <w14:schemeClr w14:val="tx1"/>
                  </w14:solidFill>
                </w14:textFill>
              </w:rPr>
              <w:t xml:space="preserve">  全厂VOC</w:t>
            </w:r>
            <w:r>
              <w:rPr>
                <w:rFonts w:ascii="Times New Roman" w:hAnsi="Times New Roman" w:eastAsia="宋体"/>
                <w:b/>
                <w:color w:val="000000" w:themeColor="text1"/>
                <w:spacing w:val="0"/>
                <w:sz w:val="21"/>
                <w:szCs w:val="21"/>
                <w:vertAlign w:val="subscript"/>
                <w14:textFill>
                  <w14:solidFill>
                    <w14:schemeClr w14:val="tx1"/>
                  </w14:solidFill>
                </w14:textFill>
              </w:rPr>
              <w:t>s</w:t>
            </w:r>
            <w:r>
              <w:rPr>
                <w:rFonts w:ascii="Times New Roman" w:hAnsi="Times New Roman" w:eastAsia="宋体"/>
                <w:b/>
                <w:color w:val="000000" w:themeColor="text1"/>
                <w:spacing w:val="0"/>
                <w:sz w:val="21"/>
                <w:szCs w:val="21"/>
                <w14:textFill>
                  <w14:solidFill>
                    <w14:schemeClr w14:val="tx1"/>
                  </w14:solidFill>
                </w14:textFill>
              </w:rPr>
              <w:t>平衡表  （单位：t/a）</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897"/>
              <w:gridCol w:w="1680"/>
              <w:gridCol w:w="1487"/>
              <w:gridCol w:w="2126"/>
              <w:gridCol w:w="1701"/>
            </w:tblGrid>
            <w:tr w14:paraId="4F68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92" w:type="pct"/>
                  <w:gridSpan w:val="4"/>
                  <w:vAlign w:val="center"/>
                </w:tcPr>
                <w:p w14:paraId="046E9E6E">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原料</w:t>
                  </w:r>
                </w:p>
              </w:tc>
              <w:tc>
                <w:tcPr>
                  <w:tcW w:w="2108" w:type="pct"/>
                  <w:gridSpan w:val="2"/>
                  <w:vAlign w:val="center"/>
                </w:tcPr>
                <w:p w14:paraId="22C08986">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产出</w:t>
                  </w:r>
                </w:p>
              </w:tc>
            </w:tr>
            <w:tr w14:paraId="301D7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7E31CD31">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494" w:type="pct"/>
                  <w:vAlign w:val="center"/>
                </w:tcPr>
                <w:p w14:paraId="5799D68C">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数量</w:t>
                  </w:r>
                </w:p>
              </w:tc>
              <w:tc>
                <w:tcPr>
                  <w:tcW w:w="925" w:type="pct"/>
                  <w:vAlign w:val="center"/>
                </w:tcPr>
                <w:p w14:paraId="43C89B8A">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VOC</w:t>
                  </w:r>
                  <w:r>
                    <w:rPr>
                      <w:rFonts w:cs="Times New Roman"/>
                      <w:b/>
                      <w:color w:val="000000" w:themeColor="text1"/>
                      <w:spacing w:val="0"/>
                      <w:kern w:val="0"/>
                      <w:sz w:val="21"/>
                      <w:szCs w:val="21"/>
                      <w:vertAlign w:val="subscript"/>
                      <w14:textFill>
                        <w14:solidFill>
                          <w14:schemeClr w14:val="tx1"/>
                        </w14:solidFill>
                      </w14:textFill>
                    </w:rPr>
                    <w:t>s</w:t>
                  </w:r>
                  <w:r>
                    <w:rPr>
                      <w:rFonts w:cs="Times New Roman"/>
                      <w:b/>
                      <w:color w:val="000000" w:themeColor="text1"/>
                      <w:spacing w:val="0"/>
                      <w:kern w:val="0"/>
                      <w:sz w:val="21"/>
                      <w:szCs w:val="21"/>
                      <w14:textFill>
                        <w14:solidFill>
                          <w14:schemeClr w14:val="tx1"/>
                        </w14:solidFill>
                      </w14:textFill>
                    </w:rPr>
                    <w:t>含量</w:t>
                  </w:r>
                </w:p>
              </w:tc>
              <w:tc>
                <w:tcPr>
                  <w:tcW w:w="819" w:type="pct"/>
                  <w:vAlign w:val="center"/>
                </w:tcPr>
                <w:p w14:paraId="0203DF71">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VOC</w:t>
                  </w:r>
                  <w:r>
                    <w:rPr>
                      <w:rFonts w:cs="Times New Roman"/>
                      <w:b/>
                      <w:color w:val="000000" w:themeColor="text1"/>
                      <w:spacing w:val="0"/>
                      <w:kern w:val="0"/>
                      <w:sz w:val="21"/>
                      <w:szCs w:val="21"/>
                      <w:vertAlign w:val="subscript"/>
                      <w14:textFill>
                        <w14:solidFill>
                          <w14:schemeClr w14:val="tx1"/>
                        </w14:solidFill>
                      </w14:textFill>
                    </w:rPr>
                    <w:t>s</w:t>
                  </w:r>
                  <w:r>
                    <w:rPr>
                      <w:rFonts w:cs="Times New Roman"/>
                      <w:b/>
                      <w:color w:val="000000" w:themeColor="text1"/>
                      <w:spacing w:val="0"/>
                      <w:kern w:val="0"/>
                      <w:sz w:val="21"/>
                      <w:szCs w:val="21"/>
                      <w14:textFill>
                        <w14:solidFill>
                          <w14:schemeClr w14:val="tx1"/>
                        </w14:solidFill>
                      </w14:textFill>
                    </w:rPr>
                    <w:t>总量</w:t>
                  </w:r>
                </w:p>
              </w:tc>
              <w:tc>
                <w:tcPr>
                  <w:tcW w:w="1171" w:type="pct"/>
                  <w:vAlign w:val="center"/>
                </w:tcPr>
                <w:p w14:paraId="699FB183">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937" w:type="pct"/>
                  <w:vAlign w:val="center"/>
                </w:tcPr>
                <w:p w14:paraId="2E69E907">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VOC</w:t>
                  </w:r>
                  <w:r>
                    <w:rPr>
                      <w:rFonts w:cs="Times New Roman"/>
                      <w:b/>
                      <w:color w:val="000000" w:themeColor="text1"/>
                      <w:spacing w:val="0"/>
                      <w:kern w:val="0"/>
                      <w:sz w:val="21"/>
                      <w:szCs w:val="21"/>
                      <w:vertAlign w:val="subscript"/>
                      <w14:textFill>
                        <w14:solidFill>
                          <w14:schemeClr w14:val="tx1"/>
                        </w14:solidFill>
                      </w14:textFill>
                    </w:rPr>
                    <w:t>s</w:t>
                  </w:r>
                  <w:r>
                    <w:rPr>
                      <w:rFonts w:cs="Times New Roman"/>
                      <w:b/>
                      <w:color w:val="000000" w:themeColor="text1"/>
                      <w:spacing w:val="0"/>
                      <w:kern w:val="0"/>
                      <w:sz w:val="21"/>
                      <w:szCs w:val="21"/>
                      <w14:textFill>
                        <w14:solidFill>
                          <w14:schemeClr w14:val="tx1"/>
                        </w14:solidFill>
                      </w14:textFill>
                    </w:rPr>
                    <w:t>总量</w:t>
                  </w:r>
                </w:p>
              </w:tc>
            </w:tr>
            <w:tr w14:paraId="56D52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750687F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油漆</w:t>
                  </w:r>
                </w:p>
              </w:tc>
              <w:tc>
                <w:tcPr>
                  <w:tcW w:w="494" w:type="pct"/>
                  <w:vAlign w:val="center"/>
                </w:tcPr>
                <w:p w14:paraId="169B5A63">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3.</w:t>
                  </w:r>
                  <w:r>
                    <w:rPr>
                      <w:rFonts w:hint="eastAsia" w:cs="Times New Roman"/>
                      <w:color w:val="000000" w:themeColor="text1"/>
                      <w:spacing w:val="0"/>
                      <w:kern w:val="0"/>
                      <w:sz w:val="21"/>
                      <w:szCs w:val="21"/>
                      <w14:textFill>
                        <w14:solidFill>
                          <w14:schemeClr w14:val="tx1"/>
                        </w14:solidFill>
                      </w14:textFill>
                    </w:rPr>
                    <w:t>127</w:t>
                  </w:r>
                </w:p>
              </w:tc>
              <w:tc>
                <w:tcPr>
                  <w:tcW w:w="925" w:type="pct"/>
                  <w:vAlign w:val="center"/>
                </w:tcPr>
                <w:p w14:paraId="60E7566A">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45</w:t>
                  </w:r>
                  <w:r>
                    <w:rPr>
                      <w:rFonts w:cs="Times New Roman"/>
                      <w:color w:val="000000" w:themeColor="text1"/>
                      <w:spacing w:val="0"/>
                      <w:kern w:val="0"/>
                      <w:sz w:val="21"/>
                      <w:szCs w:val="21"/>
                      <w14:textFill>
                        <w14:solidFill>
                          <w14:schemeClr w14:val="tx1"/>
                        </w14:solidFill>
                      </w14:textFill>
                    </w:rPr>
                    <w:t>%</w:t>
                  </w:r>
                </w:p>
              </w:tc>
              <w:tc>
                <w:tcPr>
                  <w:tcW w:w="819" w:type="pct"/>
                  <w:vAlign w:val="center"/>
                </w:tcPr>
                <w:p w14:paraId="25EB012B">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1.407</w:t>
                  </w:r>
                </w:p>
              </w:tc>
              <w:tc>
                <w:tcPr>
                  <w:tcW w:w="1171" w:type="pct"/>
                  <w:vAlign w:val="center"/>
                </w:tcPr>
                <w:p w14:paraId="43988E3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有组织排放</w:t>
                  </w:r>
                </w:p>
              </w:tc>
              <w:tc>
                <w:tcPr>
                  <w:tcW w:w="937" w:type="pct"/>
                  <w:vAlign w:val="center"/>
                </w:tcPr>
                <w:p w14:paraId="4E9575C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0.882</w:t>
                  </w:r>
                </w:p>
              </w:tc>
            </w:tr>
            <w:tr w14:paraId="28BF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4AB10EF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稀释剂</w:t>
                  </w:r>
                </w:p>
              </w:tc>
              <w:tc>
                <w:tcPr>
                  <w:tcW w:w="494" w:type="pct"/>
                  <w:vAlign w:val="center"/>
                </w:tcPr>
                <w:p w14:paraId="0596DDE4">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1</w:t>
                  </w:r>
                  <w:r>
                    <w:rPr>
                      <w:rFonts w:hint="eastAsia" w:cs="Times New Roman"/>
                      <w:color w:val="000000" w:themeColor="text1"/>
                      <w:spacing w:val="0"/>
                      <w:kern w:val="0"/>
                      <w:sz w:val="21"/>
                      <w:szCs w:val="21"/>
                      <w14:textFill>
                        <w14:solidFill>
                          <w14:schemeClr w14:val="tx1"/>
                        </w14:solidFill>
                      </w14:textFill>
                    </w:rPr>
                    <w:t>.042</w:t>
                  </w:r>
                </w:p>
              </w:tc>
              <w:tc>
                <w:tcPr>
                  <w:tcW w:w="925" w:type="pct"/>
                  <w:vAlign w:val="center"/>
                </w:tcPr>
                <w:p w14:paraId="07CB18F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100%</w:t>
                  </w:r>
                </w:p>
              </w:tc>
              <w:tc>
                <w:tcPr>
                  <w:tcW w:w="819" w:type="pct"/>
                  <w:vAlign w:val="center"/>
                </w:tcPr>
                <w:p w14:paraId="158AA5B6">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1</w:t>
                  </w:r>
                  <w:r>
                    <w:rPr>
                      <w:rFonts w:hint="eastAsia" w:cs="Times New Roman"/>
                      <w:color w:val="000000" w:themeColor="text1"/>
                      <w:spacing w:val="0"/>
                      <w:kern w:val="0"/>
                      <w:sz w:val="21"/>
                      <w:szCs w:val="21"/>
                      <w14:textFill>
                        <w14:solidFill>
                          <w14:schemeClr w14:val="tx1"/>
                        </w14:solidFill>
                      </w14:textFill>
                    </w:rPr>
                    <w:t>.042</w:t>
                  </w:r>
                </w:p>
              </w:tc>
              <w:tc>
                <w:tcPr>
                  <w:tcW w:w="1171" w:type="pct"/>
                  <w:vAlign w:val="center"/>
                </w:tcPr>
                <w:p w14:paraId="0303FE01">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无组织排放</w:t>
                  </w:r>
                </w:p>
              </w:tc>
              <w:tc>
                <w:tcPr>
                  <w:tcW w:w="937" w:type="pct"/>
                  <w:vAlign w:val="center"/>
                </w:tcPr>
                <w:p w14:paraId="4B341965">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0.245</w:t>
                  </w:r>
                </w:p>
              </w:tc>
            </w:tr>
            <w:tr w14:paraId="3A1C6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4604CC17">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494" w:type="pct"/>
                  <w:vAlign w:val="center"/>
                </w:tcPr>
                <w:p w14:paraId="411659A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25" w:type="pct"/>
                  <w:vAlign w:val="center"/>
                </w:tcPr>
                <w:p w14:paraId="117A70E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819" w:type="pct"/>
                  <w:vAlign w:val="center"/>
                </w:tcPr>
                <w:p w14:paraId="214B0758">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171" w:type="pct"/>
                  <w:vAlign w:val="center"/>
                </w:tcPr>
                <w:p w14:paraId="56658D3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废气处理装置去除</w:t>
                  </w:r>
                </w:p>
              </w:tc>
              <w:tc>
                <w:tcPr>
                  <w:tcW w:w="937" w:type="pct"/>
                  <w:vAlign w:val="center"/>
                </w:tcPr>
                <w:p w14:paraId="10E847F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1.322</w:t>
                  </w:r>
                </w:p>
              </w:tc>
            </w:tr>
            <w:tr w14:paraId="2CC1E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6FEC372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494" w:type="pct"/>
                  <w:vAlign w:val="center"/>
                </w:tcPr>
                <w:p w14:paraId="540D1C6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w:t>
                  </w:r>
                </w:p>
              </w:tc>
              <w:tc>
                <w:tcPr>
                  <w:tcW w:w="925" w:type="pct"/>
                  <w:vAlign w:val="center"/>
                </w:tcPr>
                <w:p w14:paraId="1608573E">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w:t>
                  </w:r>
                </w:p>
              </w:tc>
              <w:tc>
                <w:tcPr>
                  <w:tcW w:w="819" w:type="pct"/>
                  <w:vAlign w:val="center"/>
                </w:tcPr>
                <w:p w14:paraId="5907B09A">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2.449</w:t>
                  </w:r>
                </w:p>
              </w:tc>
              <w:tc>
                <w:tcPr>
                  <w:tcW w:w="1171" w:type="pct"/>
                  <w:vAlign w:val="center"/>
                </w:tcPr>
                <w:p w14:paraId="170EDDF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937" w:type="pct"/>
                  <w:vAlign w:val="center"/>
                </w:tcPr>
                <w:p w14:paraId="3064F96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2.449</w:t>
                  </w:r>
                </w:p>
              </w:tc>
            </w:tr>
          </w:tbl>
          <w:p w14:paraId="1A64A0ED">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③全厂二甲苯</w:t>
            </w:r>
            <w:r>
              <w:rPr>
                <w:color w:val="000000" w:themeColor="text1"/>
                <w:sz w:val="24"/>
                <w14:textFill>
                  <w14:solidFill>
                    <w14:schemeClr w14:val="tx1"/>
                  </w14:solidFill>
                </w14:textFill>
              </w:rPr>
              <w:t>平衡</w:t>
            </w:r>
          </w:p>
          <w:p w14:paraId="260038EF">
            <w:pPr>
              <w:pStyle w:val="191"/>
              <w:spacing w:beforeLines="0" w:after="0" w:line="240" w:lineRule="auto"/>
              <w:ind w:firstLine="0"/>
              <w:jc w:val="center"/>
              <w:outlineLvl w:val="9"/>
              <w:rPr>
                <w:rFonts w:ascii="Times New Roman" w:hAnsi="Times New Roman" w:eastAsia="宋体"/>
                <w:b/>
                <w:color w:val="000000" w:themeColor="text1"/>
                <w:spacing w:val="0"/>
                <w:sz w:val="21"/>
                <w:szCs w:val="21"/>
                <w14:textFill>
                  <w14:solidFill>
                    <w14:schemeClr w14:val="tx1"/>
                  </w14:solidFill>
                </w14:textFill>
              </w:rPr>
            </w:pPr>
            <w:r>
              <w:rPr>
                <w:rFonts w:ascii="Times New Roman" w:hAnsi="Times New Roman" w:eastAsia="宋体"/>
                <w:b/>
                <w:color w:val="000000" w:themeColor="text1"/>
                <w:spacing w:val="0"/>
                <w:sz w:val="21"/>
                <w:szCs w:val="21"/>
                <w14:textFill>
                  <w14:solidFill>
                    <w14:schemeClr w14:val="tx1"/>
                  </w14:solidFill>
                </w14:textFill>
              </w:rPr>
              <w:t>表</w:t>
            </w:r>
            <w:r>
              <w:rPr>
                <w:rFonts w:hint="eastAsia" w:ascii="Times New Roman" w:hAnsi="Times New Roman" w:eastAsia="宋体"/>
                <w:b/>
                <w:color w:val="000000" w:themeColor="text1"/>
                <w:spacing w:val="0"/>
                <w:sz w:val="21"/>
                <w:szCs w:val="21"/>
                <w14:textFill>
                  <w14:solidFill>
                    <w14:schemeClr w14:val="tx1"/>
                  </w14:solidFill>
                </w14:textFill>
              </w:rPr>
              <w:t>2-8</w:t>
            </w:r>
            <w:r>
              <w:rPr>
                <w:rFonts w:ascii="Times New Roman" w:hAnsi="Times New Roman" w:eastAsia="宋体"/>
                <w:b/>
                <w:color w:val="000000" w:themeColor="text1"/>
                <w:spacing w:val="0"/>
                <w:sz w:val="21"/>
                <w:szCs w:val="21"/>
                <w14:textFill>
                  <w14:solidFill>
                    <w14:schemeClr w14:val="tx1"/>
                  </w14:solidFill>
                </w14:textFill>
              </w:rPr>
              <w:t xml:space="preserve">  </w:t>
            </w:r>
            <w:r>
              <w:rPr>
                <w:rFonts w:hint="eastAsia" w:ascii="Times New Roman" w:hAnsi="Times New Roman" w:eastAsia="宋体"/>
                <w:b/>
                <w:color w:val="000000" w:themeColor="text1"/>
                <w:spacing w:val="0"/>
                <w:sz w:val="21"/>
                <w:szCs w:val="21"/>
                <w14:textFill>
                  <w14:solidFill>
                    <w14:schemeClr w14:val="tx1"/>
                  </w14:solidFill>
                </w14:textFill>
              </w:rPr>
              <w:t>全厂二甲苯</w:t>
            </w:r>
            <w:r>
              <w:rPr>
                <w:rFonts w:ascii="Times New Roman" w:hAnsi="Times New Roman" w:eastAsia="宋体"/>
                <w:b/>
                <w:color w:val="000000" w:themeColor="text1"/>
                <w:spacing w:val="0"/>
                <w:sz w:val="21"/>
                <w:szCs w:val="21"/>
                <w14:textFill>
                  <w14:solidFill>
                    <w14:schemeClr w14:val="tx1"/>
                  </w14:solidFill>
                </w14:textFill>
              </w:rPr>
              <w:t>平衡表  （单位：t</w:t>
            </w:r>
            <w:r>
              <w:rPr>
                <w:rFonts w:hint="eastAsia" w:ascii="Times New Roman" w:hAnsi="Times New Roman" w:eastAsia="宋体"/>
                <w:b/>
                <w:color w:val="000000" w:themeColor="text1"/>
                <w:spacing w:val="0"/>
                <w:sz w:val="21"/>
                <w:szCs w:val="21"/>
                <w14:textFill>
                  <w14:solidFill>
                    <w14:schemeClr w14:val="tx1"/>
                  </w14:solidFill>
                </w14:textFill>
              </w:rPr>
              <w:t>/a</w:t>
            </w:r>
            <w:r>
              <w:rPr>
                <w:rFonts w:ascii="Times New Roman" w:hAnsi="Times New Roman" w:eastAsia="宋体"/>
                <w:b/>
                <w:color w:val="000000" w:themeColor="text1"/>
                <w:spacing w:val="0"/>
                <w:sz w:val="21"/>
                <w:szCs w:val="21"/>
                <w14:textFill>
                  <w14:solidFill>
                    <w14:schemeClr w14:val="tx1"/>
                  </w14:solidFill>
                </w14:textFill>
              </w:rPr>
              <w:t>）</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897"/>
              <w:gridCol w:w="1680"/>
              <w:gridCol w:w="1487"/>
              <w:gridCol w:w="2126"/>
              <w:gridCol w:w="1701"/>
            </w:tblGrid>
            <w:tr w14:paraId="5C10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92" w:type="pct"/>
                  <w:gridSpan w:val="4"/>
                  <w:vAlign w:val="center"/>
                </w:tcPr>
                <w:p w14:paraId="7194ED88">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原料</w:t>
                  </w:r>
                </w:p>
              </w:tc>
              <w:tc>
                <w:tcPr>
                  <w:tcW w:w="2108" w:type="pct"/>
                  <w:gridSpan w:val="2"/>
                  <w:vAlign w:val="center"/>
                </w:tcPr>
                <w:p w14:paraId="796969E5">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产出</w:t>
                  </w:r>
                </w:p>
              </w:tc>
            </w:tr>
            <w:tr w14:paraId="08753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0038BFD2">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494" w:type="pct"/>
                  <w:vAlign w:val="center"/>
                </w:tcPr>
                <w:p w14:paraId="1C23834E">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数量</w:t>
                  </w:r>
                </w:p>
              </w:tc>
              <w:tc>
                <w:tcPr>
                  <w:tcW w:w="925" w:type="pct"/>
                  <w:vAlign w:val="center"/>
                </w:tcPr>
                <w:p w14:paraId="1970FAAA">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hint="eastAsia" w:cs="Times New Roman"/>
                      <w:b/>
                      <w:color w:val="000000" w:themeColor="text1"/>
                      <w:spacing w:val="0"/>
                      <w:kern w:val="0"/>
                      <w:sz w:val="21"/>
                      <w:szCs w:val="21"/>
                      <w14:textFill>
                        <w14:solidFill>
                          <w14:schemeClr w14:val="tx1"/>
                        </w14:solidFill>
                      </w14:textFill>
                    </w:rPr>
                    <w:t>二甲苯</w:t>
                  </w:r>
                  <w:r>
                    <w:rPr>
                      <w:rFonts w:cs="Times New Roman"/>
                      <w:b/>
                      <w:color w:val="000000" w:themeColor="text1"/>
                      <w:spacing w:val="0"/>
                      <w:kern w:val="0"/>
                      <w:sz w:val="21"/>
                      <w:szCs w:val="21"/>
                      <w14:textFill>
                        <w14:solidFill>
                          <w14:schemeClr w14:val="tx1"/>
                        </w14:solidFill>
                      </w14:textFill>
                    </w:rPr>
                    <w:t>含量</w:t>
                  </w:r>
                </w:p>
              </w:tc>
              <w:tc>
                <w:tcPr>
                  <w:tcW w:w="819" w:type="pct"/>
                  <w:vAlign w:val="center"/>
                </w:tcPr>
                <w:p w14:paraId="1E4D1DE2">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hint="eastAsia" w:cs="Times New Roman"/>
                      <w:b/>
                      <w:color w:val="000000" w:themeColor="text1"/>
                      <w:spacing w:val="0"/>
                      <w:kern w:val="0"/>
                      <w:sz w:val="21"/>
                      <w:szCs w:val="21"/>
                      <w14:textFill>
                        <w14:solidFill>
                          <w14:schemeClr w14:val="tx1"/>
                        </w14:solidFill>
                      </w14:textFill>
                    </w:rPr>
                    <w:t>二甲苯</w:t>
                  </w:r>
                  <w:r>
                    <w:rPr>
                      <w:rFonts w:cs="Times New Roman"/>
                      <w:b/>
                      <w:color w:val="000000" w:themeColor="text1"/>
                      <w:spacing w:val="0"/>
                      <w:kern w:val="0"/>
                      <w:sz w:val="21"/>
                      <w:szCs w:val="21"/>
                      <w14:textFill>
                        <w14:solidFill>
                          <w14:schemeClr w14:val="tx1"/>
                        </w14:solidFill>
                      </w14:textFill>
                    </w:rPr>
                    <w:t>总量</w:t>
                  </w:r>
                </w:p>
              </w:tc>
              <w:tc>
                <w:tcPr>
                  <w:tcW w:w="1171" w:type="pct"/>
                  <w:vAlign w:val="center"/>
                </w:tcPr>
                <w:p w14:paraId="0F801D94">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cs="Times New Roman"/>
                      <w:b/>
                      <w:color w:val="000000" w:themeColor="text1"/>
                      <w:spacing w:val="0"/>
                      <w:kern w:val="0"/>
                      <w:sz w:val="21"/>
                      <w:szCs w:val="21"/>
                      <w14:textFill>
                        <w14:solidFill>
                          <w14:schemeClr w14:val="tx1"/>
                        </w14:solidFill>
                      </w14:textFill>
                    </w:rPr>
                    <w:t>名称</w:t>
                  </w:r>
                </w:p>
              </w:tc>
              <w:tc>
                <w:tcPr>
                  <w:tcW w:w="937" w:type="pct"/>
                  <w:vAlign w:val="center"/>
                </w:tcPr>
                <w:p w14:paraId="40FB6C44">
                  <w:pPr>
                    <w:pStyle w:val="272"/>
                    <w:spacing w:line="240" w:lineRule="auto"/>
                    <w:ind w:firstLine="0"/>
                    <w:jc w:val="center"/>
                    <w:rPr>
                      <w:rFonts w:cs="Times New Roman"/>
                      <w:b/>
                      <w:color w:val="000000" w:themeColor="text1"/>
                      <w:spacing w:val="0"/>
                      <w:kern w:val="0"/>
                      <w:sz w:val="21"/>
                      <w:szCs w:val="21"/>
                      <w14:textFill>
                        <w14:solidFill>
                          <w14:schemeClr w14:val="tx1"/>
                        </w14:solidFill>
                      </w14:textFill>
                    </w:rPr>
                  </w:pPr>
                  <w:r>
                    <w:rPr>
                      <w:rFonts w:hint="eastAsia" w:cs="Times New Roman"/>
                      <w:b/>
                      <w:color w:val="000000" w:themeColor="text1"/>
                      <w:spacing w:val="0"/>
                      <w:kern w:val="0"/>
                      <w:sz w:val="21"/>
                      <w:szCs w:val="21"/>
                      <w14:textFill>
                        <w14:solidFill>
                          <w14:schemeClr w14:val="tx1"/>
                        </w14:solidFill>
                      </w14:textFill>
                    </w:rPr>
                    <w:t>二甲苯总</w:t>
                  </w:r>
                  <w:r>
                    <w:rPr>
                      <w:rFonts w:cs="Times New Roman"/>
                      <w:b/>
                      <w:color w:val="000000" w:themeColor="text1"/>
                      <w:spacing w:val="0"/>
                      <w:kern w:val="0"/>
                      <w:sz w:val="21"/>
                      <w:szCs w:val="21"/>
                      <w14:textFill>
                        <w14:solidFill>
                          <w14:schemeClr w14:val="tx1"/>
                        </w14:solidFill>
                      </w14:textFill>
                    </w:rPr>
                    <w:t>量</w:t>
                  </w:r>
                </w:p>
              </w:tc>
            </w:tr>
            <w:tr w14:paraId="71272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1459E89B">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稀释剂</w:t>
                  </w:r>
                </w:p>
              </w:tc>
              <w:tc>
                <w:tcPr>
                  <w:tcW w:w="494" w:type="pct"/>
                  <w:vAlign w:val="center"/>
                </w:tcPr>
                <w:p w14:paraId="583D344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1</w:t>
                  </w:r>
                  <w:r>
                    <w:rPr>
                      <w:rFonts w:hint="eastAsia" w:cs="Times New Roman"/>
                      <w:color w:val="000000" w:themeColor="text1"/>
                      <w:spacing w:val="0"/>
                      <w:kern w:val="0"/>
                      <w:sz w:val="21"/>
                      <w:szCs w:val="21"/>
                      <w14:textFill>
                        <w14:solidFill>
                          <w14:schemeClr w14:val="tx1"/>
                        </w14:solidFill>
                      </w14:textFill>
                    </w:rPr>
                    <w:t>.042</w:t>
                  </w:r>
                </w:p>
              </w:tc>
              <w:tc>
                <w:tcPr>
                  <w:tcW w:w="925" w:type="pct"/>
                  <w:vAlign w:val="center"/>
                </w:tcPr>
                <w:p w14:paraId="3F0BB447">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23</w:t>
                  </w:r>
                  <w:r>
                    <w:rPr>
                      <w:rFonts w:cs="Times New Roman"/>
                      <w:color w:val="000000" w:themeColor="text1"/>
                      <w:spacing w:val="0"/>
                      <w:kern w:val="0"/>
                      <w:sz w:val="21"/>
                      <w:szCs w:val="21"/>
                      <w14:textFill>
                        <w14:solidFill>
                          <w14:schemeClr w14:val="tx1"/>
                        </w14:solidFill>
                      </w14:textFill>
                    </w:rPr>
                    <w:t>%</w:t>
                  </w:r>
                </w:p>
              </w:tc>
              <w:tc>
                <w:tcPr>
                  <w:tcW w:w="819" w:type="pct"/>
                  <w:vAlign w:val="center"/>
                </w:tcPr>
                <w:p w14:paraId="3F0FE6E1">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0.324</w:t>
                  </w:r>
                </w:p>
              </w:tc>
              <w:tc>
                <w:tcPr>
                  <w:tcW w:w="1171" w:type="pct"/>
                  <w:vAlign w:val="center"/>
                </w:tcPr>
                <w:p w14:paraId="60190C78">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有组织排放</w:t>
                  </w:r>
                </w:p>
              </w:tc>
              <w:tc>
                <w:tcPr>
                  <w:tcW w:w="937" w:type="pct"/>
                  <w:vAlign w:val="center"/>
                </w:tcPr>
                <w:p w14:paraId="3C00436B">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0.117</w:t>
                  </w:r>
                </w:p>
              </w:tc>
            </w:tr>
            <w:tr w14:paraId="13F43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054E95CA">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494" w:type="pct"/>
                  <w:vAlign w:val="center"/>
                </w:tcPr>
                <w:p w14:paraId="32D51B8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25" w:type="pct"/>
                  <w:vAlign w:val="center"/>
                </w:tcPr>
                <w:p w14:paraId="348D1BC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819" w:type="pct"/>
                  <w:vAlign w:val="center"/>
                </w:tcPr>
                <w:p w14:paraId="246E6034">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171" w:type="pct"/>
                  <w:vAlign w:val="center"/>
                </w:tcPr>
                <w:p w14:paraId="396D815C">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无组织排放</w:t>
                  </w:r>
                </w:p>
              </w:tc>
              <w:tc>
                <w:tcPr>
                  <w:tcW w:w="937" w:type="pct"/>
                  <w:vAlign w:val="center"/>
                </w:tcPr>
                <w:p w14:paraId="3908716D">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0.032</w:t>
                  </w:r>
                </w:p>
              </w:tc>
            </w:tr>
            <w:tr w14:paraId="550D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1AB9D221">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494" w:type="pct"/>
                  <w:vAlign w:val="center"/>
                </w:tcPr>
                <w:p w14:paraId="65BF0CC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925" w:type="pct"/>
                  <w:vAlign w:val="center"/>
                </w:tcPr>
                <w:p w14:paraId="6D596755">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819" w:type="pct"/>
                  <w:vAlign w:val="center"/>
                </w:tcPr>
                <w:p w14:paraId="19DE278F">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p>
              </w:tc>
              <w:tc>
                <w:tcPr>
                  <w:tcW w:w="1171" w:type="pct"/>
                  <w:vAlign w:val="center"/>
                </w:tcPr>
                <w:p w14:paraId="7AA06034">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废气处理装置去除</w:t>
                  </w:r>
                </w:p>
              </w:tc>
              <w:tc>
                <w:tcPr>
                  <w:tcW w:w="937" w:type="pct"/>
                  <w:vAlign w:val="center"/>
                </w:tcPr>
                <w:p w14:paraId="7597A12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0.175</w:t>
                  </w:r>
                </w:p>
              </w:tc>
            </w:tr>
            <w:tr w14:paraId="3456E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4" w:type="pct"/>
                  <w:vAlign w:val="center"/>
                </w:tcPr>
                <w:p w14:paraId="77935713">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494" w:type="pct"/>
                  <w:vAlign w:val="center"/>
                </w:tcPr>
                <w:p w14:paraId="6A805BC0">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w:t>
                  </w:r>
                </w:p>
              </w:tc>
              <w:tc>
                <w:tcPr>
                  <w:tcW w:w="925" w:type="pct"/>
                  <w:vAlign w:val="center"/>
                </w:tcPr>
                <w:p w14:paraId="594CCBA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w:t>
                  </w:r>
                </w:p>
              </w:tc>
              <w:tc>
                <w:tcPr>
                  <w:tcW w:w="819" w:type="pct"/>
                  <w:vAlign w:val="center"/>
                </w:tcPr>
                <w:p w14:paraId="722DF659">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0.324</w:t>
                  </w:r>
                </w:p>
              </w:tc>
              <w:tc>
                <w:tcPr>
                  <w:tcW w:w="1171" w:type="pct"/>
                  <w:vAlign w:val="center"/>
                </w:tcPr>
                <w:p w14:paraId="68509A02">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cs="Times New Roman"/>
                      <w:color w:val="000000" w:themeColor="text1"/>
                      <w:spacing w:val="0"/>
                      <w:kern w:val="0"/>
                      <w:sz w:val="21"/>
                      <w:szCs w:val="21"/>
                      <w14:textFill>
                        <w14:solidFill>
                          <w14:schemeClr w14:val="tx1"/>
                        </w14:solidFill>
                      </w14:textFill>
                    </w:rPr>
                    <w:t>合计</w:t>
                  </w:r>
                </w:p>
              </w:tc>
              <w:tc>
                <w:tcPr>
                  <w:tcW w:w="937" w:type="pct"/>
                  <w:vAlign w:val="center"/>
                </w:tcPr>
                <w:p w14:paraId="77312B4B">
                  <w:pPr>
                    <w:pStyle w:val="272"/>
                    <w:spacing w:line="240" w:lineRule="auto"/>
                    <w:ind w:firstLine="0"/>
                    <w:jc w:val="center"/>
                    <w:rPr>
                      <w:rFonts w:cs="Times New Roman"/>
                      <w:color w:val="000000" w:themeColor="text1"/>
                      <w:spacing w:val="0"/>
                      <w:kern w:val="0"/>
                      <w:sz w:val="21"/>
                      <w:szCs w:val="21"/>
                      <w14:textFill>
                        <w14:solidFill>
                          <w14:schemeClr w14:val="tx1"/>
                        </w14:solidFill>
                      </w14:textFill>
                    </w:rPr>
                  </w:pPr>
                  <w:r>
                    <w:rPr>
                      <w:rFonts w:hint="eastAsia" w:cs="Times New Roman"/>
                      <w:color w:val="000000" w:themeColor="text1"/>
                      <w:spacing w:val="0"/>
                      <w:kern w:val="0"/>
                      <w:sz w:val="21"/>
                      <w:szCs w:val="21"/>
                      <w14:textFill>
                        <w14:solidFill>
                          <w14:schemeClr w14:val="tx1"/>
                        </w14:solidFill>
                      </w14:textFill>
                    </w:rPr>
                    <w:t>0.324</w:t>
                  </w:r>
                </w:p>
              </w:tc>
            </w:tr>
          </w:tbl>
          <w:p w14:paraId="59E952CB">
            <w:pPr>
              <w:pStyle w:val="178"/>
              <w:numPr>
                <w:ilvl w:val="0"/>
                <w:numId w:val="11"/>
              </w:numPr>
              <w:ind w:firstLineChars="0"/>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主要生产设备</w:t>
            </w:r>
          </w:p>
          <w:p w14:paraId="671A2144">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项目主要设备一览见表2-</w:t>
            </w:r>
            <w:r>
              <w:rPr>
                <w:rFonts w:hint="eastAsia" w:eastAsia="宋体"/>
                <w:color w:val="000000" w:themeColor="text1"/>
                <w14:textFill>
                  <w14:solidFill>
                    <w14:schemeClr w14:val="tx1"/>
                  </w14:solidFill>
                </w14:textFill>
              </w:rPr>
              <w:t>9</w:t>
            </w:r>
            <w:r>
              <w:rPr>
                <w:rFonts w:eastAsia="宋体"/>
                <w:color w:val="000000" w:themeColor="text1"/>
                <w14:textFill>
                  <w14:solidFill>
                    <w14:schemeClr w14:val="tx1"/>
                  </w14:solidFill>
                </w14:textFill>
              </w:rPr>
              <w:t>。</w:t>
            </w:r>
          </w:p>
          <w:p w14:paraId="707B20A4">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w:t>
            </w:r>
            <w:r>
              <w:rPr>
                <w:rFonts w:hint="eastAsia" w:eastAsiaTheme="minorEastAsia"/>
                <w:color w:val="000000" w:themeColor="text1"/>
                <w14:textFill>
                  <w14:solidFill>
                    <w14:schemeClr w14:val="tx1"/>
                  </w14:solidFill>
                </w14:textFill>
              </w:rPr>
              <w:t>9</w:t>
            </w:r>
            <w:r>
              <w:rPr>
                <w:rFonts w:eastAsiaTheme="minorEastAsia"/>
                <w:color w:val="000000" w:themeColor="text1"/>
                <w14:textFill>
                  <w14:solidFill>
                    <w14:schemeClr w14:val="tx1"/>
                  </w14:solidFill>
                </w14:textFill>
              </w:rPr>
              <w:t xml:space="preserve">  项目主要生产设备一览表</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2399"/>
              <w:gridCol w:w="1286"/>
              <w:gridCol w:w="882"/>
              <w:gridCol w:w="1177"/>
              <w:gridCol w:w="2339"/>
            </w:tblGrid>
            <w:tr w14:paraId="63F6F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49" w:type="pct"/>
                  <w:vAlign w:val="center"/>
                </w:tcPr>
                <w:p w14:paraId="3EA025D8">
                  <w:pPr>
                    <w:tabs>
                      <w:tab w:val="left" w:pos="0"/>
                    </w:tabs>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序号</w:t>
                  </w:r>
                </w:p>
              </w:tc>
              <w:tc>
                <w:tcPr>
                  <w:tcW w:w="1321" w:type="pct"/>
                  <w:vAlign w:val="center"/>
                </w:tcPr>
                <w:p w14:paraId="20D8A976">
                  <w:pPr>
                    <w:tabs>
                      <w:tab w:val="left" w:pos="0"/>
                    </w:tabs>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设备名称</w:t>
                  </w:r>
                </w:p>
              </w:tc>
              <w:tc>
                <w:tcPr>
                  <w:tcW w:w="708" w:type="pct"/>
                  <w:vAlign w:val="center"/>
                </w:tcPr>
                <w:p w14:paraId="21885AFE">
                  <w:pPr>
                    <w:tabs>
                      <w:tab w:val="left" w:pos="0"/>
                    </w:tabs>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规格/型号</w:t>
                  </w:r>
                </w:p>
              </w:tc>
              <w:tc>
                <w:tcPr>
                  <w:tcW w:w="486" w:type="pct"/>
                  <w:vAlign w:val="center"/>
                </w:tcPr>
                <w:p w14:paraId="32E9CD1D">
                  <w:pPr>
                    <w:tabs>
                      <w:tab w:val="left" w:pos="0"/>
                    </w:tabs>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数量</w:t>
                  </w:r>
                </w:p>
              </w:tc>
              <w:tc>
                <w:tcPr>
                  <w:tcW w:w="648" w:type="pct"/>
                  <w:vAlign w:val="center"/>
                </w:tcPr>
                <w:p w14:paraId="4E6EA2AF">
                  <w:pPr>
                    <w:tabs>
                      <w:tab w:val="left" w:pos="0"/>
                    </w:tabs>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单位</w:t>
                  </w:r>
                </w:p>
              </w:tc>
              <w:tc>
                <w:tcPr>
                  <w:tcW w:w="1288" w:type="pct"/>
                  <w:vAlign w:val="center"/>
                </w:tcPr>
                <w:p w14:paraId="0563E28D">
                  <w:pPr>
                    <w:tabs>
                      <w:tab w:val="left" w:pos="0"/>
                    </w:tabs>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备注</w:t>
                  </w:r>
                </w:p>
              </w:tc>
            </w:tr>
            <w:tr w14:paraId="4C856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15C53CF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321" w:type="pct"/>
                  <w:vAlign w:val="center"/>
                </w:tcPr>
                <w:p w14:paraId="4AC0414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滚圆机</w:t>
                  </w:r>
                </w:p>
              </w:tc>
              <w:tc>
                <w:tcPr>
                  <w:tcW w:w="708" w:type="pct"/>
                  <w:vAlign w:val="center"/>
                </w:tcPr>
                <w:p w14:paraId="2AD36F8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定制</w:t>
                  </w:r>
                </w:p>
              </w:tc>
              <w:tc>
                <w:tcPr>
                  <w:tcW w:w="486" w:type="pct"/>
                  <w:vAlign w:val="center"/>
                </w:tcPr>
                <w:p w14:paraId="4C94CBB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648" w:type="pct"/>
                  <w:vAlign w:val="center"/>
                </w:tcPr>
                <w:p w14:paraId="0358B2B5">
                  <w:pPr>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7CCC813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机加工</w:t>
                  </w:r>
                </w:p>
              </w:tc>
            </w:tr>
            <w:tr w14:paraId="1480B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35705B7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321" w:type="pct"/>
                  <w:vAlign w:val="center"/>
                </w:tcPr>
                <w:p w14:paraId="3272405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成型机</w:t>
                  </w:r>
                </w:p>
              </w:tc>
              <w:tc>
                <w:tcPr>
                  <w:tcW w:w="708" w:type="pct"/>
                  <w:vAlign w:val="center"/>
                </w:tcPr>
                <w:p w14:paraId="3E72265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定制</w:t>
                  </w:r>
                </w:p>
              </w:tc>
              <w:tc>
                <w:tcPr>
                  <w:tcW w:w="486" w:type="pct"/>
                  <w:vAlign w:val="center"/>
                </w:tcPr>
                <w:p w14:paraId="641C495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648" w:type="pct"/>
                  <w:vAlign w:val="center"/>
                </w:tcPr>
                <w:p w14:paraId="2C3562DF">
                  <w:pPr>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171ED29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机加工</w:t>
                  </w:r>
                </w:p>
              </w:tc>
            </w:tr>
            <w:tr w14:paraId="0732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2922A1F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321" w:type="pct"/>
                  <w:vAlign w:val="center"/>
                </w:tcPr>
                <w:p w14:paraId="30AC849B">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打眼机</w:t>
                  </w:r>
                </w:p>
              </w:tc>
              <w:tc>
                <w:tcPr>
                  <w:tcW w:w="708" w:type="pct"/>
                  <w:vAlign w:val="center"/>
                </w:tcPr>
                <w:p w14:paraId="749D004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定制</w:t>
                  </w:r>
                </w:p>
              </w:tc>
              <w:tc>
                <w:tcPr>
                  <w:tcW w:w="486" w:type="pct"/>
                  <w:vAlign w:val="center"/>
                </w:tcPr>
                <w:p w14:paraId="6567FC2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648" w:type="pct"/>
                  <w:vAlign w:val="center"/>
                </w:tcPr>
                <w:p w14:paraId="6141802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28DED23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打眼</w:t>
                  </w:r>
                </w:p>
              </w:tc>
            </w:tr>
            <w:tr w14:paraId="7983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48C3A4A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321" w:type="pct"/>
                  <w:vAlign w:val="center"/>
                </w:tcPr>
                <w:p w14:paraId="1491972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水洗台（水帘设备）</w:t>
                  </w:r>
                </w:p>
              </w:tc>
              <w:tc>
                <w:tcPr>
                  <w:tcW w:w="708" w:type="pct"/>
                  <w:vAlign w:val="center"/>
                </w:tcPr>
                <w:p w14:paraId="076CB20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定制</w:t>
                  </w:r>
                </w:p>
              </w:tc>
              <w:tc>
                <w:tcPr>
                  <w:tcW w:w="486" w:type="pct"/>
                  <w:vAlign w:val="center"/>
                </w:tcPr>
                <w:p w14:paraId="30609B3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w:t>
                  </w:r>
                </w:p>
              </w:tc>
              <w:tc>
                <w:tcPr>
                  <w:tcW w:w="648" w:type="pct"/>
                  <w:vAlign w:val="center"/>
                </w:tcPr>
                <w:p w14:paraId="05307ED5">
                  <w:pPr>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307E54A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人工喷枪9把</w:t>
                  </w:r>
                </w:p>
              </w:tc>
            </w:tr>
            <w:tr w14:paraId="0754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3483137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321" w:type="pct"/>
                  <w:vAlign w:val="center"/>
                </w:tcPr>
                <w:p w14:paraId="238DA02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烘</w:t>
                  </w:r>
                  <w:r>
                    <w:rPr>
                      <w:rFonts w:hint="eastAsia"/>
                      <w:color w:val="000000" w:themeColor="text1"/>
                      <w:szCs w:val="21"/>
                      <w14:textFill>
                        <w14:solidFill>
                          <w14:schemeClr w14:val="tx1"/>
                        </w14:solidFill>
                      </w14:textFill>
                    </w:rPr>
                    <w:t>干</w:t>
                  </w:r>
                  <w:r>
                    <w:rPr>
                      <w:color w:val="000000" w:themeColor="text1"/>
                      <w:szCs w:val="21"/>
                      <w14:textFill>
                        <w14:solidFill>
                          <w14:schemeClr w14:val="tx1"/>
                        </w14:solidFill>
                      </w14:textFill>
                    </w:rPr>
                    <w:t>箱</w:t>
                  </w:r>
                  <w:r>
                    <w:rPr>
                      <w:rFonts w:hint="eastAsia"/>
                      <w:color w:val="000000" w:themeColor="text1"/>
                      <w:szCs w:val="21"/>
                      <w14:textFill>
                        <w14:solidFill>
                          <w14:schemeClr w14:val="tx1"/>
                        </w14:solidFill>
                      </w14:textFill>
                    </w:rPr>
                    <w:t>（电能）</w:t>
                  </w:r>
                </w:p>
              </w:tc>
              <w:tc>
                <w:tcPr>
                  <w:tcW w:w="708" w:type="pct"/>
                  <w:vAlign w:val="center"/>
                </w:tcPr>
                <w:p w14:paraId="3887C40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定制</w:t>
                  </w:r>
                </w:p>
              </w:tc>
              <w:tc>
                <w:tcPr>
                  <w:tcW w:w="486" w:type="pct"/>
                  <w:vAlign w:val="center"/>
                </w:tcPr>
                <w:p w14:paraId="0B45EAA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648" w:type="pct"/>
                  <w:vAlign w:val="center"/>
                </w:tcPr>
                <w:p w14:paraId="14481DDA">
                  <w:pPr>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2DAE007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电烘干</w:t>
                  </w:r>
                </w:p>
              </w:tc>
            </w:tr>
            <w:tr w14:paraId="32F6D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61C858B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321" w:type="pct"/>
                  <w:vAlign w:val="center"/>
                </w:tcPr>
                <w:p w14:paraId="5E00D513">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打护套机</w:t>
                  </w:r>
                </w:p>
              </w:tc>
              <w:tc>
                <w:tcPr>
                  <w:tcW w:w="708" w:type="pct"/>
                  <w:vAlign w:val="center"/>
                </w:tcPr>
                <w:p w14:paraId="40BCD19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6" w:type="pct"/>
                  <w:vAlign w:val="center"/>
                </w:tcPr>
                <w:p w14:paraId="60FB1D4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648" w:type="pct"/>
                  <w:vAlign w:val="center"/>
                </w:tcPr>
                <w:p w14:paraId="1C9E4146">
                  <w:pPr>
                    <w:jc w:val="center"/>
                    <w:rPr>
                      <w:bCs/>
                      <w:color w:val="000000" w:themeColor="text1"/>
                      <w:kern w:val="21"/>
                      <w:szCs w:val="21"/>
                      <w14:textFill>
                        <w14:solidFill>
                          <w14:schemeClr w14:val="tx1"/>
                        </w14:solidFill>
                      </w14:textFill>
                    </w:rPr>
                  </w:pPr>
                  <w:r>
                    <w:rPr>
                      <w:rFonts w:hint="eastAsia"/>
                      <w:bCs/>
                      <w:color w:val="000000" w:themeColor="text1"/>
                      <w:szCs w:val="21"/>
                      <w14:textFill>
                        <w14:solidFill>
                          <w14:schemeClr w14:val="tx1"/>
                        </w14:solidFill>
                      </w14:textFill>
                    </w:rPr>
                    <w:t>台</w:t>
                  </w:r>
                </w:p>
              </w:tc>
              <w:tc>
                <w:tcPr>
                  <w:tcW w:w="1288" w:type="pct"/>
                  <w:vAlign w:val="center"/>
                </w:tcPr>
                <w:p w14:paraId="7E3ADB2A">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包柄</w:t>
                  </w:r>
                </w:p>
              </w:tc>
            </w:tr>
            <w:tr w14:paraId="248A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49" w:type="pct"/>
                  <w:vAlign w:val="center"/>
                </w:tcPr>
                <w:p w14:paraId="42CBB6C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321" w:type="pct"/>
                  <w:vAlign w:val="center"/>
                </w:tcPr>
                <w:p w14:paraId="1C2ED4E5">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紧线机</w:t>
                  </w:r>
                </w:p>
              </w:tc>
              <w:tc>
                <w:tcPr>
                  <w:tcW w:w="708" w:type="pct"/>
                  <w:vAlign w:val="center"/>
                </w:tcPr>
                <w:p w14:paraId="74EAAE9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6" w:type="pct"/>
                  <w:vAlign w:val="center"/>
                </w:tcPr>
                <w:p w14:paraId="4BAA134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648" w:type="pct"/>
                  <w:vAlign w:val="center"/>
                </w:tcPr>
                <w:p w14:paraId="56B3876D">
                  <w:pPr>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台</w:t>
                  </w:r>
                </w:p>
              </w:tc>
              <w:tc>
                <w:tcPr>
                  <w:tcW w:w="1288" w:type="pct"/>
                  <w:vAlign w:val="center"/>
                </w:tcPr>
                <w:p w14:paraId="405F569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穿线、紧线</w:t>
                  </w:r>
                </w:p>
              </w:tc>
            </w:tr>
          </w:tbl>
          <w:p w14:paraId="6C9E88D8">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主要设备产能匹配性分析</w:t>
            </w:r>
          </w:p>
          <w:p w14:paraId="18F4B032">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项目主要产能控制设备为喷枪</w:t>
            </w:r>
            <w:r>
              <w:rPr>
                <w:rFonts w:hint="eastAsia" w:eastAsia="宋体"/>
                <w:color w:val="000000" w:themeColor="text1"/>
                <w14:textFill>
                  <w14:solidFill>
                    <w14:schemeClr w14:val="tx1"/>
                  </w14:solidFill>
                </w14:textFill>
              </w:rPr>
              <w:t>、烘箱</w:t>
            </w:r>
            <w:r>
              <w:rPr>
                <w:rFonts w:eastAsia="宋体"/>
                <w:color w:val="000000" w:themeColor="text1"/>
                <w14:textFill>
                  <w14:solidFill>
                    <w14:schemeClr w14:val="tx1"/>
                  </w14:solidFill>
                </w14:textFill>
              </w:rPr>
              <w:t>，</w:t>
            </w:r>
            <w:r>
              <w:rPr>
                <w:rFonts w:hint="eastAsia" w:eastAsia="宋体"/>
                <w:color w:val="000000" w:themeColor="text1"/>
                <w14:textFill>
                  <w14:solidFill>
                    <w14:schemeClr w14:val="tx1"/>
                  </w14:solidFill>
                </w14:textFill>
              </w:rPr>
              <w:t>项目设置9把手动喷枪。</w:t>
            </w:r>
            <w:r>
              <w:rPr>
                <w:rFonts w:eastAsia="宋体"/>
                <w:color w:val="000000" w:themeColor="text1"/>
                <w14:textFill>
                  <w14:solidFill>
                    <w14:schemeClr w14:val="tx1"/>
                  </w14:solidFill>
                </w14:textFill>
              </w:rPr>
              <w:t>每</w:t>
            </w:r>
            <w:r>
              <w:rPr>
                <w:rFonts w:hint="eastAsia" w:eastAsia="宋体"/>
                <w:color w:val="000000" w:themeColor="text1"/>
                <w14:textFill>
                  <w14:solidFill>
                    <w14:schemeClr w14:val="tx1"/>
                  </w14:solidFill>
                </w14:textFill>
              </w:rPr>
              <w:t>把</w:t>
            </w:r>
            <w:r>
              <w:rPr>
                <w:rFonts w:eastAsia="宋体"/>
                <w:color w:val="000000" w:themeColor="text1"/>
                <w14:textFill>
                  <w14:solidFill>
                    <w14:schemeClr w14:val="tx1"/>
                  </w14:solidFill>
                </w14:textFill>
              </w:rPr>
              <w:t>喷枪每小时可喷球拍</w:t>
            </w:r>
            <w:r>
              <w:rPr>
                <w:rFonts w:hint="eastAsia" w:eastAsia="宋体"/>
                <w:color w:val="000000" w:themeColor="text1"/>
                <w14:textFill>
                  <w14:solidFill>
                    <w14:schemeClr w14:val="tx1"/>
                  </w14:solidFill>
                </w14:textFill>
              </w:rPr>
              <w:t>8</w:t>
            </w:r>
            <w:r>
              <w:rPr>
                <w:rFonts w:eastAsia="宋体"/>
                <w:color w:val="000000" w:themeColor="text1"/>
                <w14:textFill>
                  <w14:solidFill>
                    <w14:schemeClr w14:val="tx1"/>
                  </w14:solidFill>
                </w14:textFill>
              </w:rPr>
              <w:t>0只，</w:t>
            </w:r>
            <w:r>
              <w:rPr>
                <w:rFonts w:hint="eastAsia" w:eastAsia="宋体"/>
                <w:color w:val="000000" w:themeColor="text1"/>
                <w14:textFill>
                  <w14:solidFill>
                    <w14:schemeClr w14:val="tx1"/>
                  </w14:solidFill>
                </w14:textFill>
              </w:rPr>
              <w:t>年工作300d，喷枪</w:t>
            </w:r>
            <w:r>
              <w:rPr>
                <w:rFonts w:eastAsia="宋体"/>
                <w:color w:val="000000" w:themeColor="text1"/>
                <w14:textFill>
                  <w14:solidFill>
                    <w14:schemeClr w14:val="tx1"/>
                  </w14:solidFill>
                </w14:textFill>
              </w:rPr>
              <w:t>每天工作</w:t>
            </w:r>
            <w:r>
              <w:rPr>
                <w:rFonts w:hint="eastAsia" w:eastAsia="宋体"/>
                <w:color w:val="000000" w:themeColor="text1"/>
                <w14:textFill>
                  <w14:solidFill>
                    <w14:schemeClr w14:val="tx1"/>
                  </w14:solidFill>
                </w14:textFill>
              </w:rPr>
              <w:t>6</w:t>
            </w:r>
            <w:r>
              <w:rPr>
                <w:rFonts w:eastAsia="宋体"/>
                <w:color w:val="000000" w:themeColor="text1"/>
                <w14:textFill>
                  <w14:solidFill>
                    <w14:schemeClr w14:val="tx1"/>
                  </w14:solidFill>
                </w14:textFill>
              </w:rPr>
              <w:t>h</w:t>
            </w:r>
            <w:r>
              <w:rPr>
                <w:rFonts w:hint="eastAsia" w:eastAsia="宋体"/>
                <w:color w:val="000000" w:themeColor="text1"/>
                <w14:textFill>
                  <w14:solidFill>
                    <w14:schemeClr w14:val="tx1"/>
                  </w14:solidFill>
                </w14:textFill>
              </w:rPr>
              <w:t>，则满负荷状态下可喷球拍129.6万只/a。单台烘干箱一批可烘干300只羽毛球拍，项目共设4台烘箱，单批次烘干1个小时，每日运行4批次，</w:t>
            </w:r>
            <w:r>
              <w:rPr>
                <w:rFonts w:eastAsia="宋体"/>
                <w:color w:val="000000" w:themeColor="text1"/>
                <w14:textFill>
                  <w14:solidFill>
                    <w14:schemeClr w14:val="tx1"/>
                  </w14:solidFill>
                </w14:textFill>
              </w:rPr>
              <w:t>年工作3</w:t>
            </w:r>
            <w:r>
              <w:rPr>
                <w:rFonts w:hint="eastAsia" w:eastAsia="宋体"/>
                <w:color w:val="000000" w:themeColor="text1"/>
                <w14:textFill>
                  <w14:solidFill>
                    <w14:schemeClr w14:val="tx1"/>
                  </w14:solidFill>
                </w14:textFill>
              </w:rPr>
              <w:t>0</w:t>
            </w:r>
            <w:r>
              <w:rPr>
                <w:rFonts w:eastAsia="宋体"/>
                <w:color w:val="000000" w:themeColor="text1"/>
                <w14:textFill>
                  <w14:solidFill>
                    <w14:schemeClr w14:val="tx1"/>
                  </w14:solidFill>
                </w14:textFill>
              </w:rPr>
              <w:t>0d</w:t>
            </w:r>
            <w:r>
              <w:rPr>
                <w:rFonts w:hint="eastAsia" w:eastAsia="宋体"/>
                <w:color w:val="000000" w:themeColor="text1"/>
                <w14:textFill>
                  <w14:solidFill>
                    <w14:schemeClr w14:val="tx1"/>
                  </w14:solidFill>
                </w14:textFill>
              </w:rPr>
              <w:t>，</w:t>
            </w:r>
            <w:r>
              <w:rPr>
                <w:rFonts w:eastAsia="宋体"/>
                <w:color w:val="000000" w:themeColor="text1"/>
                <w14:textFill>
                  <w14:solidFill>
                    <w14:schemeClr w14:val="tx1"/>
                  </w14:solidFill>
                </w14:textFill>
              </w:rPr>
              <w:t>满负荷状态下可</w:t>
            </w:r>
            <w:r>
              <w:rPr>
                <w:rFonts w:hint="eastAsia" w:eastAsia="宋体"/>
                <w:color w:val="000000" w:themeColor="text1"/>
                <w14:textFill>
                  <w14:solidFill>
                    <w14:schemeClr w14:val="tx1"/>
                  </w14:solidFill>
                </w14:textFill>
              </w:rPr>
              <w:t>烘干球拍192万只/a，</w:t>
            </w:r>
            <w:r>
              <w:rPr>
                <w:rFonts w:eastAsia="宋体"/>
                <w:color w:val="000000" w:themeColor="text1"/>
                <w14:textFill>
                  <w14:solidFill>
                    <w14:schemeClr w14:val="tx1"/>
                  </w14:solidFill>
                </w14:textFill>
              </w:rPr>
              <w:t>满足年产1</w:t>
            </w:r>
            <w:r>
              <w:rPr>
                <w:rFonts w:hint="eastAsia" w:eastAsia="宋体"/>
                <w:color w:val="000000" w:themeColor="text1"/>
                <w14:textFill>
                  <w14:solidFill>
                    <w14:schemeClr w14:val="tx1"/>
                  </w14:solidFill>
                </w14:textFill>
              </w:rPr>
              <w:t>0</w:t>
            </w:r>
            <w:r>
              <w:rPr>
                <w:rFonts w:eastAsia="宋体"/>
                <w:color w:val="000000" w:themeColor="text1"/>
                <w14:textFill>
                  <w14:solidFill>
                    <w14:schemeClr w14:val="tx1"/>
                  </w14:solidFill>
                </w14:textFill>
              </w:rPr>
              <w:t>0万只羽毛球拍的产能。</w:t>
            </w:r>
          </w:p>
          <w:p w14:paraId="7E182D07">
            <w:pPr>
              <w:pStyle w:val="178"/>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5、人员及生产制度</w:t>
            </w:r>
          </w:p>
          <w:p w14:paraId="00844E99">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（1）劳动定员：本项目劳动定员</w:t>
            </w:r>
            <w:r>
              <w:rPr>
                <w:rFonts w:hint="eastAsia" w:eastAsia="宋体"/>
                <w:color w:val="000000" w:themeColor="text1"/>
                <w:lang w:val="en-US"/>
                <w14:textFill>
                  <w14:solidFill>
                    <w14:schemeClr w14:val="tx1"/>
                  </w14:solidFill>
                </w14:textFill>
              </w:rPr>
              <w:t>15</w:t>
            </w:r>
            <w:r>
              <w:rPr>
                <w:rFonts w:eastAsia="宋体"/>
                <w:color w:val="000000" w:themeColor="text1"/>
                <w14:textFill>
                  <w14:solidFill>
                    <w14:schemeClr w14:val="tx1"/>
                  </w14:solidFill>
                </w14:textFill>
              </w:rPr>
              <w:t>人，厂区不提供食宿。</w:t>
            </w:r>
          </w:p>
          <w:p w14:paraId="6EC7EA2B">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（2）工作制度：全年生产天数为3</w:t>
            </w:r>
            <w:r>
              <w:rPr>
                <w:rFonts w:hint="eastAsia" w:eastAsia="宋体"/>
                <w:color w:val="000000" w:themeColor="text1"/>
                <w14:textFill>
                  <w14:solidFill>
                    <w14:schemeClr w14:val="tx1"/>
                  </w14:solidFill>
                </w14:textFill>
              </w:rPr>
              <w:t>0</w:t>
            </w:r>
            <w:r>
              <w:rPr>
                <w:rFonts w:eastAsia="宋体"/>
                <w:color w:val="000000" w:themeColor="text1"/>
                <w14:textFill>
                  <w14:solidFill>
                    <w14:schemeClr w14:val="tx1"/>
                  </w14:solidFill>
                </w14:textFill>
              </w:rPr>
              <w:t>0天，每天工作一班，每班8小时。</w:t>
            </w:r>
          </w:p>
          <w:p w14:paraId="066F625F">
            <w:pPr>
              <w:pStyle w:val="178"/>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6、公用工程</w:t>
            </w:r>
          </w:p>
          <w:p w14:paraId="7A1D80FE">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（1）供电</w:t>
            </w:r>
          </w:p>
          <w:p w14:paraId="58EA901A">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项目用电由市政供配电系统供给，供电能力充足，可以满足项目生产用电。</w:t>
            </w:r>
          </w:p>
          <w:p w14:paraId="39A70ACA">
            <w:pPr>
              <w:pStyle w:val="178"/>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（2）给排水</w:t>
            </w:r>
          </w:p>
          <w:p w14:paraId="5855BCF3">
            <w:pPr>
              <w:pStyle w:val="178"/>
              <w:rPr>
                <w:rFonts w:eastAsiaTheme="minorEastAsia"/>
                <w:color w:val="000000" w:themeColor="text1"/>
                <w:szCs w:val="21"/>
                <w:lang w:val="en-US"/>
                <w14:textFill>
                  <w14:solidFill>
                    <w14:schemeClr w14:val="tx1"/>
                  </w14:solidFill>
                </w14:textFill>
              </w:rPr>
            </w:pPr>
            <w:r>
              <w:rPr>
                <w:rFonts w:eastAsiaTheme="minorEastAsia"/>
                <w:color w:val="000000" w:themeColor="text1"/>
                <w:szCs w:val="21"/>
                <w14:textFill>
                  <w14:solidFill>
                    <w14:schemeClr w14:val="tx1"/>
                  </w14:solidFill>
                </w14:textFill>
              </w:rPr>
              <w:t>给水：</w:t>
            </w:r>
            <w:r>
              <w:rPr>
                <w:rFonts w:eastAsia="宋体"/>
                <w:color w:val="000000" w:themeColor="text1"/>
                <w14:textFill>
                  <w14:solidFill>
                    <w14:schemeClr w14:val="tx1"/>
                  </w14:solidFill>
                </w14:textFill>
              </w:rPr>
              <w:t>项目</w:t>
            </w:r>
            <w:r>
              <w:rPr>
                <w:rFonts w:eastAsia="宋体"/>
                <w:color w:val="000000" w:themeColor="text1"/>
                <w:szCs w:val="21"/>
                <w14:textFill>
                  <w14:solidFill>
                    <w14:schemeClr w14:val="tx1"/>
                  </w14:solidFill>
                </w14:textFill>
              </w:rPr>
              <w:t>用水由</w:t>
            </w:r>
            <w:r>
              <w:rPr>
                <w:rFonts w:hint="eastAsia" w:eastAsia="宋体"/>
                <w:color w:val="000000" w:themeColor="text1"/>
                <w:szCs w:val="21"/>
                <w14:textFill>
                  <w14:solidFill>
                    <w14:schemeClr w14:val="tx1"/>
                  </w14:solidFill>
                </w14:textFill>
              </w:rPr>
              <w:t>市政供</w:t>
            </w:r>
            <w:r>
              <w:rPr>
                <w:rFonts w:eastAsia="宋体"/>
                <w:color w:val="000000" w:themeColor="text1"/>
                <w:szCs w:val="21"/>
                <w14:textFill>
                  <w14:solidFill>
                    <w14:schemeClr w14:val="tx1"/>
                  </w14:solidFill>
                </w14:textFill>
              </w:rPr>
              <w:t>水供给</w:t>
            </w:r>
            <w:r>
              <w:rPr>
                <w:rFonts w:eastAsiaTheme="minorEastAsia"/>
                <w:color w:val="000000" w:themeColor="text1"/>
                <w:szCs w:val="21"/>
                <w:lang w:val="en-US"/>
                <w14:textFill>
                  <w14:solidFill>
                    <w14:schemeClr w14:val="tx1"/>
                  </w14:solidFill>
                </w14:textFill>
              </w:rPr>
              <w:t>。项目用水为</w:t>
            </w:r>
            <w:r>
              <w:rPr>
                <w:rFonts w:hint="eastAsia" w:eastAsiaTheme="minorEastAsia"/>
                <w:color w:val="000000" w:themeColor="text1"/>
                <w:szCs w:val="21"/>
                <w:lang w:val="en-US"/>
                <w14:textFill>
                  <w14:solidFill>
                    <w14:schemeClr w14:val="tx1"/>
                  </w14:solidFill>
                </w14:textFill>
              </w:rPr>
              <w:t>水帘柜用水和</w:t>
            </w:r>
            <w:r>
              <w:rPr>
                <w:rFonts w:eastAsiaTheme="minorEastAsia"/>
                <w:color w:val="000000" w:themeColor="text1"/>
                <w:szCs w:val="21"/>
                <w:lang w:val="en-US"/>
                <w14:textFill>
                  <w14:solidFill>
                    <w14:schemeClr w14:val="tx1"/>
                  </w14:solidFill>
                </w14:textFill>
              </w:rPr>
              <w:t>生活用水</w:t>
            </w:r>
            <w:r>
              <w:rPr>
                <w:rFonts w:hint="eastAsia" w:eastAsiaTheme="minorEastAsia"/>
                <w:color w:val="000000" w:themeColor="text1"/>
                <w:szCs w:val="21"/>
                <w:lang w:val="en-US"/>
                <w14:textFill>
                  <w14:solidFill>
                    <w14:schemeClr w14:val="tx1"/>
                  </w14:solidFill>
                </w14:textFill>
              </w:rPr>
              <w:t>，项目产品无需进行清洗，项目地面采取扫把清扫的方式，无地面及产品清洗用水及废水</w:t>
            </w:r>
            <w:r>
              <w:rPr>
                <w:rFonts w:eastAsiaTheme="minorEastAsia"/>
                <w:color w:val="000000" w:themeColor="text1"/>
                <w:szCs w:val="21"/>
                <w:lang w:val="en-US"/>
                <w14:textFill>
                  <w14:solidFill>
                    <w14:schemeClr w14:val="tx1"/>
                  </w14:solidFill>
                </w14:textFill>
              </w:rPr>
              <w:t>。</w:t>
            </w:r>
          </w:p>
          <w:p w14:paraId="33C95AFA">
            <w:pPr>
              <w:pStyle w:val="178"/>
              <w:rPr>
                <w:rFonts w:ascii="Cambria Math" w:hAnsi="Cambria Math" w:eastAsia="宋体" w:cs="Cambria Math"/>
                <w:color w:val="000000" w:themeColor="text1"/>
                <w:lang w:val="en-US"/>
                <w14:textFill>
                  <w14:solidFill>
                    <w14:schemeClr w14:val="tx1"/>
                  </w14:solidFill>
                </w14:textFill>
              </w:rPr>
            </w:pPr>
            <w:r>
              <w:rPr>
                <w:rFonts w:ascii="Cambria Math" w:hAnsi="Cambria Math" w:eastAsia="宋体" w:cs="Cambria Math"/>
                <w:color w:val="000000" w:themeColor="text1"/>
                <w:lang w:val="en-US"/>
                <w14:textFill>
                  <w14:solidFill>
                    <w14:schemeClr w14:val="tx1"/>
                  </w14:solidFill>
                </w14:textFill>
              </w:rPr>
              <w:t>①</w:t>
            </w:r>
            <w:r>
              <w:rPr>
                <w:rFonts w:hint="eastAsia" w:ascii="Cambria Math" w:hAnsi="Cambria Math" w:eastAsia="宋体" w:cs="Cambria Math"/>
                <w:color w:val="000000" w:themeColor="text1"/>
                <w:lang w:val="en-US"/>
                <w14:textFill>
                  <w14:solidFill>
                    <w14:schemeClr w14:val="tx1"/>
                  </w14:solidFill>
                </w14:textFill>
              </w:rPr>
              <w:t>水帘柜用水</w:t>
            </w:r>
          </w:p>
          <w:p w14:paraId="6EE852A2">
            <w:pPr>
              <w:pStyle w:val="178"/>
              <w:rPr>
                <w:rFonts w:hint="eastAsia" w:hAnsi="宋体" w:eastAsia="宋体"/>
                <w:color w:val="000000" w:themeColor="text1"/>
                <w14:textFill>
                  <w14:solidFill>
                    <w14:schemeClr w14:val="tx1"/>
                  </w14:solidFill>
                </w14:textFill>
              </w:rPr>
            </w:pPr>
            <w:r>
              <w:rPr>
                <w:rFonts w:hint="eastAsia" w:hAnsi="宋体" w:eastAsia="宋体"/>
                <w:color w:val="000000" w:themeColor="text1"/>
                <w14:textFill>
                  <w14:solidFill>
                    <w14:schemeClr w14:val="tx1"/>
                  </w14:solidFill>
                </w14:textFill>
              </w:rPr>
              <w:t>项目喷漆房采用水帘柜+过滤棉对漆雾进行净化处理。</w:t>
            </w:r>
            <w:r>
              <w:rPr>
                <w:rFonts w:hAnsi="宋体" w:eastAsia="宋体"/>
                <w:color w:val="000000" w:themeColor="text1"/>
                <w14:textFill>
                  <w14:solidFill>
                    <w14:schemeClr w14:val="tx1"/>
                  </w14:solidFill>
                </w14:textFill>
              </w:rPr>
              <w:t>喷</w:t>
            </w:r>
            <w:r>
              <w:rPr>
                <w:rFonts w:hint="eastAsia" w:hAnsi="宋体" w:eastAsia="宋体"/>
                <w:color w:val="000000" w:themeColor="text1"/>
                <w14:textFill>
                  <w14:solidFill>
                    <w14:schemeClr w14:val="tx1"/>
                  </w14:solidFill>
                </w14:textFill>
              </w:rPr>
              <w:t>漆</w:t>
            </w:r>
            <w:r>
              <w:rPr>
                <w:rFonts w:hAnsi="宋体" w:eastAsia="宋体"/>
                <w:color w:val="000000" w:themeColor="text1"/>
                <w14:textFill>
                  <w14:solidFill>
                    <w14:schemeClr w14:val="tx1"/>
                  </w14:solidFill>
                </w14:textFill>
              </w:rPr>
              <w:t>作业</w:t>
            </w:r>
            <w:r>
              <w:rPr>
                <w:rFonts w:hint="eastAsia" w:hAnsi="宋体" w:eastAsia="宋体"/>
                <w:color w:val="000000" w:themeColor="text1"/>
                <w14:textFill>
                  <w14:solidFill>
                    <w14:schemeClr w14:val="tx1"/>
                  </w14:solidFill>
                </w14:textFill>
              </w:rPr>
              <w:t>过程中</w:t>
            </w:r>
            <w:r>
              <w:rPr>
                <w:rFonts w:hAnsi="宋体" w:eastAsia="宋体"/>
                <w:color w:val="000000" w:themeColor="text1"/>
                <w14:textFill>
                  <w14:solidFill>
                    <w14:schemeClr w14:val="tx1"/>
                  </w14:solidFill>
                </w14:textFill>
              </w:rPr>
              <w:t>，飞散的漆</w:t>
            </w:r>
            <w:r>
              <w:rPr>
                <w:rFonts w:hint="eastAsia" w:hAnsi="宋体" w:eastAsia="宋体"/>
                <w:color w:val="000000" w:themeColor="text1"/>
                <w14:textFill>
                  <w14:solidFill>
                    <w14:schemeClr w14:val="tx1"/>
                  </w14:solidFill>
                </w14:textFill>
              </w:rPr>
              <w:t>雾</w:t>
            </w:r>
            <w:r>
              <w:rPr>
                <w:rFonts w:hAnsi="宋体" w:eastAsia="宋体"/>
                <w:color w:val="000000" w:themeColor="text1"/>
                <w14:textFill>
                  <w14:solidFill>
                    <w14:schemeClr w14:val="tx1"/>
                  </w14:solidFill>
                </w14:textFill>
              </w:rPr>
              <w:t>随气流吸引至水幕净化</w:t>
            </w:r>
            <w:r>
              <w:rPr>
                <w:rFonts w:hint="eastAsia" w:hAnsi="宋体" w:eastAsia="宋体"/>
                <w:color w:val="000000" w:themeColor="text1"/>
                <w14:textFill>
                  <w14:solidFill>
                    <w14:schemeClr w14:val="tx1"/>
                  </w14:solidFill>
                </w14:textFill>
              </w:rPr>
              <w:t>，</w:t>
            </w:r>
            <w:r>
              <w:rPr>
                <w:rFonts w:hAnsi="宋体" w:eastAsia="宋体"/>
                <w:color w:val="000000" w:themeColor="text1"/>
                <w14:textFill>
                  <w14:solidFill>
                    <w14:schemeClr w14:val="tx1"/>
                  </w14:solidFill>
                </w14:textFill>
              </w:rPr>
              <w:t>由水幕捕捉到的漆雾随水流泻入水</w:t>
            </w:r>
            <w:r>
              <w:rPr>
                <w:rFonts w:hint="eastAsia" w:hAnsi="宋体" w:eastAsia="宋体"/>
                <w:color w:val="000000" w:themeColor="text1"/>
                <w14:textFill>
                  <w14:solidFill>
                    <w14:schemeClr w14:val="tx1"/>
                  </w14:solidFill>
                </w14:textFill>
              </w:rPr>
              <w:t>帘</w:t>
            </w:r>
            <w:r>
              <w:rPr>
                <w:rFonts w:hAnsi="宋体" w:eastAsia="宋体"/>
                <w:color w:val="000000" w:themeColor="text1"/>
                <w14:textFill>
                  <w14:solidFill>
                    <w14:schemeClr w14:val="tx1"/>
                  </w14:solidFill>
                </w14:textFill>
              </w:rPr>
              <w:t>池</w:t>
            </w:r>
            <w:r>
              <w:rPr>
                <w:rFonts w:hint="eastAsia" w:hAnsi="宋体" w:eastAsia="宋体"/>
                <w:color w:val="000000" w:themeColor="text1"/>
                <w14:textFill>
                  <w14:solidFill>
                    <w14:schemeClr w14:val="tx1"/>
                  </w14:solidFill>
                </w14:textFill>
              </w:rPr>
              <w:t>（水池水量合计约4m</w:t>
            </w:r>
            <w:r>
              <w:rPr>
                <w:rFonts w:hint="eastAsia" w:hAnsi="宋体" w:eastAsia="宋体"/>
                <w:color w:val="000000" w:themeColor="text1"/>
                <w:vertAlign w:val="superscript"/>
                <w14:textFill>
                  <w14:solidFill>
                    <w14:schemeClr w14:val="tx1"/>
                  </w14:solidFill>
                </w14:textFill>
              </w:rPr>
              <w:t>3</w:t>
            </w:r>
            <w:r>
              <w:rPr>
                <w:rFonts w:hint="eastAsia" w:hAnsi="宋体" w:eastAsia="宋体"/>
                <w:color w:val="000000" w:themeColor="text1"/>
                <w14:textFill>
                  <w14:solidFill>
                    <w14:schemeClr w14:val="tx1"/>
                  </w14:solidFill>
                </w14:textFill>
              </w:rPr>
              <w:t>）中</w:t>
            </w:r>
            <w:r>
              <w:rPr>
                <w:rFonts w:hAnsi="宋体" w:eastAsia="宋体"/>
                <w:color w:val="000000" w:themeColor="text1"/>
                <w14:textFill>
                  <w14:solidFill>
                    <w14:schemeClr w14:val="tx1"/>
                  </w14:solidFill>
                </w14:textFill>
              </w:rPr>
              <w:t>，经水泵</w:t>
            </w:r>
            <w:r>
              <w:rPr>
                <w:rFonts w:hint="eastAsia" w:hAnsi="宋体" w:eastAsia="宋体"/>
                <w:color w:val="000000" w:themeColor="text1"/>
                <w14:textFill>
                  <w14:solidFill>
                    <w14:schemeClr w14:val="tx1"/>
                  </w14:solidFill>
                </w14:textFill>
              </w:rPr>
              <w:t>1</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Ansi="宋体" w:eastAsia="宋体"/>
                <w:color w:val="000000" w:themeColor="text1"/>
                <w14:textFill>
                  <w14:solidFill>
                    <w14:schemeClr w14:val="tx1"/>
                  </w14:solidFill>
                </w14:textFill>
              </w:rPr>
              <w:t>/h（</w:t>
            </w:r>
            <w:r>
              <w:rPr>
                <w:rFonts w:hint="eastAsia" w:hAnsi="宋体" w:eastAsia="宋体"/>
                <w:color w:val="000000" w:themeColor="text1"/>
                <w14:textFill>
                  <w14:solidFill>
                    <w14:schemeClr w14:val="tx1"/>
                  </w14:solidFill>
                </w14:textFill>
              </w:rPr>
              <w:t>8</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Ansi="宋体" w:eastAsia="宋体"/>
                <w:color w:val="000000" w:themeColor="text1"/>
                <w14:textFill>
                  <w14:solidFill>
                    <w14:schemeClr w14:val="tx1"/>
                  </w14:solidFill>
                </w14:textFill>
              </w:rPr>
              <w:t>/d</w:t>
            </w:r>
            <w:r>
              <w:rPr>
                <w:rFonts w:hint="eastAsia" w:hAnsi="宋体" w:eastAsia="宋体"/>
                <w:color w:val="000000" w:themeColor="text1"/>
                <w14:textFill>
                  <w14:solidFill>
                    <w14:schemeClr w14:val="tx1"/>
                  </w14:solidFill>
                </w14:textFill>
              </w:rPr>
              <w:t>、2400</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Ansi="宋体" w:eastAsia="宋体"/>
                <w:color w:val="000000" w:themeColor="text1"/>
                <w14:textFill>
                  <w14:solidFill>
                    <w14:schemeClr w14:val="tx1"/>
                  </w14:solidFill>
                </w14:textFill>
              </w:rPr>
              <w:t>/</w:t>
            </w:r>
            <w:r>
              <w:rPr>
                <w:rFonts w:hint="eastAsia" w:hAnsi="宋体" w:eastAsia="宋体"/>
                <w:color w:val="000000" w:themeColor="text1"/>
                <w14:textFill>
                  <w14:solidFill>
                    <w14:schemeClr w14:val="tx1"/>
                  </w14:solidFill>
                </w14:textFill>
              </w:rPr>
              <w:t>a</w:t>
            </w:r>
            <w:r>
              <w:rPr>
                <w:rFonts w:hAnsi="宋体" w:eastAsia="宋体"/>
                <w:color w:val="000000" w:themeColor="text1"/>
                <w14:textFill>
                  <w14:solidFill>
                    <w14:schemeClr w14:val="tx1"/>
                  </w14:solidFill>
                </w14:textFill>
              </w:rPr>
              <w:t>）抽吸过滤，油漆残渣浮于</w:t>
            </w:r>
            <w:r>
              <w:rPr>
                <w:rFonts w:hint="eastAsia" w:hAnsi="宋体" w:eastAsia="宋体"/>
                <w:color w:val="000000" w:themeColor="text1"/>
                <w14:textFill>
                  <w14:solidFill>
                    <w14:schemeClr w14:val="tx1"/>
                  </w14:solidFill>
                </w14:textFill>
              </w:rPr>
              <w:t>水面</w:t>
            </w:r>
            <w:r>
              <w:rPr>
                <w:rFonts w:hAnsi="宋体" w:eastAsia="宋体"/>
                <w:color w:val="000000" w:themeColor="text1"/>
                <w14:textFill>
                  <w14:solidFill>
                    <w14:schemeClr w14:val="tx1"/>
                  </w14:solidFill>
                </w14:textFill>
              </w:rPr>
              <w:t>，然后用盛器</w:t>
            </w:r>
            <w:r>
              <w:rPr>
                <w:rFonts w:hint="eastAsia" w:hAnsi="宋体" w:eastAsia="宋体"/>
                <w:color w:val="000000" w:themeColor="text1"/>
                <w14:textFill>
                  <w14:solidFill>
                    <w14:schemeClr w14:val="tx1"/>
                  </w14:solidFill>
                </w14:textFill>
              </w:rPr>
              <w:t>舀</w:t>
            </w:r>
            <w:r>
              <w:rPr>
                <w:rFonts w:hAnsi="宋体" w:eastAsia="宋体"/>
                <w:color w:val="000000" w:themeColor="text1"/>
                <w14:textFill>
                  <w14:solidFill>
                    <w14:schemeClr w14:val="tx1"/>
                  </w14:solidFill>
                </w14:textFill>
              </w:rPr>
              <w:t>出集中处理。打捞沉渣后</w:t>
            </w:r>
            <w:r>
              <w:rPr>
                <w:rFonts w:hint="eastAsia" w:hAnsi="宋体" w:eastAsia="宋体"/>
                <w:color w:val="000000" w:themeColor="text1"/>
                <w14:textFill>
                  <w14:solidFill>
                    <w14:schemeClr w14:val="tx1"/>
                  </w14:solidFill>
                </w14:textFill>
              </w:rPr>
              <w:t>的</w:t>
            </w:r>
            <w:r>
              <w:rPr>
                <w:rFonts w:hAnsi="宋体" w:eastAsia="宋体"/>
                <w:color w:val="000000" w:themeColor="text1"/>
                <w14:textFill>
                  <w14:solidFill>
                    <w14:schemeClr w14:val="tx1"/>
                  </w14:solidFill>
                </w14:textFill>
              </w:rPr>
              <w:t>喷漆水循环使用，适时补充，不对外排放。</w:t>
            </w:r>
            <w:r>
              <w:rPr>
                <w:rFonts w:hint="eastAsia" w:hAnsi="宋体" w:eastAsia="宋体"/>
                <w:color w:val="000000" w:themeColor="text1"/>
                <w14:textFill>
                  <w14:solidFill>
                    <w14:schemeClr w14:val="tx1"/>
                  </w14:solidFill>
                </w14:textFill>
              </w:rPr>
              <w:t>循环水循环使用过程中会发生一定的损耗</w:t>
            </w:r>
            <w:r>
              <w:rPr>
                <w:rFonts w:hAnsi="宋体" w:eastAsia="宋体"/>
                <w:color w:val="000000" w:themeColor="text1"/>
                <w14:textFill>
                  <w14:solidFill>
                    <w14:schemeClr w14:val="tx1"/>
                  </w14:solidFill>
                </w14:textFill>
              </w:rPr>
              <w:t>，</w:t>
            </w:r>
            <w:r>
              <w:rPr>
                <w:rFonts w:hint="eastAsia" w:hAnsi="宋体" w:eastAsia="宋体"/>
                <w:color w:val="000000" w:themeColor="text1"/>
                <w14:textFill>
                  <w14:solidFill>
                    <w14:schemeClr w14:val="tx1"/>
                  </w14:solidFill>
                </w14:textFill>
              </w:rPr>
              <w:t>根据建设单位提供资料，补充用水约占循环水池容量的5%，每天补充一次，则</w:t>
            </w:r>
            <w:r>
              <w:rPr>
                <w:rFonts w:hAnsi="宋体" w:eastAsia="宋体"/>
                <w:color w:val="000000" w:themeColor="text1"/>
                <w14:textFill>
                  <w14:solidFill>
                    <w14:schemeClr w14:val="tx1"/>
                  </w14:solidFill>
                </w14:textFill>
              </w:rPr>
              <w:t>年补充水量为</w:t>
            </w:r>
            <w:r>
              <w:rPr>
                <w:rFonts w:hint="eastAsia" w:hAnsi="宋体" w:eastAsia="宋体"/>
                <w:color w:val="000000" w:themeColor="text1"/>
                <w14:textFill>
                  <w14:solidFill>
                    <w14:schemeClr w14:val="tx1"/>
                  </w14:solidFill>
                </w14:textFill>
              </w:rPr>
              <w:t>60m</w:t>
            </w:r>
            <w:r>
              <w:rPr>
                <w:rFonts w:hint="eastAsia" w:hAnsi="宋体" w:eastAsia="宋体"/>
                <w:color w:val="000000" w:themeColor="text1"/>
                <w:vertAlign w:val="superscript"/>
                <w14:textFill>
                  <w14:solidFill>
                    <w14:schemeClr w14:val="tx1"/>
                  </w14:solidFill>
                </w14:textFill>
              </w:rPr>
              <w:t>3</w:t>
            </w:r>
            <w:r>
              <w:rPr>
                <w:rFonts w:hAnsi="宋体" w:eastAsia="宋体"/>
                <w:color w:val="000000" w:themeColor="text1"/>
                <w14:textFill>
                  <w14:solidFill>
                    <w14:schemeClr w14:val="tx1"/>
                  </w14:solidFill>
                </w14:textFill>
              </w:rPr>
              <w:t>/a。</w:t>
            </w:r>
          </w:p>
          <w:p w14:paraId="596C0226">
            <w:pPr>
              <w:pStyle w:val="178"/>
              <w:rPr>
                <w:rFonts w:eastAsia="宋体"/>
                <w:color w:val="000000" w:themeColor="text1"/>
                <w:spacing w:val="4"/>
                <w:kern w:val="0"/>
                <w:lang w:val="en-US"/>
                <w14:textFill>
                  <w14:solidFill>
                    <w14:schemeClr w14:val="tx1"/>
                  </w14:solidFill>
                </w14:textFill>
              </w:rPr>
            </w:pPr>
            <w:r>
              <w:rPr>
                <w:rFonts w:hint="eastAsia" w:hAnsi="宋体" w:eastAsia="宋体"/>
                <w:color w:val="000000" w:themeColor="text1"/>
                <w14:textFill>
                  <w14:solidFill>
                    <w14:schemeClr w14:val="tx1"/>
                  </w14:solidFill>
                </w14:textFill>
              </w:rPr>
              <w:t>正常</w:t>
            </w:r>
            <w:r>
              <w:rPr>
                <w:rFonts w:hint="eastAsia" w:eastAsia="宋体"/>
                <w:color w:val="000000" w:themeColor="text1"/>
                <w:szCs w:val="21"/>
                <w14:textFill>
                  <w14:solidFill>
                    <w14:schemeClr w14:val="tx1"/>
                  </w14:solidFill>
                </w14:textFill>
              </w:rPr>
              <w:t>情况</w:t>
            </w:r>
            <w:r>
              <w:rPr>
                <w:rFonts w:hint="eastAsia" w:hAnsi="宋体" w:eastAsia="宋体"/>
                <w:color w:val="000000" w:themeColor="text1"/>
                <w14:textFill>
                  <w14:solidFill>
                    <w14:schemeClr w14:val="tx1"/>
                  </w14:solidFill>
                </w14:textFill>
              </w:rPr>
              <w:t>下水池水量4m</w:t>
            </w:r>
            <w:r>
              <w:rPr>
                <w:rFonts w:hint="eastAsia" w:hAnsi="宋体" w:eastAsia="宋体"/>
                <w:color w:val="000000" w:themeColor="text1"/>
                <w:vertAlign w:val="superscript"/>
                <w14:textFill>
                  <w14:solidFill>
                    <w14:schemeClr w14:val="tx1"/>
                  </w14:solidFill>
                </w14:textFill>
              </w:rPr>
              <w:t>3</w:t>
            </w:r>
            <w:r>
              <w:rPr>
                <w:rFonts w:hint="eastAsia" w:hAnsi="宋体" w:eastAsia="宋体"/>
                <w:color w:val="000000" w:themeColor="text1"/>
                <w14:textFill>
                  <w14:solidFill>
                    <w14:schemeClr w14:val="tx1"/>
                  </w14:solidFill>
                </w14:textFill>
              </w:rPr>
              <w:t>，循环水中含漆雾废渣，根据类似企业的实际生产经验，循环使用长时间后，水池中漆渣会越积越多（漆渣会沉淀于水池底部），水质不能达到要求，则需要进行更换。经建设单位提供资料，水帘废水更换频次为每半年更换一次，更换时不注入新鲜水，待到循环水池容积的40%时更换掉，即每次更换废水量约1.6</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int="eastAsia" w:hAnsi="宋体" w:eastAsia="宋体"/>
                <w:color w:val="000000" w:themeColor="text1"/>
                <w14:textFill>
                  <w14:solidFill>
                    <w14:schemeClr w14:val="tx1"/>
                  </w14:solidFill>
                </w14:textFill>
              </w:rPr>
              <w:t>，则年产生水帘废水约3.2</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int="eastAsia" w:hAnsi="宋体" w:eastAsia="宋体"/>
                <w:color w:val="000000" w:themeColor="text1"/>
                <w14:textFill>
                  <w14:solidFill>
                    <w14:schemeClr w14:val="tx1"/>
                  </w14:solidFill>
                </w14:textFill>
              </w:rPr>
              <w:t>。水帘废水含有漆渣，该部分废水作为危险废物由资质单位统一处理，严禁直接外排进入污水管网及地表水体。</w:t>
            </w:r>
          </w:p>
          <w:p w14:paraId="6D999145">
            <w:pPr>
              <w:pStyle w:val="178"/>
              <w:rPr>
                <w:rFonts w:eastAsia="宋体"/>
                <w:color w:val="000000" w:themeColor="text1"/>
                <w14:textFill>
                  <w14:solidFill>
                    <w14:schemeClr w14:val="tx1"/>
                  </w14:solidFill>
                </w14:textFill>
              </w:rPr>
            </w:pPr>
            <w:r>
              <w:rPr>
                <w:rFonts w:hint="eastAsia" w:ascii="Cambria Math" w:hAnsi="Cambria Math" w:eastAsia="宋体" w:cs="Cambria Math"/>
                <w:color w:val="000000" w:themeColor="text1"/>
                <w:lang w:val="en-US"/>
                <w14:textFill>
                  <w14:solidFill>
                    <w14:schemeClr w14:val="tx1"/>
                  </w14:solidFill>
                </w14:textFill>
              </w:rPr>
              <w:t>②</w:t>
            </w:r>
            <w:r>
              <w:rPr>
                <w:rFonts w:eastAsia="宋体"/>
                <w:color w:val="000000" w:themeColor="text1"/>
                <w14:textFill>
                  <w14:solidFill>
                    <w14:schemeClr w14:val="tx1"/>
                  </w14:solidFill>
                </w14:textFill>
              </w:rPr>
              <w:t>生活用水</w:t>
            </w:r>
          </w:p>
          <w:p w14:paraId="497F1F5E">
            <w:pPr>
              <w:pStyle w:val="178"/>
              <w:rPr>
                <w:rFonts w:eastAsia="宋体"/>
                <w:color w:val="000000" w:themeColor="text1"/>
                <w:kern w:val="0"/>
                <w:lang w:val="en-US"/>
                <w14:textFill>
                  <w14:solidFill>
                    <w14:schemeClr w14:val="tx1"/>
                  </w14:solidFill>
                </w14:textFill>
              </w:rPr>
            </w:pPr>
            <w:r>
              <w:rPr>
                <w:rFonts w:hint="eastAsia" w:eastAsia="宋体"/>
                <w:color w:val="000000" w:themeColor="text1"/>
                <w:kern w:val="0"/>
                <w:lang w:val="en-US"/>
                <w14:textFill>
                  <w14:solidFill>
                    <w14:schemeClr w14:val="tx1"/>
                  </w14:solidFill>
                </w14:textFill>
              </w:rPr>
              <w:t>运营期间，项目劳动定员15人，年生产天数300d，厂区不提供食宿，《生活及服务业用水定额第 2 部分：服务业、居民生活和建筑业》（赣府发〔2024〕17号），员工生活用水量按120L/（人·d）计，则项目生活用水量540m</w:t>
            </w:r>
            <w:r>
              <w:rPr>
                <w:rFonts w:hint="eastAsia" w:eastAsia="宋体"/>
                <w:color w:val="000000" w:themeColor="text1"/>
                <w:kern w:val="0"/>
                <w:vertAlign w:val="superscript"/>
                <w:lang w:val="en-US"/>
                <w14:textFill>
                  <w14:solidFill>
                    <w14:schemeClr w14:val="tx1"/>
                  </w14:solidFill>
                </w14:textFill>
              </w:rPr>
              <w:t>3</w:t>
            </w:r>
            <w:r>
              <w:rPr>
                <w:rFonts w:hint="eastAsia" w:eastAsia="宋体"/>
                <w:color w:val="000000" w:themeColor="text1"/>
                <w:kern w:val="0"/>
                <w:lang w:val="en-US"/>
                <w14:textFill>
                  <w14:solidFill>
                    <w14:schemeClr w14:val="tx1"/>
                  </w14:solidFill>
                </w14:textFill>
              </w:rPr>
              <w:t>/a（1.8m</w:t>
            </w:r>
            <w:r>
              <w:rPr>
                <w:rFonts w:hint="eastAsia" w:eastAsia="宋体"/>
                <w:color w:val="000000" w:themeColor="text1"/>
                <w:kern w:val="0"/>
                <w:vertAlign w:val="superscript"/>
                <w:lang w:val="en-US"/>
                <w14:textFill>
                  <w14:solidFill>
                    <w14:schemeClr w14:val="tx1"/>
                  </w14:solidFill>
                </w14:textFill>
              </w:rPr>
              <w:t>3</w:t>
            </w:r>
            <w:r>
              <w:rPr>
                <w:rFonts w:hint="eastAsia" w:eastAsia="宋体"/>
                <w:color w:val="000000" w:themeColor="text1"/>
                <w:kern w:val="0"/>
                <w:lang w:val="en-US"/>
                <w14:textFill>
                  <w14:solidFill>
                    <w14:schemeClr w14:val="tx1"/>
                  </w14:solidFill>
                </w14:textFill>
              </w:rPr>
              <w:t>/d），排放系数以0.8计，则生活污水产生量为432m</w:t>
            </w:r>
            <w:r>
              <w:rPr>
                <w:rFonts w:hint="eastAsia" w:eastAsia="宋体"/>
                <w:color w:val="000000" w:themeColor="text1"/>
                <w:kern w:val="0"/>
                <w:vertAlign w:val="superscript"/>
                <w:lang w:val="en-US"/>
                <w14:textFill>
                  <w14:solidFill>
                    <w14:schemeClr w14:val="tx1"/>
                  </w14:solidFill>
                </w14:textFill>
              </w:rPr>
              <w:t>3</w:t>
            </w:r>
            <w:r>
              <w:rPr>
                <w:rFonts w:hint="eastAsia" w:eastAsia="宋体"/>
                <w:color w:val="000000" w:themeColor="text1"/>
                <w:kern w:val="0"/>
                <w:lang w:val="en-US"/>
                <w14:textFill>
                  <w14:solidFill>
                    <w14:schemeClr w14:val="tx1"/>
                  </w14:solidFill>
                </w14:textFill>
              </w:rPr>
              <w:t>/a（1.44m</w:t>
            </w:r>
            <w:r>
              <w:rPr>
                <w:rFonts w:hint="eastAsia" w:eastAsia="宋体"/>
                <w:color w:val="000000" w:themeColor="text1"/>
                <w:kern w:val="0"/>
                <w:vertAlign w:val="superscript"/>
                <w:lang w:val="en-US"/>
                <w14:textFill>
                  <w14:solidFill>
                    <w14:schemeClr w14:val="tx1"/>
                  </w14:solidFill>
                </w14:textFill>
              </w:rPr>
              <w:t>3</w:t>
            </w:r>
            <w:r>
              <w:rPr>
                <w:rFonts w:hint="eastAsia" w:eastAsia="宋体"/>
                <w:color w:val="000000" w:themeColor="text1"/>
                <w:kern w:val="0"/>
                <w:lang w:val="en-US"/>
                <w14:textFill>
                  <w14:solidFill>
                    <w14:schemeClr w14:val="tx1"/>
                  </w14:solidFill>
                </w14:textFill>
              </w:rPr>
              <w:t>/d）。生活污水经化粪池处理后，定期清掏用于周边林地灌溉，不外排。</w:t>
            </w:r>
          </w:p>
          <w:p w14:paraId="39A9C3DC">
            <w:pPr>
              <w:pStyle w:val="178"/>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排水：</w:t>
            </w:r>
            <w:r>
              <w:rPr>
                <w:rFonts w:eastAsia="宋体"/>
                <w:color w:val="000000" w:themeColor="text1"/>
                <w:szCs w:val="21"/>
                <w14:textFill>
                  <w14:solidFill>
                    <w14:schemeClr w14:val="tx1"/>
                  </w14:solidFill>
                </w14:textFill>
              </w:rPr>
              <w:t>本项目</w:t>
            </w:r>
            <w:r>
              <w:rPr>
                <w:rFonts w:hint="eastAsia" w:eastAsia="宋体"/>
                <w:color w:val="000000" w:themeColor="text1"/>
                <w:szCs w:val="21"/>
                <w14:textFill>
                  <w14:solidFill>
                    <w14:schemeClr w14:val="tx1"/>
                  </w14:solidFill>
                </w14:textFill>
              </w:rPr>
              <w:t>水帘</w:t>
            </w:r>
            <w:r>
              <w:rPr>
                <w:rFonts w:eastAsia="宋体"/>
                <w:color w:val="000000" w:themeColor="text1"/>
                <w:szCs w:val="21"/>
                <w14:textFill>
                  <w14:solidFill>
                    <w14:schemeClr w14:val="tx1"/>
                  </w14:solidFill>
                </w14:textFill>
              </w:rPr>
              <w:t>废水</w:t>
            </w:r>
            <w:r>
              <w:rPr>
                <w:rFonts w:hint="eastAsia" w:eastAsia="宋体"/>
                <w:color w:val="000000" w:themeColor="text1"/>
                <w:szCs w:val="21"/>
                <w14:textFill>
                  <w14:solidFill>
                    <w14:schemeClr w14:val="tx1"/>
                  </w14:solidFill>
                </w14:textFill>
              </w:rPr>
              <w:t>作为危废处置</w:t>
            </w:r>
            <w:r>
              <w:rPr>
                <w:rFonts w:eastAsia="宋体"/>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经化粪池处理后，定期清掏</w:t>
            </w:r>
            <w:r>
              <w:rPr>
                <w:rFonts w:hint="eastAsia" w:eastAsiaTheme="minorEastAsia"/>
                <w:color w:val="000000" w:themeColor="text1"/>
                <w:szCs w:val="21"/>
                <w14:textFill>
                  <w14:solidFill>
                    <w14:schemeClr w14:val="tx1"/>
                  </w14:solidFill>
                </w14:textFill>
              </w:rPr>
              <w:t>用于周边林地灌溉</w:t>
            </w:r>
            <w:r>
              <w:rPr>
                <w:rFonts w:eastAsiaTheme="minorEastAsia"/>
                <w:color w:val="000000" w:themeColor="text1"/>
                <w:szCs w:val="21"/>
                <w14:textFill>
                  <w14:solidFill>
                    <w14:schemeClr w14:val="tx1"/>
                  </w14:solidFill>
                </w14:textFill>
              </w:rPr>
              <w:t>，不外排。</w:t>
            </w:r>
          </w:p>
          <w:p w14:paraId="40CBAE28">
            <w:pPr>
              <w:pStyle w:val="180"/>
              <w:spacing w:line="240" w:lineRule="auto"/>
              <w:rPr>
                <w:rFonts w:eastAsiaTheme="minorEastAsia"/>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098415" cy="1914525"/>
                  <wp:effectExtent l="0" t="0" r="6985" b="0"/>
                  <wp:docPr id="731837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837999" name="图片 1"/>
                          <pic:cNvPicPr>
                            <a:picLocks noChangeAspect="1"/>
                          </pic:cNvPicPr>
                        </pic:nvPicPr>
                        <pic:blipFill>
                          <a:blip r:embed="rId12"/>
                          <a:stretch>
                            <a:fillRect/>
                          </a:stretch>
                        </pic:blipFill>
                        <pic:spPr>
                          <a:xfrm>
                            <a:off x="0" y="0"/>
                            <a:ext cx="5100991" cy="1915266"/>
                          </a:xfrm>
                          <a:prstGeom prst="rect">
                            <a:avLst/>
                          </a:prstGeom>
                        </pic:spPr>
                      </pic:pic>
                    </a:graphicData>
                  </a:graphic>
                </wp:inline>
              </w:drawing>
            </w:r>
          </w:p>
          <w:p w14:paraId="60E50933">
            <w:pPr>
              <w:pStyle w:val="180"/>
              <w:spacing w:line="240" w:lineRule="auto"/>
              <w:rPr>
                <w:bCs/>
                <w:color w:val="000000" w:themeColor="text1"/>
                <w14:textFill>
                  <w14:solidFill>
                    <w14:schemeClr w14:val="tx1"/>
                  </w14:solidFill>
                </w14:textFill>
              </w:rPr>
            </w:pPr>
            <w:r>
              <w:rPr>
                <w:rFonts w:eastAsiaTheme="minorEastAsia"/>
                <w:color w:val="000000" w:themeColor="text1"/>
                <w14:textFill>
                  <w14:solidFill>
                    <w14:schemeClr w14:val="tx1"/>
                  </w14:solidFill>
                </w14:textFill>
              </w:rPr>
              <w:t xml:space="preserve">图2-1  项目水平衡图  </w:t>
            </w:r>
            <w:r>
              <w:rPr>
                <w:bCs/>
                <w:color w:val="000000" w:themeColor="text1"/>
                <w14:textFill>
                  <w14:solidFill>
                    <w14:schemeClr w14:val="tx1"/>
                  </w14:solidFill>
                </w14:textFill>
              </w:rPr>
              <w:t>（单位：m</w:t>
            </w:r>
            <w:r>
              <w:rPr>
                <w:bCs/>
                <w:color w:val="000000" w:themeColor="text1"/>
                <w:vertAlign w:val="superscript"/>
                <w14:textFill>
                  <w14:solidFill>
                    <w14:schemeClr w14:val="tx1"/>
                  </w14:solidFill>
                </w14:textFill>
              </w:rPr>
              <w:t>3</w:t>
            </w:r>
            <w:r>
              <w:rPr>
                <w:bCs/>
                <w:color w:val="000000" w:themeColor="text1"/>
                <w14:textFill>
                  <w14:solidFill>
                    <w14:schemeClr w14:val="tx1"/>
                  </w14:solidFill>
                </w14:textFill>
              </w:rPr>
              <w:t>/a）</w:t>
            </w:r>
          </w:p>
          <w:p w14:paraId="4D9ECD1B">
            <w:pPr>
              <w:pStyle w:val="178"/>
              <w:ind w:left="420" w:firstLine="0" w:firstLineChars="0"/>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7、平面布局情况</w:t>
            </w:r>
          </w:p>
          <w:p w14:paraId="602F6E02">
            <w:pPr>
              <w:pStyle w:val="159"/>
              <w:rPr>
                <w:rFonts w:eastAsiaTheme="minorEastAsia"/>
              </w:rPr>
            </w:pPr>
            <w:r>
              <w:t>项目根据工艺布置要求，结合生产车间情况，区分为机加工区、喷漆</w:t>
            </w:r>
            <w:r>
              <w:rPr>
                <w:rFonts w:hint="eastAsia"/>
              </w:rPr>
              <w:t>房、</w:t>
            </w:r>
            <w:r>
              <w:t>组装区、包装区</w:t>
            </w:r>
            <w:r>
              <w:rPr>
                <w:rFonts w:hint="eastAsia"/>
              </w:rPr>
              <w:t>、原料堆放区、成品区、办公区</w:t>
            </w:r>
            <w:r>
              <w:t>等。车间</w:t>
            </w:r>
            <w:r>
              <w:rPr>
                <w:rFonts w:hint="eastAsia"/>
                <w:lang w:val="en-US"/>
              </w:rPr>
              <w:t>东北</w:t>
            </w:r>
            <w:r>
              <w:t>侧临</w:t>
            </w:r>
            <w:r>
              <w:rPr>
                <w:lang w:val="en-US"/>
              </w:rPr>
              <w:t>空地</w:t>
            </w:r>
            <w:r>
              <w:t>设置1个出入口</w:t>
            </w:r>
            <w:r>
              <w:rPr>
                <w:lang w:val="en-US"/>
              </w:rPr>
              <w:t>，</w:t>
            </w:r>
            <w:r>
              <w:t>车间功能分区明确，各功能区平面布置亦充分考虑安全间距，避免相互影响。生产车间内生产设备按照生产流程进行</w:t>
            </w:r>
            <w:r>
              <w:rPr>
                <w:rFonts w:hint="eastAsia"/>
              </w:rPr>
              <w:t>纵向</w:t>
            </w:r>
            <w:r>
              <w:t>合理布置，尽量做到</w:t>
            </w:r>
            <w:r>
              <w:rPr>
                <w:rFonts w:hint="eastAsia"/>
              </w:rPr>
              <w:t>简短</w:t>
            </w:r>
            <w:r>
              <w:t>流程，降低成本。</w:t>
            </w:r>
          </w:p>
        </w:tc>
      </w:tr>
      <w:tr w14:paraId="1B03AF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7E2336CB">
            <w:pPr>
              <w:pStyle w:val="39"/>
              <w:adjustRightInd w:val="0"/>
              <w:snapToGrid w:val="0"/>
              <w:spacing w:before="0" w:beforeAutospacing="0" w:after="0" w:afterAutospacing="0" w:line="36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工艺流程和产排污环节</w:t>
            </w:r>
          </w:p>
        </w:tc>
        <w:tc>
          <w:tcPr>
            <w:tcW w:w="9305" w:type="dxa"/>
          </w:tcPr>
          <w:p w14:paraId="27F9FE69">
            <w:pPr>
              <w:pStyle w:val="128"/>
              <w:numPr>
                <w:ilvl w:val="0"/>
                <w:numId w:val="12"/>
              </w:numPr>
              <w:adjustRightInd w:val="0"/>
              <w:snapToGrid w:val="0"/>
              <w:spacing w:line="360" w:lineRule="auto"/>
              <w:ind w:left="0"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工艺流程简述</w:t>
            </w:r>
          </w:p>
          <w:p w14:paraId="3CA1D4F1">
            <w:pPr>
              <w:pStyle w:val="128"/>
              <w:adjustRightInd w:val="0"/>
              <w:snapToGrid w:val="0"/>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1、施工期</w:t>
            </w:r>
          </w:p>
          <w:p w14:paraId="37F3E9B7">
            <w:pPr>
              <w:pStyle w:val="159"/>
              <w:rPr>
                <w:lang w:val="en-US"/>
              </w:rPr>
            </w:pPr>
            <w:r>
              <w:t>本项目租赁</w:t>
            </w:r>
            <w:r>
              <w:rPr>
                <w:rFonts w:hint="eastAsia"/>
              </w:rPr>
              <w:t>现有</w:t>
            </w:r>
            <w:r>
              <w:t>厂房，</w:t>
            </w:r>
            <w:r>
              <w:rPr>
                <w:rFonts w:hint="eastAsia"/>
              </w:rPr>
              <w:t>厂房外部棚架结构已建成，内部未硬化，项目施工期主要为厂房内部地面硬化，四周封闭、车间布置装修等</w:t>
            </w:r>
            <w:r>
              <w:t>。</w:t>
            </w:r>
            <w:r>
              <w:rPr>
                <w:rFonts w:hint="eastAsia"/>
                <w:lang w:val="en-US"/>
              </w:rPr>
              <w:t>施工期工艺流程见下图。</w:t>
            </w:r>
          </w:p>
          <w:p w14:paraId="2359D119">
            <w:pPr>
              <w:pStyle w:val="159"/>
              <w:adjustRightInd w:val="0"/>
              <w:snapToGrid w:val="0"/>
              <w:spacing w:line="240" w:lineRule="auto"/>
              <w:ind w:firstLine="0" w:firstLineChars="0"/>
              <w:jc w:val="center"/>
              <w:rPr>
                <w:lang w:val="en-US"/>
              </w:rPr>
            </w:pPr>
            <w:r>
              <w:rPr>
                <w:rFonts w:hint="eastAsia"/>
                <w:lang w:val="en-US"/>
              </w:rPr>
              <w:drawing>
                <wp:inline distT="0" distB="0" distL="0" distR="0">
                  <wp:extent cx="2911475" cy="2009775"/>
                  <wp:effectExtent l="0" t="0" r="3175" b="0"/>
                  <wp:docPr id="11440628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62881"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928471" cy="2021423"/>
                          </a:xfrm>
                          <a:prstGeom prst="rect">
                            <a:avLst/>
                          </a:prstGeom>
                          <a:noFill/>
                          <a:ln>
                            <a:noFill/>
                          </a:ln>
                        </pic:spPr>
                      </pic:pic>
                    </a:graphicData>
                  </a:graphic>
                </wp:inline>
              </w:drawing>
            </w:r>
          </w:p>
          <w:p w14:paraId="47B767BA">
            <w:pPr>
              <w:pStyle w:val="178"/>
              <w:spacing w:line="240" w:lineRule="auto"/>
              <w:ind w:firstLine="0" w:firstLineChars="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图2-2  施工期工艺流程图</w:t>
            </w:r>
          </w:p>
          <w:p w14:paraId="7F7C7002">
            <w:pPr>
              <w:pStyle w:val="128"/>
              <w:adjustRightInd w:val="0"/>
              <w:snapToGrid w:val="0"/>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2、运营期</w:t>
            </w:r>
          </w:p>
          <w:p w14:paraId="63E1F476">
            <w:pPr>
              <w:pStyle w:val="178"/>
              <w:spacing w:line="240" w:lineRule="auto"/>
              <w:ind w:firstLine="0" w:firstLineChars="0"/>
              <w:jc w:val="center"/>
              <w:rPr>
                <w:color w:val="000000" w:themeColor="text1"/>
                <w:lang w:val="en-US"/>
                <w14:textFill>
                  <w14:solidFill>
                    <w14:schemeClr w14:val="tx1"/>
                  </w14:solidFill>
                </w14:textFill>
              </w:rPr>
            </w:pPr>
            <w:r>
              <w:rPr>
                <w:color w:val="000000" w:themeColor="text1"/>
                <w14:textFill>
                  <w14:solidFill>
                    <w14:schemeClr w14:val="tx1"/>
                  </w14:solidFill>
                </w14:textFill>
              </w:rPr>
              <w:drawing>
                <wp:inline distT="0" distB="0" distL="0" distR="0">
                  <wp:extent cx="4932045" cy="2066925"/>
                  <wp:effectExtent l="0" t="0" r="1905" b="0"/>
                  <wp:docPr id="8934584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458421" name="图片 1"/>
                          <pic:cNvPicPr>
                            <a:picLocks noChangeAspect="1"/>
                          </pic:cNvPicPr>
                        </pic:nvPicPr>
                        <pic:blipFill>
                          <a:blip r:embed="rId14"/>
                          <a:stretch>
                            <a:fillRect/>
                          </a:stretch>
                        </pic:blipFill>
                        <pic:spPr>
                          <a:xfrm>
                            <a:off x="0" y="0"/>
                            <a:ext cx="4955788" cy="2076861"/>
                          </a:xfrm>
                          <a:prstGeom prst="rect">
                            <a:avLst/>
                          </a:prstGeom>
                        </pic:spPr>
                      </pic:pic>
                    </a:graphicData>
                  </a:graphic>
                </wp:inline>
              </w:drawing>
            </w:r>
          </w:p>
          <w:p w14:paraId="6E6C36E5">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图2-</w:t>
            </w:r>
            <w:r>
              <w:rPr>
                <w:rFonts w:hint="eastAsia" w:eastAsiaTheme="minorEastAsia"/>
                <w:color w:val="000000" w:themeColor="text1"/>
                <w14:textFill>
                  <w14:solidFill>
                    <w14:schemeClr w14:val="tx1"/>
                  </w14:solidFill>
                </w14:textFill>
              </w:rPr>
              <w:t>3</w:t>
            </w:r>
            <w:r>
              <w:rPr>
                <w:rFonts w:eastAsiaTheme="minorEastAsia"/>
                <w:color w:val="000000" w:themeColor="text1"/>
                <w14:textFill>
                  <w14:solidFill>
                    <w14:schemeClr w14:val="tx1"/>
                  </w14:solidFill>
                </w14:textFill>
              </w:rPr>
              <w:t xml:space="preserve">  工艺流程图</w:t>
            </w:r>
          </w:p>
          <w:p w14:paraId="4882DBD6">
            <w:pPr>
              <w:pStyle w:val="159"/>
              <w:rPr>
                <w:smallCaps w:val="0"/>
              </w:rPr>
            </w:pPr>
            <w:r>
              <w:rPr>
                <w:smallCaps w:val="0"/>
              </w:rPr>
              <w:t>生产工艺流程说明：</w:t>
            </w:r>
          </w:p>
          <w:p w14:paraId="5F388944">
            <w:pPr>
              <w:pStyle w:val="159"/>
              <w:rPr>
                <w:smallCaps w:val="0"/>
              </w:rPr>
            </w:pPr>
            <w:r>
              <w:rPr>
                <w:smallCaps w:val="0"/>
              </w:rPr>
              <w:t>滚圆、成型、打眼等机加工：外购金属杆经滚</w:t>
            </w:r>
            <w:r>
              <w:rPr>
                <w:rFonts w:hint="eastAsia"/>
                <w:smallCaps w:val="0"/>
              </w:rPr>
              <w:t>圆</w:t>
            </w:r>
            <w:r>
              <w:rPr>
                <w:smallCaps w:val="0"/>
              </w:rPr>
              <w:t>机使金属管变成圆形，再经成型机形成椭圆形状，在椭圆上打眼等机加工，以便后期穿线</w:t>
            </w:r>
            <w:r>
              <w:rPr>
                <w:rFonts w:hint="eastAsia"/>
                <w:smallCaps w:val="0"/>
              </w:rPr>
              <w:t>。</w:t>
            </w:r>
            <w:r>
              <w:rPr>
                <w:smallCaps w:val="0"/>
              </w:rPr>
              <w:t>滚圆、成型、打眼等机加工</w:t>
            </w:r>
            <w:r>
              <w:rPr>
                <w:rFonts w:hint="eastAsia"/>
                <w:smallCaps w:val="0"/>
              </w:rPr>
              <w:t>过程中无颗粒物产生，</w:t>
            </w:r>
            <w:r>
              <w:rPr>
                <w:smallCaps w:val="0"/>
              </w:rPr>
              <w:t>在该过程中，会产生一定噪声、金属边角料。</w:t>
            </w:r>
          </w:p>
          <w:p w14:paraId="16F6DE75">
            <w:pPr>
              <w:pStyle w:val="159"/>
              <w:rPr>
                <w:smallCaps w:val="0"/>
                <w:lang w:val="en-US"/>
              </w:rPr>
            </w:pPr>
            <w:r>
              <w:rPr>
                <w:smallCaps w:val="0"/>
              </w:rPr>
              <w:t>喷漆、烘干：调漆、喷漆均在喷漆房进行，油漆、稀释剂在喷漆房按</w:t>
            </w:r>
            <w:r>
              <w:rPr>
                <w:rFonts w:hint="eastAsia"/>
                <w:smallCaps w:val="0"/>
                <w:lang w:val="en-US"/>
              </w:rPr>
              <w:t>3:1</w:t>
            </w:r>
            <w:r>
              <w:rPr>
                <w:smallCaps w:val="0"/>
              </w:rPr>
              <w:t>比例调配后，将半成品在喷漆室</w:t>
            </w:r>
            <w:r>
              <w:rPr>
                <w:rFonts w:hint="eastAsia"/>
                <w:smallCaps w:val="0"/>
              </w:rPr>
              <w:t>利用喷枪</w:t>
            </w:r>
            <w:r>
              <w:rPr>
                <w:smallCaps w:val="0"/>
              </w:rPr>
              <w:t>进行</w:t>
            </w:r>
            <w:r>
              <w:rPr>
                <w:rFonts w:hint="eastAsia"/>
                <w:smallCaps w:val="0"/>
              </w:rPr>
              <w:t>手动</w:t>
            </w:r>
            <w:r>
              <w:rPr>
                <w:smallCaps w:val="0"/>
              </w:rPr>
              <w:t>喷漆，再在</w:t>
            </w:r>
            <w:r>
              <w:rPr>
                <w:rFonts w:hint="eastAsia"/>
                <w:smallCaps w:val="0"/>
              </w:rPr>
              <w:t>喷漆房内部的烘干房中利用</w:t>
            </w:r>
            <w:r>
              <w:rPr>
                <w:smallCaps w:val="0"/>
              </w:rPr>
              <w:t>电能烘干箱进行烘干</w:t>
            </w:r>
            <w:r>
              <w:rPr>
                <w:rFonts w:hint="eastAsia"/>
                <w:smallCaps w:val="0"/>
              </w:rPr>
              <w:t>，烘干温度约150℃，每批次烘干时长约1h，每日运行4批次</w:t>
            </w:r>
            <w:r>
              <w:rPr>
                <w:smallCaps w:val="0"/>
              </w:rPr>
              <w:t>。</w:t>
            </w:r>
            <w:r>
              <w:rPr>
                <w:rFonts w:hint="eastAsia"/>
                <w:smallCaps w:val="0"/>
              </w:rPr>
              <w:t>调漆、喷漆、烘干为间歇操作，每日喷漆结束后，在喷漆房中利用抹布对喷枪进行擦拭，不使用清洗剂。</w:t>
            </w:r>
            <w:r>
              <w:rPr>
                <w:smallCaps w:val="0"/>
              </w:rPr>
              <w:t>在该过程中，会产生</w:t>
            </w:r>
            <w:r>
              <w:rPr>
                <w:rFonts w:hint="eastAsia"/>
                <w:smallCaps w:val="0"/>
              </w:rPr>
              <w:t>喷漆房废气（</w:t>
            </w:r>
            <w:r>
              <w:rPr>
                <w:smallCaps w:val="0"/>
              </w:rPr>
              <w:t>调漆、喷漆、烘干废气</w:t>
            </w:r>
            <w:r>
              <w:rPr>
                <w:rFonts w:hint="eastAsia"/>
                <w:smallCaps w:val="0"/>
              </w:rPr>
              <w:t>）</w:t>
            </w:r>
            <w:r>
              <w:rPr>
                <w:smallCaps w:val="0"/>
              </w:rPr>
              <w:t>、噪声</w:t>
            </w:r>
            <w:r>
              <w:rPr>
                <w:rFonts w:hint="eastAsia"/>
                <w:smallCaps w:val="0"/>
              </w:rPr>
              <w:t>、含油或油漆废抹布及劳保用品</w:t>
            </w:r>
            <w:r>
              <w:rPr>
                <w:smallCaps w:val="0"/>
              </w:rPr>
              <w:t>。</w:t>
            </w:r>
          </w:p>
          <w:p w14:paraId="17C0DF6F">
            <w:pPr>
              <w:pStyle w:val="2"/>
              <w:ind w:firstLine="480"/>
              <w:rPr>
                <w:b w:val="0"/>
                <w:bCs/>
                <w:color w:val="000000" w:themeColor="text1"/>
                <w14:textFill>
                  <w14:solidFill>
                    <w14:schemeClr w14:val="tx1"/>
                  </w14:solidFill>
                </w14:textFill>
              </w:rPr>
            </w:pPr>
            <w:r>
              <w:rPr>
                <w:b w:val="0"/>
                <w:bCs/>
                <w:color w:val="000000" w:themeColor="text1"/>
                <w14:textFill>
                  <w14:solidFill>
                    <w14:schemeClr w14:val="tx1"/>
                  </w14:solidFill>
                </w14:textFill>
              </w:rPr>
              <w:t>打护套、穿线、紧线、包柄：烘干后的金属圈进行打护套（利用打护套机在穿线孔内装入保护套）、穿线（将球拍线穿入球拍头杆）、紧线，插上手柄（包柄：护套切割成一定长度，再缝合，套在木柄即可），即可包装入库。</w:t>
            </w:r>
          </w:p>
          <w:p w14:paraId="5D487040">
            <w:pPr>
              <w:pStyle w:val="128"/>
              <w:numPr>
                <w:ilvl w:val="0"/>
                <w:numId w:val="12"/>
              </w:numPr>
              <w:adjustRightInd w:val="0"/>
              <w:snapToGrid w:val="0"/>
              <w:spacing w:line="360" w:lineRule="auto"/>
              <w:ind w:left="0"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主要污染工序</w:t>
            </w:r>
          </w:p>
          <w:p w14:paraId="3F0739AA">
            <w:pPr>
              <w:pStyle w:val="128"/>
              <w:adjustRightInd w:val="0"/>
              <w:snapToGrid w:val="0"/>
              <w:spacing w:line="360" w:lineRule="auto"/>
              <w:ind w:left="482" w:firstLine="0" w:firstLineChars="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1、施工期</w:t>
            </w:r>
          </w:p>
          <w:p w14:paraId="38DCEB1E">
            <w:pPr>
              <w:pStyle w:val="159"/>
              <w:rPr>
                <w:lang w:val="en-US"/>
              </w:rPr>
            </w:pPr>
            <w:r>
              <w:rPr>
                <w:rFonts w:hint="eastAsia"/>
                <w:lang w:val="en-US"/>
              </w:rPr>
              <w:t>废气：本项目施工期产生施工扬尘，来源主要有建筑材料的堆放、装卸和运输过程，主要污染物为颗粒物。</w:t>
            </w:r>
          </w:p>
          <w:p w14:paraId="0E34B950">
            <w:pPr>
              <w:pStyle w:val="159"/>
              <w:rPr>
                <w:lang w:val="en-US"/>
              </w:rPr>
            </w:pPr>
            <w:r>
              <w:rPr>
                <w:rFonts w:hint="eastAsia"/>
                <w:lang w:val="en-US"/>
              </w:rPr>
              <w:t>废水：本项目施工人员为附近村民，项目地不设食宿场地，施工人员使用附近已有厕所，不会对周围环境产生不良影响。工程施工废水包括施工机械洗涤用水、施工现场清洗、建筑清洗、混凝土浇筑、养护、冲洗等，这部分废水主要污染物为石油类和泥沙。该废水悬浮物浓度较大，但不含有毒有害物质，经简单沉淀处理后回用于施工。</w:t>
            </w:r>
          </w:p>
          <w:p w14:paraId="17B5FC9E">
            <w:pPr>
              <w:pStyle w:val="159"/>
              <w:rPr>
                <w:lang w:val="en-US"/>
              </w:rPr>
            </w:pPr>
            <w:r>
              <w:rPr>
                <w:rFonts w:hint="eastAsia"/>
                <w:lang w:val="en-US"/>
              </w:rPr>
              <w:t>噪声：项目施工过程中，将使用一些施工机械和运输车辆。施工噪声主要为设备噪声和运输车辆噪声。</w:t>
            </w:r>
          </w:p>
          <w:p w14:paraId="3BA908F9">
            <w:pPr>
              <w:pStyle w:val="159"/>
              <w:rPr>
                <w:lang w:val="en-US"/>
              </w:rPr>
            </w:pPr>
            <w:r>
              <w:rPr>
                <w:rFonts w:hint="eastAsia"/>
                <w:lang w:val="en-US"/>
              </w:rPr>
              <w:t>固废：项目施工期固废主要为生活垃圾和建筑垃圾。</w:t>
            </w:r>
          </w:p>
          <w:p w14:paraId="033C2F13">
            <w:pPr>
              <w:pStyle w:val="128"/>
              <w:adjustRightInd w:val="0"/>
              <w:snapToGrid w:val="0"/>
              <w:spacing w:line="360" w:lineRule="auto"/>
              <w:ind w:left="482" w:firstLine="0" w:firstLineChars="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2、运营期</w:t>
            </w:r>
          </w:p>
          <w:p w14:paraId="36E69B8F">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本项目运营期产生的污染物种类、来源、排放方式等详见下表2-</w:t>
            </w:r>
            <w:r>
              <w:rPr>
                <w:rFonts w:hint="eastAsia"/>
                <w:color w:val="000000" w:themeColor="text1"/>
                <w:sz w:val="24"/>
                <w14:textFill>
                  <w14:solidFill>
                    <w14:schemeClr w14:val="tx1"/>
                  </w14:solidFill>
                </w14:textFill>
              </w:rPr>
              <w:t>10</w:t>
            </w:r>
            <w:r>
              <w:rPr>
                <w:color w:val="000000" w:themeColor="text1"/>
                <w:sz w:val="24"/>
                <w14:textFill>
                  <w14:solidFill>
                    <w14:schemeClr w14:val="tx1"/>
                  </w14:solidFill>
                </w14:textFill>
              </w:rPr>
              <w:t>。</w:t>
            </w:r>
          </w:p>
          <w:p w14:paraId="47EA8482">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表2-</w:t>
            </w:r>
            <w:r>
              <w:rPr>
                <w:rFonts w:hint="eastAsia" w:eastAsiaTheme="minorEastAsia"/>
                <w:color w:val="000000" w:themeColor="text1"/>
                <w14:textFill>
                  <w14:solidFill>
                    <w14:schemeClr w14:val="tx1"/>
                  </w14:solidFill>
                </w14:textFill>
              </w:rPr>
              <w:t>10</w:t>
            </w:r>
            <w:r>
              <w:rPr>
                <w:rFonts w:eastAsiaTheme="minorEastAsia"/>
                <w:color w:val="000000" w:themeColor="text1"/>
                <w14:textFill>
                  <w14:solidFill>
                    <w14:schemeClr w14:val="tx1"/>
                  </w14:solidFill>
                </w14:textFill>
              </w:rPr>
              <w:t xml:space="preserve">  运营期主要污染源一览表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171"/>
              <w:gridCol w:w="2023"/>
              <w:gridCol w:w="3904"/>
              <w:gridCol w:w="1493"/>
            </w:tblGrid>
            <w:tr w14:paraId="70FC6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4" w:type="pct"/>
                  <w:gridSpan w:val="2"/>
                  <w:vAlign w:val="center"/>
                </w:tcPr>
                <w:p w14:paraId="0AEA4B9E">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主要污染源</w:t>
                  </w:r>
                </w:p>
              </w:tc>
              <w:tc>
                <w:tcPr>
                  <w:tcW w:w="1114" w:type="pct"/>
                  <w:vAlign w:val="center"/>
                </w:tcPr>
                <w:p w14:paraId="59639E73">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来源</w:t>
                  </w:r>
                </w:p>
              </w:tc>
              <w:tc>
                <w:tcPr>
                  <w:tcW w:w="2150" w:type="pct"/>
                  <w:vAlign w:val="center"/>
                </w:tcPr>
                <w:p w14:paraId="5DC28881">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污染物名称</w:t>
                  </w:r>
                </w:p>
              </w:tc>
              <w:tc>
                <w:tcPr>
                  <w:tcW w:w="823" w:type="pct"/>
                  <w:vAlign w:val="center"/>
                </w:tcPr>
                <w:p w14:paraId="0AFB97D4">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排放方式</w:t>
                  </w:r>
                </w:p>
              </w:tc>
            </w:tr>
            <w:tr w14:paraId="548D0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restart"/>
                  <w:vAlign w:val="center"/>
                </w:tcPr>
                <w:p w14:paraId="1E0CF890">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运营期</w:t>
                  </w:r>
                </w:p>
              </w:tc>
              <w:tc>
                <w:tcPr>
                  <w:tcW w:w="645" w:type="pct"/>
                  <w:vAlign w:val="center"/>
                </w:tcPr>
                <w:p w14:paraId="72A88028">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废气</w:t>
                  </w:r>
                </w:p>
              </w:tc>
              <w:tc>
                <w:tcPr>
                  <w:tcW w:w="1114" w:type="pct"/>
                  <w:vAlign w:val="center"/>
                </w:tcPr>
                <w:p w14:paraId="45496230">
                  <w:pPr>
                    <w:adjustRightInd w:val="0"/>
                    <w:snapToGrid w:val="0"/>
                    <w:jc w:val="center"/>
                    <w:rPr>
                      <w:rFonts w:eastAsiaTheme="minorEastAsia"/>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喷漆房废气（</w:t>
                  </w:r>
                  <w:r>
                    <w:rPr>
                      <w:color w:val="000000" w:themeColor="text1"/>
                      <w14:textFill>
                        <w14:solidFill>
                          <w14:schemeClr w14:val="tx1"/>
                        </w14:solidFill>
                      </w14:textFill>
                    </w:rPr>
                    <w:t>调漆、喷漆、烘干废气</w:t>
                  </w:r>
                  <w:r>
                    <w:rPr>
                      <w:rFonts w:hint="eastAsia"/>
                      <w:color w:val="000000" w:themeColor="text1"/>
                      <w14:textFill>
                        <w14:solidFill>
                          <w14:schemeClr w14:val="tx1"/>
                        </w14:solidFill>
                      </w14:textFill>
                    </w:rPr>
                    <w:t>）</w:t>
                  </w:r>
                </w:p>
              </w:tc>
              <w:tc>
                <w:tcPr>
                  <w:tcW w:w="2150" w:type="pct"/>
                  <w:vAlign w:val="center"/>
                </w:tcPr>
                <w:p w14:paraId="2B489565">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颗粒物、非甲烷总烃、二甲苯</w:t>
                  </w:r>
                </w:p>
              </w:tc>
              <w:tc>
                <w:tcPr>
                  <w:tcW w:w="823" w:type="pct"/>
                  <w:vAlign w:val="center"/>
                </w:tcPr>
                <w:p w14:paraId="1A9801E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有组织</w:t>
                  </w:r>
                  <w:r>
                    <w:rPr>
                      <w:rFonts w:hint="eastAsia" w:eastAsiaTheme="minorEastAsia"/>
                      <w:bCs/>
                      <w:color w:val="000000" w:themeColor="text1"/>
                      <w:szCs w:val="21"/>
                      <w14:textFill>
                        <w14:solidFill>
                          <w14:schemeClr w14:val="tx1"/>
                        </w14:solidFill>
                      </w14:textFill>
                    </w:rPr>
                    <w:t>/无组织</w:t>
                  </w:r>
                </w:p>
              </w:tc>
            </w:tr>
            <w:tr w14:paraId="53EF5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continue"/>
                  <w:vAlign w:val="center"/>
                </w:tcPr>
                <w:p w14:paraId="420A8300">
                  <w:pPr>
                    <w:adjustRightInd w:val="0"/>
                    <w:snapToGrid w:val="0"/>
                    <w:jc w:val="center"/>
                    <w:rPr>
                      <w:rFonts w:eastAsiaTheme="minorEastAsia"/>
                      <w:color w:val="000000" w:themeColor="text1"/>
                      <w:szCs w:val="21"/>
                      <w14:textFill>
                        <w14:solidFill>
                          <w14:schemeClr w14:val="tx1"/>
                        </w14:solidFill>
                      </w14:textFill>
                    </w:rPr>
                  </w:pPr>
                </w:p>
              </w:tc>
              <w:tc>
                <w:tcPr>
                  <w:tcW w:w="645" w:type="pct"/>
                  <w:vMerge w:val="restart"/>
                  <w:vAlign w:val="center"/>
                </w:tcPr>
                <w:p w14:paraId="2850747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废水</w:t>
                  </w:r>
                </w:p>
              </w:tc>
              <w:tc>
                <w:tcPr>
                  <w:tcW w:w="1114" w:type="pct"/>
                  <w:vAlign w:val="center"/>
                </w:tcPr>
                <w:p w14:paraId="318FB39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生活污水</w:t>
                  </w:r>
                </w:p>
              </w:tc>
              <w:tc>
                <w:tcPr>
                  <w:tcW w:w="2150" w:type="pct"/>
                  <w:vAlign w:val="center"/>
                </w:tcPr>
                <w:p w14:paraId="70E8BB6E">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pH、COD</w:t>
                  </w:r>
                  <w:r>
                    <w:rPr>
                      <w:rFonts w:eastAsiaTheme="minorEastAsia"/>
                      <w:bCs/>
                      <w:color w:val="000000" w:themeColor="text1"/>
                      <w:szCs w:val="21"/>
                      <w:vertAlign w:val="subscript"/>
                      <w14:textFill>
                        <w14:solidFill>
                          <w14:schemeClr w14:val="tx1"/>
                        </w14:solidFill>
                      </w14:textFill>
                    </w:rPr>
                    <w:t>Cr</w:t>
                  </w:r>
                  <w:r>
                    <w:rPr>
                      <w:rFonts w:eastAsiaTheme="minorEastAsia"/>
                      <w:bCs/>
                      <w:color w:val="000000" w:themeColor="text1"/>
                      <w:szCs w:val="21"/>
                      <w14:textFill>
                        <w14:solidFill>
                          <w14:schemeClr w14:val="tx1"/>
                        </w14:solidFill>
                      </w14:textFill>
                    </w:rPr>
                    <w:t>、BOD</w:t>
                  </w:r>
                  <w:r>
                    <w:rPr>
                      <w:rFonts w:eastAsiaTheme="minorEastAsia"/>
                      <w:bCs/>
                      <w:color w:val="000000" w:themeColor="text1"/>
                      <w:szCs w:val="21"/>
                      <w:vertAlign w:val="subscript"/>
                      <w14:textFill>
                        <w14:solidFill>
                          <w14:schemeClr w14:val="tx1"/>
                        </w14:solidFill>
                      </w14:textFill>
                    </w:rPr>
                    <w:t>5</w:t>
                  </w:r>
                  <w:r>
                    <w:rPr>
                      <w:rFonts w:eastAsiaTheme="minorEastAsia"/>
                      <w:bCs/>
                      <w:color w:val="000000" w:themeColor="text1"/>
                      <w:szCs w:val="21"/>
                      <w14:textFill>
                        <w14:solidFill>
                          <w14:schemeClr w14:val="tx1"/>
                        </w14:solidFill>
                      </w14:textFill>
                    </w:rPr>
                    <w:t>、NH</w:t>
                  </w:r>
                  <w:r>
                    <w:rPr>
                      <w:rFonts w:eastAsiaTheme="minorEastAsia"/>
                      <w:bCs/>
                      <w:color w:val="000000" w:themeColor="text1"/>
                      <w:szCs w:val="21"/>
                      <w:vertAlign w:val="subscript"/>
                      <w14:textFill>
                        <w14:solidFill>
                          <w14:schemeClr w14:val="tx1"/>
                        </w14:solidFill>
                      </w14:textFill>
                    </w:rPr>
                    <w:t>3</w:t>
                  </w:r>
                  <w:r>
                    <w:rPr>
                      <w:rFonts w:eastAsiaTheme="minorEastAsia"/>
                      <w:bCs/>
                      <w:color w:val="000000" w:themeColor="text1"/>
                      <w:szCs w:val="21"/>
                      <w14:textFill>
                        <w14:solidFill>
                          <w14:schemeClr w14:val="tx1"/>
                        </w14:solidFill>
                      </w14:textFill>
                    </w:rPr>
                    <w:t>-N、SS、TP、TN</w:t>
                  </w:r>
                </w:p>
              </w:tc>
              <w:tc>
                <w:tcPr>
                  <w:tcW w:w="823" w:type="pct"/>
                  <w:vAlign w:val="center"/>
                </w:tcPr>
                <w:p w14:paraId="2B6B7189">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林地灌溉，</w:t>
                  </w:r>
                  <w:r>
                    <w:rPr>
                      <w:rFonts w:eastAsiaTheme="minorEastAsia"/>
                      <w:color w:val="000000" w:themeColor="text1"/>
                      <w:szCs w:val="21"/>
                      <w14:textFill>
                        <w14:solidFill>
                          <w14:schemeClr w14:val="tx1"/>
                        </w14:solidFill>
                      </w14:textFill>
                    </w:rPr>
                    <w:t>不外排</w:t>
                  </w:r>
                </w:p>
              </w:tc>
            </w:tr>
            <w:tr w14:paraId="67FD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continue"/>
                  <w:vAlign w:val="center"/>
                </w:tcPr>
                <w:p w14:paraId="4FF467DB">
                  <w:pPr>
                    <w:adjustRightInd w:val="0"/>
                    <w:snapToGrid w:val="0"/>
                    <w:jc w:val="center"/>
                    <w:rPr>
                      <w:rFonts w:eastAsiaTheme="minorEastAsia"/>
                      <w:color w:val="000000" w:themeColor="text1"/>
                      <w:szCs w:val="21"/>
                      <w14:textFill>
                        <w14:solidFill>
                          <w14:schemeClr w14:val="tx1"/>
                        </w14:solidFill>
                      </w14:textFill>
                    </w:rPr>
                  </w:pPr>
                </w:p>
              </w:tc>
              <w:tc>
                <w:tcPr>
                  <w:tcW w:w="645" w:type="pct"/>
                  <w:vMerge w:val="continue"/>
                  <w:vAlign w:val="center"/>
                </w:tcPr>
                <w:p w14:paraId="6E411B31">
                  <w:pPr>
                    <w:adjustRightInd w:val="0"/>
                    <w:snapToGrid w:val="0"/>
                    <w:jc w:val="center"/>
                    <w:rPr>
                      <w:rFonts w:eastAsiaTheme="minorEastAsia"/>
                      <w:bCs/>
                      <w:color w:val="000000" w:themeColor="text1"/>
                      <w:szCs w:val="21"/>
                      <w14:textFill>
                        <w14:solidFill>
                          <w14:schemeClr w14:val="tx1"/>
                        </w14:solidFill>
                      </w14:textFill>
                    </w:rPr>
                  </w:pPr>
                </w:p>
              </w:tc>
              <w:tc>
                <w:tcPr>
                  <w:tcW w:w="1114" w:type="pct"/>
                  <w:vAlign w:val="center"/>
                </w:tcPr>
                <w:p w14:paraId="52BD1073">
                  <w:pPr>
                    <w:adjustRightInd w:val="0"/>
                    <w:snapToGrid w:val="0"/>
                    <w:jc w:val="center"/>
                    <w:rPr>
                      <w:rFonts w:eastAsiaTheme="minorEastAsia"/>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水帘废水</w:t>
                  </w:r>
                </w:p>
              </w:tc>
              <w:tc>
                <w:tcPr>
                  <w:tcW w:w="2150" w:type="pct"/>
                  <w:vAlign w:val="center"/>
                </w:tcPr>
                <w:p w14:paraId="3A2CEA1D">
                  <w:pPr>
                    <w:adjustRightInd w:val="0"/>
                    <w:snapToGrid w:val="0"/>
                    <w:jc w:val="center"/>
                    <w:rPr>
                      <w:rFonts w:eastAsiaTheme="minorEastAsia"/>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含漆废水</w:t>
                  </w:r>
                </w:p>
              </w:tc>
              <w:tc>
                <w:tcPr>
                  <w:tcW w:w="823" w:type="pct"/>
                  <w:vAlign w:val="center"/>
                </w:tcPr>
                <w:p w14:paraId="681E284F">
                  <w:pPr>
                    <w:adjustRightInd w:val="0"/>
                    <w:snapToGrid w:val="0"/>
                    <w:jc w:val="center"/>
                    <w:rPr>
                      <w:rFonts w:eastAsiaTheme="minor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纳入危废管理</w:t>
                  </w:r>
                </w:p>
              </w:tc>
            </w:tr>
            <w:tr w14:paraId="4B06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continue"/>
                  <w:vAlign w:val="center"/>
                </w:tcPr>
                <w:p w14:paraId="1F00DB8F">
                  <w:pPr>
                    <w:adjustRightInd w:val="0"/>
                    <w:snapToGrid w:val="0"/>
                    <w:jc w:val="center"/>
                    <w:rPr>
                      <w:rFonts w:eastAsiaTheme="minorEastAsia"/>
                      <w:color w:val="000000" w:themeColor="text1"/>
                      <w:szCs w:val="21"/>
                      <w14:textFill>
                        <w14:solidFill>
                          <w14:schemeClr w14:val="tx1"/>
                        </w14:solidFill>
                      </w14:textFill>
                    </w:rPr>
                  </w:pPr>
                </w:p>
              </w:tc>
              <w:tc>
                <w:tcPr>
                  <w:tcW w:w="645" w:type="pct"/>
                  <w:vMerge w:val="restart"/>
                  <w:vAlign w:val="center"/>
                </w:tcPr>
                <w:p w14:paraId="7EF3C4A7">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固体废物</w:t>
                  </w:r>
                </w:p>
              </w:tc>
              <w:tc>
                <w:tcPr>
                  <w:tcW w:w="1114" w:type="pct"/>
                  <w:vAlign w:val="center"/>
                </w:tcPr>
                <w:p w14:paraId="68CC3459">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生产过程</w:t>
                  </w:r>
                </w:p>
              </w:tc>
              <w:tc>
                <w:tcPr>
                  <w:tcW w:w="2150" w:type="pct"/>
                  <w:vAlign w:val="center"/>
                </w:tcPr>
                <w:p w14:paraId="7D0139EE">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金属边角料、废包装材料、废活性炭、废过滤棉、</w:t>
                  </w:r>
                  <w:r>
                    <w:rPr>
                      <w:rFonts w:hint="eastAsia" w:eastAsiaTheme="minorEastAsia"/>
                      <w:bCs/>
                      <w:color w:val="000000" w:themeColor="text1"/>
                      <w:szCs w:val="21"/>
                      <w14:textFill>
                        <w14:solidFill>
                          <w14:schemeClr w14:val="tx1"/>
                        </w14:solidFill>
                      </w14:textFill>
                    </w:rPr>
                    <w:t>废催化剂、漆渣、水帘废水、</w:t>
                  </w:r>
                  <w:r>
                    <w:rPr>
                      <w:rFonts w:eastAsiaTheme="minorEastAsia"/>
                      <w:bCs/>
                      <w:color w:val="000000" w:themeColor="text1"/>
                      <w:szCs w:val="21"/>
                      <w14:textFill>
                        <w14:solidFill>
                          <w14:schemeClr w14:val="tx1"/>
                        </w14:solidFill>
                      </w14:textFill>
                    </w:rPr>
                    <w:t>废包装桶、废机油、机油桶、含油</w:t>
                  </w:r>
                  <w:r>
                    <w:rPr>
                      <w:rFonts w:hint="eastAsia" w:eastAsiaTheme="minorEastAsia"/>
                      <w:bCs/>
                      <w:color w:val="000000" w:themeColor="text1"/>
                      <w:szCs w:val="21"/>
                      <w14:textFill>
                        <w14:solidFill>
                          <w14:schemeClr w14:val="tx1"/>
                        </w14:solidFill>
                      </w14:textFill>
                    </w:rPr>
                    <w:t>或油漆</w:t>
                  </w:r>
                  <w:r>
                    <w:rPr>
                      <w:rFonts w:eastAsiaTheme="minorEastAsia"/>
                      <w:bCs/>
                      <w:color w:val="000000" w:themeColor="text1"/>
                      <w:szCs w:val="21"/>
                      <w14:textFill>
                        <w14:solidFill>
                          <w14:schemeClr w14:val="tx1"/>
                        </w14:solidFill>
                      </w14:textFill>
                    </w:rPr>
                    <w:t>废抹布及劳保用品</w:t>
                  </w:r>
                </w:p>
              </w:tc>
              <w:tc>
                <w:tcPr>
                  <w:tcW w:w="823" w:type="pct"/>
                  <w:vMerge w:val="restart"/>
                  <w:vAlign w:val="center"/>
                </w:tcPr>
                <w:p w14:paraId="33186C7A">
                  <w:pPr>
                    <w:adjustRightInd w:val="0"/>
                    <w:snapToGrid w:val="0"/>
                    <w:jc w:val="center"/>
                    <w:rPr>
                      <w:rFonts w:eastAsiaTheme="minorEastAsia"/>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间断</w:t>
                  </w:r>
                </w:p>
              </w:tc>
            </w:tr>
            <w:tr w14:paraId="39177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continue"/>
                  <w:vAlign w:val="center"/>
                </w:tcPr>
                <w:p w14:paraId="4D7CA665">
                  <w:pPr>
                    <w:adjustRightInd w:val="0"/>
                    <w:snapToGrid w:val="0"/>
                    <w:jc w:val="center"/>
                    <w:rPr>
                      <w:rFonts w:eastAsiaTheme="minorEastAsia"/>
                      <w:color w:val="000000" w:themeColor="text1"/>
                      <w:szCs w:val="21"/>
                      <w14:textFill>
                        <w14:solidFill>
                          <w14:schemeClr w14:val="tx1"/>
                        </w14:solidFill>
                      </w14:textFill>
                    </w:rPr>
                  </w:pPr>
                </w:p>
              </w:tc>
              <w:tc>
                <w:tcPr>
                  <w:tcW w:w="645" w:type="pct"/>
                  <w:vMerge w:val="continue"/>
                  <w:vAlign w:val="center"/>
                </w:tcPr>
                <w:p w14:paraId="42085060">
                  <w:pPr>
                    <w:adjustRightInd w:val="0"/>
                    <w:snapToGrid w:val="0"/>
                    <w:jc w:val="center"/>
                    <w:rPr>
                      <w:rFonts w:eastAsiaTheme="minorEastAsia"/>
                      <w:bCs/>
                      <w:color w:val="000000" w:themeColor="text1"/>
                      <w:szCs w:val="21"/>
                      <w14:textFill>
                        <w14:solidFill>
                          <w14:schemeClr w14:val="tx1"/>
                        </w14:solidFill>
                      </w14:textFill>
                    </w:rPr>
                  </w:pPr>
                </w:p>
              </w:tc>
              <w:tc>
                <w:tcPr>
                  <w:tcW w:w="1114" w:type="pct"/>
                  <w:vAlign w:val="center"/>
                </w:tcPr>
                <w:p w14:paraId="54004AFD">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生活垃圾</w:t>
                  </w:r>
                </w:p>
              </w:tc>
              <w:tc>
                <w:tcPr>
                  <w:tcW w:w="2150" w:type="pct"/>
                  <w:vAlign w:val="center"/>
                </w:tcPr>
                <w:p w14:paraId="2A49BD21">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生活垃圾</w:t>
                  </w:r>
                </w:p>
              </w:tc>
              <w:tc>
                <w:tcPr>
                  <w:tcW w:w="823" w:type="pct"/>
                  <w:vMerge w:val="continue"/>
                  <w:vAlign w:val="center"/>
                </w:tcPr>
                <w:p w14:paraId="69E96012">
                  <w:pPr>
                    <w:adjustRightInd w:val="0"/>
                    <w:snapToGrid w:val="0"/>
                    <w:jc w:val="center"/>
                    <w:rPr>
                      <w:rFonts w:eastAsiaTheme="minorEastAsia"/>
                      <w:color w:val="000000" w:themeColor="text1"/>
                      <w:szCs w:val="21"/>
                      <w14:textFill>
                        <w14:solidFill>
                          <w14:schemeClr w14:val="tx1"/>
                        </w14:solidFill>
                      </w14:textFill>
                    </w:rPr>
                  </w:pPr>
                </w:p>
              </w:tc>
            </w:tr>
            <w:tr w14:paraId="17BA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9" w:type="pct"/>
                  <w:vMerge w:val="continue"/>
                  <w:vAlign w:val="center"/>
                </w:tcPr>
                <w:p w14:paraId="555D379D">
                  <w:pPr>
                    <w:adjustRightInd w:val="0"/>
                    <w:snapToGrid w:val="0"/>
                    <w:jc w:val="center"/>
                    <w:rPr>
                      <w:rFonts w:eastAsiaTheme="minorEastAsia"/>
                      <w:color w:val="000000" w:themeColor="text1"/>
                      <w:szCs w:val="21"/>
                      <w14:textFill>
                        <w14:solidFill>
                          <w14:schemeClr w14:val="tx1"/>
                        </w14:solidFill>
                      </w14:textFill>
                    </w:rPr>
                  </w:pPr>
                </w:p>
              </w:tc>
              <w:tc>
                <w:tcPr>
                  <w:tcW w:w="645" w:type="pct"/>
                  <w:vAlign w:val="center"/>
                </w:tcPr>
                <w:p w14:paraId="742B5B9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设备噪声</w:t>
                  </w:r>
                </w:p>
              </w:tc>
              <w:tc>
                <w:tcPr>
                  <w:tcW w:w="1114" w:type="pct"/>
                  <w:vAlign w:val="center"/>
                </w:tcPr>
                <w:p w14:paraId="3E64F291">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设备运行</w:t>
                  </w:r>
                </w:p>
              </w:tc>
              <w:tc>
                <w:tcPr>
                  <w:tcW w:w="2150" w:type="pct"/>
                  <w:vAlign w:val="center"/>
                </w:tcPr>
                <w:p w14:paraId="41BA6856">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机械噪声</w:t>
                  </w:r>
                </w:p>
              </w:tc>
              <w:tc>
                <w:tcPr>
                  <w:tcW w:w="823" w:type="pct"/>
                  <w:vMerge w:val="continue"/>
                  <w:vAlign w:val="center"/>
                </w:tcPr>
                <w:p w14:paraId="274185E8">
                  <w:pPr>
                    <w:adjustRightInd w:val="0"/>
                    <w:snapToGrid w:val="0"/>
                    <w:jc w:val="center"/>
                    <w:rPr>
                      <w:rFonts w:eastAsiaTheme="minorEastAsia"/>
                      <w:color w:val="000000" w:themeColor="text1"/>
                      <w:szCs w:val="21"/>
                      <w14:textFill>
                        <w14:solidFill>
                          <w14:schemeClr w14:val="tx1"/>
                        </w14:solidFill>
                      </w14:textFill>
                    </w:rPr>
                  </w:pPr>
                </w:p>
              </w:tc>
            </w:tr>
          </w:tbl>
          <w:p w14:paraId="78381828">
            <w:pPr>
              <w:pStyle w:val="3"/>
              <w:rPr>
                <w:color w:val="000000" w:themeColor="text1"/>
                <w14:textFill>
                  <w14:solidFill>
                    <w14:schemeClr w14:val="tx1"/>
                  </w14:solidFill>
                </w14:textFill>
              </w:rPr>
            </w:pPr>
          </w:p>
        </w:tc>
      </w:tr>
      <w:tr w14:paraId="2501B9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7766A8F9">
            <w:pPr>
              <w:pStyle w:val="39"/>
              <w:adjustRightInd w:val="0"/>
              <w:snapToGrid w:val="0"/>
              <w:spacing w:before="0" w:beforeAutospacing="0" w:after="0" w:afterAutospacing="0" w:line="36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与项目有关的原有环境污染问题</w:t>
            </w:r>
          </w:p>
        </w:tc>
        <w:tc>
          <w:tcPr>
            <w:tcW w:w="9305" w:type="dxa"/>
          </w:tcPr>
          <w:p w14:paraId="44173E74">
            <w:pPr>
              <w:pStyle w:val="159"/>
              <w:rPr>
                <w:bCs w:val="0"/>
              </w:rPr>
            </w:pPr>
            <w:r>
              <w:rPr>
                <w:bCs w:val="0"/>
              </w:rPr>
              <w:t>本项目为新建项目，租用</w:t>
            </w:r>
            <w:r>
              <w:rPr>
                <w:rFonts w:hint="eastAsia"/>
                <w:lang w:val="en-US"/>
              </w:rPr>
              <w:t>高安市黄沙柒星建材厂</w:t>
            </w:r>
            <w:r>
              <w:rPr>
                <w:rFonts w:hint="eastAsia"/>
                <w:bCs w:val="0"/>
              </w:rPr>
              <w:t>现有</w:t>
            </w:r>
            <w:r>
              <w:rPr>
                <w:bCs w:val="0"/>
              </w:rPr>
              <w:t>厂房进行建设。</w:t>
            </w:r>
          </w:p>
          <w:p w14:paraId="4FF8EE41">
            <w:pPr>
              <w:pStyle w:val="159"/>
              <w:rPr>
                <w:bCs w:val="0"/>
              </w:rPr>
            </w:pPr>
            <w:r>
              <w:rPr>
                <w:rFonts w:hint="eastAsia"/>
                <w:bCs w:val="0"/>
              </w:rPr>
              <w:t>高安市黄沙柒星建材厂成立于2016年12月，主要从事煤矸石页岩砖生产，该企业于2017年5月委托重庆九天环境影响评价有限公司编制完成了《高安市黄沙柒星建材厂煤矸石页岩砖生产线建设项目环境影响评价报告表》，2017年6月15日高安市环境保护局以高环评字[2017]29号对该项目进行批复。2018年9月20日，该企业对该项目建设项目竣工环境保护验收监测报告表》，该企业已办理排污许可证，排污许可证号：92</w:t>
            </w:r>
            <w:r>
              <w:rPr>
                <w:bCs w:val="0"/>
              </w:rPr>
              <w:t>360983MA35MUR94Y001Q</w:t>
            </w:r>
            <w:r>
              <w:rPr>
                <w:rFonts w:hint="eastAsia"/>
                <w:bCs w:val="0"/>
              </w:rPr>
              <w:t>。</w:t>
            </w:r>
          </w:p>
          <w:p w14:paraId="386D554A">
            <w:pPr>
              <w:pStyle w:val="159"/>
              <w:rPr>
                <w:bCs w:val="0"/>
              </w:rPr>
            </w:pPr>
            <w:r>
              <w:rPr>
                <w:rFonts w:hint="eastAsia"/>
                <w:bCs w:val="0"/>
              </w:rPr>
              <w:t>根据现场踏勘，本项目所租赁</w:t>
            </w:r>
            <w:r>
              <w:rPr>
                <w:bCs w:val="0"/>
              </w:rPr>
              <w:t>厂房原为</w:t>
            </w:r>
            <w:r>
              <w:rPr>
                <w:rFonts w:hint="eastAsia"/>
                <w:lang w:val="en-US"/>
              </w:rPr>
              <w:t>高安市黄沙柒星建材厂原料堆放区</w:t>
            </w:r>
            <w:r>
              <w:rPr>
                <w:bCs w:val="0"/>
              </w:rPr>
              <w:t>，</w:t>
            </w:r>
            <w:r>
              <w:rPr>
                <w:rFonts w:hint="eastAsia"/>
                <w:bCs w:val="0"/>
              </w:rPr>
              <w:t>用于堆放煤矸石原料。厂房已完成钢架结构，四周未封闭、地面未硬化，根据租赁合同，高安市黄沙柒星建材厂应将厂房四周封闭、地面硬化后出租给本项目建设单位</w:t>
            </w:r>
            <w:r>
              <w:rPr>
                <w:bCs w:val="0"/>
              </w:rPr>
              <w:t>，无原有环境污染问题。本项目的废气排放口、事故池由本项目建设单位承担环保责任，与</w:t>
            </w:r>
            <w:r>
              <w:rPr>
                <w:rFonts w:hint="eastAsia"/>
                <w:bCs w:val="0"/>
              </w:rPr>
              <w:t>高安市黄沙柒星建材厂</w:t>
            </w:r>
            <w:r>
              <w:rPr>
                <w:bCs w:val="0"/>
              </w:rPr>
              <w:t>无关。初期雨水池</w:t>
            </w:r>
            <w:r>
              <w:rPr>
                <w:rFonts w:hint="eastAsia"/>
                <w:bCs w:val="0"/>
              </w:rPr>
              <w:t>高安市黄沙柒星建材厂</w:t>
            </w:r>
            <w:r>
              <w:rPr>
                <w:bCs w:val="0"/>
              </w:rPr>
              <w:t>已经建好，本项目仅租赁一栋厂房，初期雨水由</w:t>
            </w:r>
            <w:r>
              <w:rPr>
                <w:rFonts w:hint="eastAsia"/>
                <w:bCs w:val="0"/>
              </w:rPr>
              <w:t>高安市黄沙柒星建材厂</w:t>
            </w:r>
            <w:r>
              <w:rPr>
                <w:bCs w:val="0"/>
              </w:rPr>
              <w:t>承担环保责任，与本项目无关。</w:t>
            </w:r>
          </w:p>
          <w:p w14:paraId="4729EB49">
            <w:pPr>
              <w:pStyle w:val="159"/>
              <w:spacing w:line="240" w:lineRule="auto"/>
              <w:ind w:firstLine="0" w:firstLineChars="0"/>
              <w:jc w:val="center"/>
              <w:rPr>
                <w:b/>
                <w:sz w:val="21"/>
                <w:szCs w:val="21"/>
              </w:rPr>
            </w:pPr>
          </w:p>
          <w:p w14:paraId="22E9D72C">
            <w:pPr>
              <w:pStyle w:val="159"/>
              <w:spacing w:line="240" w:lineRule="auto"/>
              <w:ind w:firstLine="0" w:firstLineChars="0"/>
              <w:jc w:val="center"/>
              <w:rPr>
                <w:b/>
                <w:sz w:val="21"/>
                <w:szCs w:val="21"/>
              </w:rPr>
            </w:pPr>
          </w:p>
          <w:p w14:paraId="47E78863">
            <w:pPr>
              <w:pStyle w:val="159"/>
              <w:spacing w:line="240" w:lineRule="auto"/>
              <w:ind w:firstLine="0" w:firstLineChars="0"/>
              <w:jc w:val="center"/>
              <w:rPr>
                <w:b/>
                <w:sz w:val="21"/>
                <w:szCs w:val="21"/>
              </w:rPr>
            </w:pPr>
          </w:p>
          <w:p w14:paraId="6E20B797">
            <w:pPr>
              <w:pStyle w:val="159"/>
              <w:spacing w:line="240" w:lineRule="auto"/>
              <w:ind w:firstLine="0" w:firstLineChars="0"/>
              <w:jc w:val="center"/>
              <w:rPr>
                <w:b/>
                <w:sz w:val="21"/>
                <w:szCs w:val="21"/>
              </w:rPr>
            </w:pPr>
          </w:p>
          <w:p w14:paraId="6580E1EC">
            <w:pPr>
              <w:pStyle w:val="159"/>
              <w:spacing w:line="240" w:lineRule="auto"/>
              <w:ind w:firstLine="0" w:firstLineChars="0"/>
              <w:jc w:val="center"/>
              <w:rPr>
                <w:b/>
                <w:sz w:val="21"/>
                <w:szCs w:val="21"/>
              </w:rPr>
            </w:pPr>
          </w:p>
          <w:p w14:paraId="7B224888">
            <w:pPr>
              <w:pStyle w:val="159"/>
              <w:spacing w:line="240" w:lineRule="auto"/>
              <w:ind w:firstLine="0" w:firstLineChars="0"/>
              <w:jc w:val="center"/>
              <w:rPr>
                <w:b/>
                <w:sz w:val="21"/>
                <w:szCs w:val="21"/>
              </w:rPr>
            </w:pPr>
          </w:p>
          <w:p w14:paraId="6EE01139">
            <w:pPr>
              <w:pStyle w:val="159"/>
              <w:spacing w:line="240" w:lineRule="auto"/>
              <w:ind w:firstLine="0" w:firstLineChars="0"/>
              <w:jc w:val="center"/>
              <w:rPr>
                <w:b/>
                <w:sz w:val="21"/>
                <w:szCs w:val="21"/>
              </w:rPr>
            </w:pPr>
          </w:p>
        </w:tc>
      </w:tr>
    </w:tbl>
    <w:p w14:paraId="4E38748C">
      <w:pPr>
        <w:pStyle w:val="39"/>
        <w:jc w:val="center"/>
        <w:rPr>
          <w:rFonts w:ascii="Times New Roman" w:hAnsi="Times New Roman" w:eastAsia="黑体"/>
          <w:snapToGrid w:val="0"/>
          <w:color w:val="000000" w:themeColor="text1"/>
          <w:sz w:val="36"/>
          <w:szCs w:val="36"/>
          <w14:textFill>
            <w14:solidFill>
              <w14:schemeClr w14:val="tx1"/>
            </w14:solidFill>
          </w14:textFill>
        </w:rPr>
        <w:sectPr>
          <w:pgSz w:w="11906" w:h="16838"/>
          <w:pgMar w:top="1440" w:right="1080" w:bottom="1440" w:left="1080" w:header="851" w:footer="851" w:gutter="0"/>
          <w:cols w:space="720" w:num="1"/>
          <w:docGrid w:linePitch="312" w:charSpace="0"/>
        </w:sectPr>
      </w:pPr>
    </w:p>
    <w:p w14:paraId="66DBF147">
      <w:pPr>
        <w:pStyle w:val="40"/>
        <w:spacing w:before="0" w:after="0"/>
        <w:rPr>
          <w:snapToGrid w:val="0"/>
          <w:color w:val="000000" w:themeColor="text1"/>
          <w14:textFill>
            <w14:solidFill>
              <w14:schemeClr w14:val="tx1"/>
            </w14:solidFill>
          </w14:textFill>
        </w:rPr>
      </w:pPr>
      <w:bookmarkStart w:id="6" w:name="_Toc198560475"/>
      <w:r>
        <w:rPr>
          <w:snapToGrid w:val="0"/>
          <w:color w:val="000000" w:themeColor="text1"/>
          <w14:textFill>
            <w14:solidFill>
              <w14:schemeClr w14:val="tx1"/>
            </w14:solidFill>
          </w14:textFill>
        </w:rPr>
        <w:t>三、区域环境质量现状、环境保护目标及评价标准</w:t>
      </w:r>
      <w:bookmarkEnd w:id="6"/>
    </w:p>
    <w:tbl>
      <w:tblPr>
        <w:tblStyle w:val="43"/>
        <w:tblW w:w="496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9432"/>
      </w:tblGrid>
      <w:tr w14:paraId="419DFF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97" w:type="dxa"/>
            <w:vAlign w:val="center"/>
          </w:tcPr>
          <w:p w14:paraId="1EC42981">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区域环境质量现状</w:t>
            </w:r>
          </w:p>
        </w:tc>
        <w:tc>
          <w:tcPr>
            <w:tcW w:w="9256" w:type="dxa"/>
          </w:tcPr>
          <w:p w14:paraId="6679053D">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一、大气环境质量现状</w:t>
            </w:r>
          </w:p>
          <w:p w14:paraId="4BCAEB06">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1、项目所在区域环境质量达标情况</w:t>
            </w:r>
          </w:p>
          <w:p w14:paraId="42A7144E">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本次评价引用江西省生态环境厅公布的</w:t>
            </w:r>
            <w:r>
              <w:rPr>
                <w:rFonts w:hint="eastAsia"/>
                <w:color w:val="000000" w:themeColor="text1"/>
                <w:sz w:val="24"/>
                <w14:textFill>
                  <w14:solidFill>
                    <w14:schemeClr w14:val="tx1"/>
                  </w14:solidFill>
                </w14:textFill>
              </w:rPr>
              <w:t>高安市</w:t>
            </w:r>
            <w:r>
              <w:rPr>
                <w:color w:val="000000" w:themeColor="text1"/>
                <w:sz w:val="24"/>
                <w14:textFill>
                  <w14:solidFill>
                    <w14:schemeClr w14:val="tx1"/>
                  </w14:solidFill>
                </w14:textFill>
              </w:rPr>
              <w:t>《202</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年江西省各县（市、区）六项污染物浓度年均值》对本项目区域达标性判定，统计结果见表3-1所示。</w:t>
            </w:r>
          </w:p>
          <w:p w14:paraId="1EC2C6FC">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表3-1  区域空气质量现状评价表</w:t>
            </w:r>
          </w:p>
          <w:tbl>
            <w:tblPr>
              <w:tblStyle w:val="4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5"/>
              <w:gridCol w:w="2923"/>
              <w:gridCol w:w="1849"/>
              <w:gridCol w:w="1490"/>
              <w:gridCol w:w="1059"/>
              <w:gridCol w:w="980"/>
            </w:tblGrid>
            <w:tr w14:paraId="11708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rPr>
              <w:tc>
                <w:tcPr>
                  <w:tcW w:w="492" w:type="pct"/>
                  <w:vAlign w:val="center"/>
                </w:tcPr>
                <w:p w14:paraId="3158727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污染物</w:t>
                  </w:r>
                </w:p>
              </w:tc>
              <w:tc>
                <w:tcPr>
                  <w:tcW w:w="1588" w:type="pct"/>
                  <w:vAlign w:val="center"/>
                </w:tcPr>
                <w:p w14:paraId="292AF1B4">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年评价指标</w:t>
                  </w:r>
                </w:p>
              </w:tc>
              <w:tc>
                <w:tcPr>
                  <w:tcW w:w="1004" w:type="pct"/>
                  <w:vAlign w:val="center"/>
                </w:tcPr>
                <w:p w14:paraId="6F87570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现状浓度（μg/m</w:t>
                  </w:r>
                  <w:r>
                    <w:rPr>
                      <w:rFonts w:eastAsiaTheme="minorEastAsia"/>
                      <w:bCs/>
                      <w:color w:val="000000" w:themeColor="text1"/>
                      <w:szCs w:val="21"/>
                      <w:vertAlign w:val="superscript"/>
                      <w14:textFill>
                        <w14:solidFill>
                          <w14:schemeClr w14:val="tx1"/>
                        </w14:solidFill>
                      </w14:textFill>
                    </w:rPr>
                    <w:t>3</w:t>
                  </w:r>
                  <w:r>
                    <w:rPr>
                      <w:rFonts w:eastAsiaTheme="minorEastAsia"/>
                      <w:bCs/>
                      <w:color w:val="000000" w:themeColor="text1"/>
                      <w:szCs w:val="21"/>
                      <w14:textFill>
                        <w14:solidFill>
                          <w14:schemeClr w14:val="tx1"/>
                        </w14:solidFill>
                      </w14:textFill>
                    </w:rPr>
                    <w:t>）</w:t>
                  </w:r>
                </w:p>
              </w:tc>
              <w:tc>
                <w:tcPr>
                  <w:tcW w:w="809" w:type="pct"/>
                  <w:vAlign w:val="center"/>
                </w:tcPr>
                <w:p w14:paraId="3621F90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标准值（μg/m</w:t>
                  </w:r>
                  <w:r>
                    <w:rPr>
                      <w:rFonts w:eastAsiaTheme="minorEastAsia"/>
                      <w:bCs/>
                      <w:color w:val="000000" w:themeColor="text1"/>
                      <w:szCs w:val="21"/>
                      <w:vertAlign w:val="superscript"/>
                      <w14:textFill>
                        <w14:solidFill>
                          <w14:schemeClr w14:val="tx1"/>
                        </w14:solidFill>
                      </w14:textFill>
                    </w:rPr>
                    <w:t>3</w:t>
                  </w:r>
                  <w:r>
                    <w:rPr>
                      <w:rFonts w:eastAsiaTheme="minorEastAsia"/>
                      <w:bCs/>
                      <w:color w:val="000000" w:themeColor="text1"/>
                      <w:szCs w:val="21"/>
                      <w14:textFill>
                        <w14:solidFill>
                          <w14:schemeClr w14:val="tx1"/>
                        </w14:solidFill>
                      </w14:textFill>
                    </w:rPr>
                    <w:t>）</w:t>
                  </w:r>
                </w:p>
              </w:tc>
              <w:tc>
                <w:tcPr>
                  <w:tcW w:w="575" w:type="pct"/>
                  <w:vAlign w:val="center"/>
                </w:tcPr>
                <w:p w14:paraId="505AC9B9">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占标率%</w:t>
                  </w:r>
                </w:p>
              </w:tc>
              <w:tc>
                <w:tcPr>
                  <w:tcW w:w="533" w:type="pct"/>
                  <w:vAlign w:val="center"/>
                </w:tcPr>
                <w:p w14:paraId="45F98BAF">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达标情况</w:t>
                  </w:r>
                </w:p>
              </w:tc>
            </w:tr>
            <w:tr w14:paraId="2B32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 w:hRule="atLeast"/>
              </w:trPr>
              <w:tc>
                <w:tcPr>
                  <w:tcW w:w="492" w:type="pct"/>
                  <w:vAlign w:val="center"/>
                </w:tcPr>
                <w:p w14:paraId="259F8A57">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SO</w:t>
                  </w:r>
                  <w:r>
                    <w:rPr>
                      <w:rFonts w:eastAsiaTheme="minorEastAsia"/>
                      <w:bCs/>
                      <w:color w:val="000000" w:themeColor="text1"/>
                      <w:szCs w:val="21"/>
                      <w:vertAlign w:val="subscript"/>
                      <w14:textFill>
                        <w14:solidFill>
                          <w14:schemeClr w14:val="tx1"/>
                        </w14:solidFill>
                      </w14:textFill>
                    </w:rPr>
                    <w:t>2</w:t>
                  </w:r>
                </w:p>
              </w:tc>
              <w:tc>
                <w:tcPr>
                  <w:tcW w:w="1588" w:type="pct"/>
                  <w:vAlign w:val="center"/>
                </w:tcPr>
                <w:p w14:paraId="748AE26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年平均质量浓度</w:t>
                  </w:r>
                </w:p>
              </w:tc>
              <w:tc>
                <w:tcPr>
                  <w:tcW w:w="1004" w:type="pct"/>
                  <w:vAlign w:val="center"/>
                </w:tcPr>
                <w:p w14:paraId="0F1B749D">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1</w:t>
                  </w:r>
                  <w:r>
                    <w:rPr>
                      <w:rFonts w:hint="eastAsia" w:eastAsiaTheme="minorEastAsia"/>
                      <w:bCs/>
                      <w:color w:val="000000" w:themeColor="text1"/>
                      <w:szCs w:val="21"/>
                      <w14:textFill>
                        <w14:solidFill>
                          <w14:schemeClr w14:val="tx1"/>
                        </w14:solidFill>
                      </w14:textFill>
                    </w:rPr>
                    <w:t>1</w:t>
                  </w:r>
                </w:p>
              </w:tc>
              <w:tc>
                <w:tcPr>
                  <w:tcW w:w="809" w:type="pct"/>
                  <w:vAlign w:val="center"/>
                </w:tcPr>
                <w:p w14:paraId="2B5568B4">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60</w:t>
                  </w:r>
                </w:p>
              </w:tc>
              <w:tc>
                <w:tcPr>
                  <w:tcW w:w="575" w:type="pct"/>
                  <w:vAlign w:val="center"/>
                </w:tcPr>
                <w:p w14:paraId="069E87AD">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18.33</w:t>
                  </w:r>
                </w:p>
              </w:tc>
              <w:tc>
                <w:tcPr>
                  <w:tcW w:w="533" w:type="pct"/>
                  <w:vAlign w:val="center"/>
                </w:tcPr>
                <w:p w14:paraId="0AC7B9DD">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r w14:paraId="416CB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 w:hRule="atLeast"/>
              </w:trPr>
              <w:tc>
                <w:tcPr>
                  <w:tcW w:w="492" w:type="pct"/>
                  <w:vAlign w:val="center"/>
                </w:tcPr>
                <w:p w14:paraId="395F96D5">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NO</w:t>
                  </w:r>
                  <w:r>
                    <w:rPr>
                      <w:rFonts w:eastAsiaTheme="minorEastAsia"/>
                      <w:bCs/>
                      <w:color w:val="000000" w:themeColor="text1"/>
                      <w:szCs w:val="21"/>
                      <w:vertAlign w:val="subscript"/>
                      <w14:textFill>
                        <w14:solidFill>
                          <w14:schemeClr w14:val="tx1"/>
                        </w14:solidFill>
                      </w14:textFill>
                    </w:rPr>
                    <w:t>2</w:t>
                  </w:r>
                </w:p>
              </w:tc>
              <w:tc>
                <w:tcPr>
                  <w:tcW w:w="1588" w:type="pct"/>
                  <w:vAlign w:val="center"/>
                </w:tcPr>
                <w:p w14:paraId="232A338F">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年平均质量浓度</w:t>
                  </w:r>
                </w:p>
              </w:tc>
              <w:tc>
                <w:tcPr>
                  <w:tcW w:w="1004" w:type="pct"/>
                  <w:vAlign w:val="center"/>
                </w:tcPr>
                <w:p w14:paraId="2508C80C">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2</w:t>
                  </w:r>
                  <w:r>
                    <w:rPr>
                      <w:rFonts w:hint="eastAsia" w:eastAsiaTheme="minorEastAsia"/>
                      <w:bCs/>
                      <w:color w:val="000000" w:themeColor="text1"/>
                      <w:szCs w:val="21"/>
                      <w14:textFill>
                        <w14:solidFill>
                          <w14:schemeClr w14:val="tx1"/>
                        </w14:solidFill>
                      </w14:textFill>
                    </w:rPr>
                    <w:t>0</w:t>
                  </w:r>
                </w:p>
              </w:tc>
              <w:tc>
                <w:tcPr>
                  <w:tcW w:w="809" w:type="pct"/>
                  <w:vAlign w:val="center"/>
                </w:tcPr>
                <w:p w14:paraId="5CEF38B1">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40</w:t>
                  </w:r>
                </w:p>
              </w:tc>
              <w:tc>
                <w:tcPr>
                  <w:tcW w:w="575" w:type="pct"/>
                  <w:vAlign w:val="center"/>
                </w:tcPr>
                <w:p w14:paraId="605ED15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5</w:t>
                  </w:r>
                  <w:r>
                    <w:rPr>
                      <w:rFonts w:hint="eastAsia" w:eastAsiaTheme="minorEastAsia"/>
                      <w:bCs/>
                      <w:color w:val="000000" w:themeColor="text1"/>
                      <w:szCs w:val="21"/>
                      <w14:textFill>
                        <w14:solidFill>
                          <w14:schemeClr w14:val="tx1"/>
                        </w14:solidFill>
                      </w14:textFill>
                    </w:rPr>
                    <w:t>0</w:t>
                  </w:r>
                </w:p>
              </w:tc>
              <w:tc>
                <w:tcPr>
                  <w:tcW w:w="533" w:type="pct"/>
                  <w:vAlign w:val="center"/>
                </w:tcPr>
                <w:p w14:paraId="3090E34C">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r w14:paraId="0743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 w:hRule="atLeast"/>
              </w:trPr>
              <w:tc>
                <w:tcPr>
                  <w:tcW w:w="492" w:type="pct"/>
                  <w:vAlign w:val="center"/>
                </w:tcPr>
                <w:p w14:paraId="01B8387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PM</w:t>
                  </w:r>
                  <w:r>
                    <w:rPr>
                      <w:rFonts w:eastAsiaTheme="minorEastAsia"/>
                      <w:bCs/>
                      <w:color w:val="000000" w:themeColor="text1"/>
                      <w:szCs w:val="21"/>
                      <w:vertAlign w:val="subscript"/>
                      <w14:textFill>
                        <w14:solidFill>
                          <w14:schemeClr w14:val="tx1"/>
                        </w14:solidFill>
                      </w14:textFill>
                    </w:rPr>
                    <w:t>10</w:t>
                  </w:r>
                </w:p>
              </w:tc>
              <w:tc>
                <w:tcPr>
                  <w:tcW w:w="1588" w:type="pct"/>
                  <w:vAlign w:val="center"/>
                </w:tcPr>
                <w:p w14:paraId="1359CC1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年平均质量浓度</w:t>
                  </w:r>
                </w:p>
              </w:tc>
              <w:tc>
                <w:tcPr>
                  <w:tcW w:w="1004" w:type="pct"/>
                  <w:vAlign w:val="center"/>
                </w:tcPr>
                <w:p w14:paraId="76F6AEE5">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38</w:t>
                  </w:r>
                </w:p>
              </w:tc>
              <w:tc>
                <w:tcPr>
                  <w:tcW w:w="809" w:type="pct"/>
                  <w:vAlign w:val="center"/>
                </w:tcPr>
                <w:p w14:paraId="70A08EA9">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60</w:t>
                  </w:r>
                </w:p>
              </w:tc>
              <w:tc>
                <w:tcPr>
                  <w:tcW w:w="575" w:type="pct"/>
                  <w:vAlign w:val="center"/>
                </w:tcPr>
                <w:p w14:paraId="5A8DD2D1">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63.33</w:t>
                  </w:r>
                </w:p>
              </w:tc>
              <w:tc>
                <w:tcPr>
                  <w:tcW w:w="533" w:type="pct"/>
                  <w:vAlign w:val="center"/>
                </w:tcPr>
                <w:p w14:paraId="0DDD8BA6">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r w14:paraId="78C95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 w:hRule="atLeast"/>
              </w:trPr>
              <w:tc>
                <w:tcPr>
                  <w:tcW w:w="492" w:type="pct"/>
                  <w:vAlign w:val="center"/>
                </w:tcPr>
                <w:p w14:paraId="32347FD7">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PM</w:t>
                  </w:r>
                  <w:r>
                    <w:rPr>
                      <w:rFonts w:eastAsiaTheme="minorEastAsia"/>
                      <w:bCs/>
                      <w:color w:val="000000" w:themeColor="text1"/>
                      <w:szCs w:val="21"/>
                      <w:vertAlign w:val="subscript"/>
                      <w14:textFill>
                        <w14:solidFill>
                          <w14:schemeClr w14:val="tx1"/>
                        </w14:solidFill>
                      </w14:textFill>
                    </w:rPr>
                    <w:t>2.5</w:t>
                  </w:r>
                </w:p>
              </w:tc>
              <w:tc>
                <w:tcPr>
                  <w:tcW w:w="1588" w:type="pct"/>
                  <w:vAlign w:val="center"/>
                </w:tcPr>
                <w:p w14:paraId="231923A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年平均质量浓度</w:t>
                  </w:r>
                </w:p>
              </w:tc>
              <w:tc>
                <w:tcPr>
                  <w:tcW w:w="1004" w:type="pct"/>
                  <w:vAlign w:val="center"/>
                </w:tcPr>
                <w:p w14:paraId="1678F777">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2</w:t>
                  </w:r>
                  <w:r>
                    <w:rPr>
                      <w:rFonts w:hint="eastAsia" w:eastAsiaTheme="minorEastAsia"/>
                      <w:bCs/>
                      <w:color w:val="000000" w:themeColor="text1"/>
                      <w:szCs w:val="21"/>
                      <w14:textFill>
                        <w14:solidFill>
                          <w14:schemeClr w14:val="tx1"/>
                        </w14:solidFill>
                      </w14:textFill>
                    </w:rPr>
                    <w:t>3.4</w:t>
                  </w:r>
                </w:p>
              </w:tc>
              <w:tc>
                <w:tcPr>
                  <w:tcW w:w="809" w:type="pct"/>
                  <w:vAlign w:val="center"/>
                </w:tcPr>
                <w:p w14:paraId="39BA3C24">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30</w:t>
                  </w:r>
                </w:p>
              </w:tc>
              <w:tc>
                <w:tcPr>
                  <w:tcW w:w="575" w:type="pct"/>
                  <w:vAlign w:val="center"/>
                </w:tcPr>
                <w:p w14:paraId="38A1F57D">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78</w:t>
                  </w:r>
                </w:p>
              </w:tc>
              <w:tc>
                <w:tcPr>
                  <w:tcW w:w="533" w:type="pct"/>
                  <w:vAlign w:val="center"/>
                </w:tcPr>
                <w:p w14:paraId="38539008">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r w14:paraId="46C14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trPr>
              <w:tc>
                <w:tcPr>
                  <w:tcW w:w="492" w:type="pct"/>
                  <w:vAlign w:val="center"/>
                </w:tcPr>
                <w:p w14:paraId="5E4E703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CO</w:t>
                  </w:r>
                </w:p>
              </w:tc>
              <w:tc>
                <w:tcPr>
                  <w:tcW w:w="1588" w:type="pct"/>
                  <w:vAlign w:val="center"/>
                </w:tcPr>
                <w:p w14:paraId="02332A2D">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日均值95%位数值mg/m</w:t>
                  </w:r>
                  <w:r>
                    <w:rPr>
                      <w:rFonts w:eastAsiaTheme="minorEastAsia"/>
                      <w:bCs/>
                      <w:color w:val="000000" w:themeColor="text1"/>
                      <w:szCs w:val="21"/>
                      <w:vertAlign w:val="superscript"/>
                      <w14:textFill>
                        <w14:solidFill>
                          <w14:schemeClr w14:val="tx1"/>
                        </w14:solidFill>
                      </w14:textFill>
                    </w:rPr>
                    <w:t>3</w:t>
                  </w:r>
                </w:p>
              </w:tc>
              <w:tc>
                <w:tcPr>
                  <w:tcW w:w="1004" w:type="pct"/>
                  <w:vAlign w:val="center"/>
                </w:tcPr>
                <w:p w14:paraId="7FE5A50F">
                  <w:pPr>
                    <w:adjustRightInd w:val="0"/>
                    <w:snapToGrid w:val="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0.9</w:t>
                  </w:r>
                </w:p>
              </w:tc>
              <w:tc>
                <w:tcPr>
                  <w:tcW w:w="809" w:type="pct"/>
                  <w:vAlign w:val="center"/>
                </w:tcPr>
                <w:p w14:paraId="27FA30CE">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4</w:t>
                  </w:r>
                </w:p>
              </w:tc>
              <w:tc>
                <w:tcPr>
                  <w:tcW w:w="575" w:type="pct"/>
                  <w:vAlign w:val="center"/>
                </w:tcPr>
                <w:p w14:paraId="442F1F16">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2</w:t>
                  </w:r>
                  <w:r>
                    <w:rPr>
                      <w:rFonts w:hint="eastAsia" w:eastAsiaTheme="minorEastAsia"/>
                      <w:bCs/>
                      <w:color w:val="000000" w:themeColor="text1"/>
                      <w:szCs w:val="21"/>
                      <w14:textFill>
                        <w14:solidFill>
                          <w14:schemeClr w14:val="tx1"/>
                        </w14:solidFill>
                      </w14:textFill>
                    </w:rPr>
                    <w:t>2.</w:t>
                  </w:r>
                  <w:r>
                    <w:rPr>
                      <w:rFonts w:eastAsiaTheme="minorEastAsia"/>
                      <w:bCs/>
                      <w:color w:val="000000" w:themeColor="text1"/>
                      <w:szCs w:val="21"/>
                      <w14:textFill>
                        <w14:solidFill>
                          <w14:schemeClr w14:val="tx1"/>
                        </w14:solidFill>
                      </w14:textFill>
                    </w:rPr>
                    <w:t>5</w:t>
                  </w:r>
                </w:p>
              </w:tc>
              <w:tc>
                <w:tcPr>
                  <w:tcW w:w="533" w:type="pct"/>
                  <w:vAlign w:val="center"/>
                </w:tcPr>
                <w:p w14:paraId="5EC8571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r w14:paraId="34C2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492" w:type="pct"/>
                  <w:vAlign w:val="center"/>
                </w:tcPr>
                <w:p w14:paraId="7F4F1505">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O</w:t>
                  </w:r>
                  <w:r>
                    <w:rPr>
                      <w:rFonts w:eastAsiaTheme="minorEastAsia"/>
                      <w:bCs/>
                      <w:color w:val="000000" w:themeColor="text1"/>
                      <w:szCs w:val="21"/>
                      <w:vertAlign w:val="subscript"/>
                      <w14:textFill>
                        <w14:solidFill>
                          <w14:schemeClr w14:val="tx1"/>
                        </w14:solidFill>
                      </w14:textFill>
                    </w:rPr>
                    <w:t>3</w:t>
                  </w:r>
                </w:p>
              </w:tc>
              <w:tc>
                <w:tcPr>
                  <w:tcW w:w="1588" w:type="pct"/>
                  <w:vAlign w:val="center"/>
                </w:tcPr>
                <w:p w14:paraId="17E66FB5">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日最大8小时值90%位数值</w:t>
                  </w:r>
                </w:p>
              </w:tc>
              <w:tc>
                <w:tcPr>
                  <w:tcW w:w="1004" w:type="pct"/>
                  <w:vAlign w:val="center"/>
                </w:tcPr>
                <w:p w14:paraId="7E583536">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134</w:t>
                  </w:r>
                </w:p>
              </w:tc>
              <w:tc>
                <w:tcPr>
                  <w:tcW w:w="809" w:type="pct"/>
                  <w:vAlign w:val="center"/>
                </w:tcPr>
                <w:p w14:paraId="18FE5D3E">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160</w:t>
                  </w:r>
                </w:p>
              </w:tc>
              <w:tc>
                <w:tcPr>
                  <w:tcW w:w="575" w:type="pct"/>
                  <w:vAlign w:val="center"/>
                </w:tcPr>
                <w:p w14:paraId="714BDA7A">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83.75</w:t>
                  </w:r>
                </w:p>
              </w:tc>
              <w:tc>
                <w:tcPr>
                  <w:tcW w:w="533" w:type="pct"/>
                  <w:vAlign w:val="center"/>
                </w:tcPr>
                <w:p w14:paraId="06097B0D">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达标</w:t>
                  </w:r>
                </w:p>
              </w:tc>
            </w:tr>
          </w:tbl>
          <w:p w14:paraId="1EA7531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由上表可知，高安市六项污染物均可达到《环境空气质量标准》（GB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）中</w:t>
            </w:r>
            <w:r>
              <w:rPr>
                <w:rFonts w:hint="eastAsia"/>
                <w:color w:val="000000" w:themeColor="text1"/>
                <w:sz w:val="24"/>
                <w14:textFill>
                  <w14:solidFill>
                    <w14:schemeClr w14:val="tx1"/>
                  </w14:solidFill>
                </w14:textFill>
              </w:rPr>
              <w:t>过渡阶段</w:t>
            </w:r>
            <w:r>
              <w:rPr>
                <w:color w:val="000000" w:themeColor="text1"/>
                <w:sz w:val="24"/>
                <w14:textFill>
                  <w14:solidFill>
                    <w14:schemeClr w14:val="tx1"/>
                  </w14:solidFill>
                </w14:textFill>
              </w:rPr>
              <w:t>二级标准要求，属于达标区。</w:t>
            </w:r>
          </w:p>
          <w:p w14:paraId="142A556C">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2、特征污染物环境质量现状</w:t>
            </w:r>
          </w:p>
          <w:p w14:paraId="371BC416">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根据“《建设项目环境影响报告表》内容、格式及编制技术指南常见问题解答”（生态环境部，2021.10.20）中第七条“对于排放的特征污染物需要在国家（限《环境空气质量标准》（GB 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））、地方环境空气质量标准中有限值要求才涉</w:t>
            </w:r>
            <w:r>
              <w:rPr>
                <w:rFonts w:hint="eastAsia"/>
                <w:color w:val="000000" w:themeColor="text1"/>
                <w:sz w:val="24"/>
                <w14:textFill>
                  <w14:solidFill>
                    <w14:schemeClr w14:val="tx1"/>
                  </w14:solidFill>
                </w14:textFill>
              </w:rPr>
              <w:t>现状</w:t>
            </w:r>
            <w:r>
              <w:rPr>
                <w:color w:val="000000" w:themeColor="text1"/>
                <w:sz w:val="24"/>
                <w14:textFill>
                  <w14:solidFill>
                    <w14:schemeClr w14:val="tx1"/>
                  </w14:solidFill>
                </w14:textFill>
              </w:rPr>
              <w:t>值监测”。</w:t>
            </w:r>
          </w:p>
          <w:p w14:paraId="3F3E4E2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本项目排放特征污染物主要为生产过程中产生的TSP、非甲烷总烃、二甲苯，其中TSP在《环境空气质量标准》（GB 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）范围内。本次评价TSP引用江西莱思检测技术有限公司对《江西</w:t>
            </w:r>
            <w:r>
              <w:rPr>
                <w:rFonts w:hint="eastAsia"/>
                <w:color w:val="000000" w:themeColor="text1"/>
                <w:sz w:val="24"/>
                <w14:textFill>
                  <w14:solidFill>
                    <w14:schemeClr w14:val="tx1"/>
                  </w14:solidFill>
                </w14:textFill>
              </w:rPr>
              <w:t>鑫洪瑞展高科</w:t>
            </w:r>
            <w:r>
              <w:rPr>
                <w:color w:val="000000" w:themeColor="text1"/>
                <w:sz w:val="24"/>
                <w14:textFill>
                  <w14:solidFill>
                    <w14:schemeClr w14:val="tx1"/>
                  </w14:solidFill>
                </w14:textFill>
              </w:rPr>
              <w:t>有限公司</w:t>
            </w:r>
            <w:r>
              <w:rPr>
                <w:rFonts w:hint="eastAsia"/>
                <w:color w:val="000000" w:themeColor="text1"/>
                <w:sz w:val="24"/>
                <w14:textFill>
                  <w14:solidFill>
                    <w14:schemeClr w14:val="tx1"/>
                  </w14:solidFill>
                </w14:textFill>
              </w:rPr>
              <w:t>航空航天机械设备制造及维修建设项目</w:t>
            </w:r>
            <w:r>
              <w:rPr>
                <w:color w:val="000000" w:themeColor="text1"/>
                <w:sz w:val="24"/>
                <w14:textFill>
                  <w14:solidFill>
                    <w14:schemeClr w14:val="tx1"/>
                  </w14:solidFill>
                </w14:textFill>
              </w:rPr>
              <w:t>》出具的监测报告来评价，监测时间为202</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年</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月</w:t>
            </w:r>
            <w:r>
              <w:rPr>
                <w:rFonts w:hint="eastAsia"/>
                <w:color w:val="000000" w:themeColor="text1"/>
                <w:sz w:val="24"/>
                <w14:textFill>
                  <w14:solidFill>
                    <w14:schemeClr w14:val="tx1"/>
                  </w14:solidFill>
                </w14:textFill>
              </w:rPr>
              <w:t>13</w:t>
            </w:r>
            <w:r>
              <w:rPr>
                <w:color w:val="000000" w:themeColor="text1"/>
                <w:sz w:val="24"/>
                <w14:textFill>
                  <w14:solidFill>
                    <w14:schemeClr w14:val="tx1"/>
                  </w14:solidFill>
                </w14:textFill>
              </w:rPr>
              <w:t>日至</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月</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日。环境空气监测点位</w:t>
            </w:r>
            <w:r>
              <w:rPr>
                <w:rFonts w:hint="eastAsia"/>
                <w:color w:val="000000" w:themeColor="text1"/>
                <w:sz w:val="24"/>
                <w14:textFill>
                  <w14:solidFill>
                    <w14:schemeClr w14:val="tx1"/>
                  </w14:solidFill>
                </w14:textFill>
              </w:rPr>
              <w:t>下风向OA1</w:t>
            </w:r>
            <w:r>
              <w:rPr>
                <w:color w:val="000000" w:themeColor="text1"/>
                <w:sz w:val="24"/>
                <w14:textFill>
                  <w14:solidFill>
                    <w14:schemeClr w14:val="tx1"/>
                  </w14:solidFill>
                </w14:textFill>
              </w:rPr>
              <w:t>位于本项目西南侧</w:t>
            </w:r>
            <w:r>
              <w:rPr>
                <w:rFonts w:hint="eastAsia"/>
                <w:color w:val="000000" w:themeColor="text1"/>
                <w:sz w:val="24"/>
                <w14:textFill>
                  <w14:solidFill>
                    <w14:schemeClr w14:val="tx1"/>
                  </w14:solidFill>
                </w14:textFill>
              </w:rPr>
              <w:t>2773</w:t>
            </w:r>
            <w:r>
              <w:rPr>
                <w:color w:val="000000" w:themeColor="text1"/>
                <w:sz w:val="24"/>
                <w14:textFill>
                  <w14:solidFill>
                    <w14:schemeClr w14:val="tx1"/>
                  </w14:solidFill>
                </w14:textFill>
              </w:rPr>
              <w:t>m处，监测点位与本项目位置关系见表3-2。根据《建设项目环境影响报告表编制技术指南（污染影响类）（试行）》：“排放国家、地方环境空气质量标准中有标准限值要求的特征污染物时，引用建设项目周边5千米范围内近3年的现有监测数据”，因此该数据引用可行。监测结果分析见表3-3。</w:t>
            </w:r>
          </w:p>
          <w:p w14:paraId="5448A63A">
            <w:pPr>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表3-2  其他特征污染物监测点位信息表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850"/>
              <w:gridCol w:w="1874"/>
              <w:gridCol w:w="778"/>
              <w:gridCol w:w="1644"/>
              <w:gridCol w:w="900"/>
              <w:gridCol w:w="1085"/>
            </w:tblGrid>
            <w:tr w14:paraId="60488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 w:type="dxa"/>
                  <w:vAlign w:val="center"/>
                </w:tcPr>
                <w:p w14:paraId="021DCF2C">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监测点位名称</w:t>
                  </w:r>
                </w:p>
              </w:tc>
              <w:tc>
                <w:tcPr>
                  <w:tcW w:w="3034" w:type="dxa"/>
                  <w:gridSpan w:val="2"/>
                  <w:vAlign w:val="center"/>
                </w:tcPr>
                <w:p w14:paraId="4CA18521">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监测点坐标</w:t>
                  </w:r>
                </w:p>
              </w:tc>
              <w:tc>
                <w:tcPr>
                  <w:tcW w:w="830" w:type="dxa"/>
                  <w:vAlign w:val="center"/>
                </w:tcPr>
                <w:p w14:paraId="6B7D1B07">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监测因子</w:t>
                  </w:r>
                </w:p>
              </w:tc>
              <w:tc>
                <w:tcPr>
                  <w:tcW w:w="1913" w:type="dxa"/>
                  <w:vAlign w:val="center"/>
                </w:tcPr>
                <w:p w14:paraId="3982DCCC">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监测时段</w:t>
                  </w:r>
                </w:p>
              </w:tc>
              <w:tc>
                <w:tcPr>
                  <w:tcW w:w="1042" w:type="dxa"/>
                  <w:vAlign w:val="center"/>
                </w:tcPr>
                <w:p w14:paraId="6C5D3E52">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相对厂址方位</w:t>
                  </w:r>
                </w:p>
              </w:tc>
              <w:tc>
                <w:tcPr>
                  <w:tcW w:w="1186" w:type="dxa"/>
                  <w:vAlign w:val="center"/>
                </w:tcPr>
                <w:p w14:paraId="502CC32E">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相对厂界距离/m</w:t>
                  </w:r>
                </w:p>
              </w:tc>
            </w:tr>
            <w:tr w14:paraId="69A9D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 w:type="dxa"/>
                  <w:vAlign w:val="center"/>
                </w:tcPr>
                <w:p w14:paraId="5A0BA600">
                  <w:pPr>
                    <w:jc w:val="center"/>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下风向O</w:t>
                  </w:r>
                  <w:r>
                    <w:rPr>
                      <w:color w:val="000000" w:themeColor="text1"/>
                      <w14:textFill>
                        <w14:solidFill>
                          <w14:schemeClr w14:val="tx1"/>
                        </w14:solidFill>
                      </w14:textFill>
                    </w:rPr>
                    <w:t>A1</w:t>
                  </w:r>
                </w:p>
              </w:tc>
              <w:tc>
                <w:tcPr>
                  <w:tcW w:w="1451" w:type="dxa"/>
                  <w:vAlign w:val="center"/>
                </w:tcPr>
                <w:p w14:paraId="0BEC28E4">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E115°1</w:t>
                  </w:r>
                  <w:r>
                    <w:rPr>
                      <w:rFonts w:hint="eastAsia"/>
                      <w:color w:val="000000" w:themeColor="text1"/>
                      <w:kern w:val="0"/>
                      <w14:textFill>
                        <w14:solidFill>
                          <w14:schemeClr w14:val="tx1"/>
                        </w14:solidFill>
                      </w14:textFill>
                    </w:rPr>
                    <w:t>6</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9.645</w:t>
                  </w:r>
                  <w:r>
                    <w:rPr>
                      <w:color w:val="000000" w:themeColor="text1"/>
                      <w:kern w:val="0"/>
                      <w14:textFill>
                        <w14:solidFill>
                          <w14:schemeClr w14:val="tx1"/>
                        </w14:solidFill>
                      </w14:textFill>
                    </w:rPr>
                    <w:t>″</w:t>
                  </w:r>
                </w:p>
              </w:tc>
              <w:tc>
                <w:tcPr>
                  <w:tcW w:w="1583" w:type="dxa"/>
                  <w:vAlign w:val="center"/>
                </w:tcPr>
                <w:p w14:paraId="7DE972F7">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N28°</w:t>
                  </w:r>
                  <w:r>
                    <w:rPr>
                      <w:rFonts w:hint="eastAsia"/>
                      <w:color w:val="000000" w:themeColor="text1"/>
                      <w:kern w:val="0"/>
                      <w14:textFill>
                        <w14:solidFill>
                          <w14:schemeClr w14:val="tx1"/>
                        </w14:solidFill>
                      </w14:textFill>
                    </w:rPr>
                    <w:t>17</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17.321</w:t>
                  </w:r>
                  <w:r>
                    <w:rPr>
                      <w:color w:val="000000" w:themeColor="text1"/>
                      <w:kern w:val="0"/>
                      <w14:textFill>
                        <w14:solidFill>
                          <w14:schemeClr w14:val="tx1"/>
                        </w14:solidFill>
                      </w14:textFill>
                    </w:rPr>
                    <w:t>″</w:t>
                  </w:r>
                </w:p>
              </w:tc>
              <w:tc>
                <w:tcPr>
                  <w:tcW w:w="830" w:type="dxa"/>
                  <w:vAlign w:val="center"/>
                </w:tcPr>
                <w:p w14:paraId="7FEC5A26">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TSP</w:t>
                  </w:r>
                </w:p>
              </w:tc>
              <w:tc>
                <w:tcPr>
                  <w:tcW w:w="1913" w:type="dxa"/>
                  <w:vAlign w:val="center"/>
                </w:tcPr>
                <w:p w14:paraId="294B5DB7">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2025年5月13日至5月15日</w:t>
                  </w:r>
                </w:p>
              </w:tc>
              <w:tc>
                <w:tcPr>
                  <w:tcW w:w="1042" w:type="dxa"/>
                  <w:vAlign w:val="center"/>
                </w:tcPr>
                <w:p w14:paraId="4B56FD56">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西南</w:t>
                  </w:r>
                </w:p>
              </w:tc>
              <w:tc>
                <w:tcPr>
                  <w:tcW w:w="1186" w:type="dxa"/>
                  <w:vAlign w:val="center"/>
                </w:tcPr>
                <w:p w14:paraId="6341AD7F">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2773</w:t>
                  </w:r>
                </w:p>
              </w:tc>
            </w:tr>
          </w:tbl>
          <w:p w14:paraId="3607E616">
            <w:pPr>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表3-3  其他特征污染物环境质量现状监测结果评价一览表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06"/>
              <w:gridCol w:w="964"/>
              <w:gridCol w:w="855"/>
              <w:gridCol w:w="671"/>
              <w:gridCol w:w="899"/>
              <w:gridCol w:w="1085"/>
              <w:gridCol w:w="1606"/>
              <w:gridCol w:w="925"/>
              <w:gridCol w:w="753"/>
              <w:gridCol w:w="442"/>
            </w:tblGrid>
            <w:tr w14:paraId="6279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59" w:type="pct"/>
                  <w:vAlign w:val="center"/>
                </w:tcPr>
                <w:p w14:paraId="6812A25F">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监测点位</w:t>
                  </w:r>
                </w:p>
                <w:p w14:paraId="2DEC022F">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名称</w:t>
                  </w:r>
                </w:p>
              </w:tc>
              <w:tc>
                <w:tcPr>
                  <w:tcW w:w="887" w:type="pct"/>
                  <w:gridSpan w:val="2"/>
                  <w:vAlign w:val="center"/>
                </w:tcPr>
                <w:p w14:paraId="521C9F9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监测点坐标</w:t>
                  </w:r>
                </w:p>
              </w:tc>
              <w:tc>
                <w:tcPr>
                  <w:tcW w:w="377" w:type="pct"/>
                  <w:vAlign w:val="center"/>
                </w:tcPr>
                <w:p w14:paraId="2F232784">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污染物</w:t>
                  </w:r>
                </w:p>
              </w:tc>
              <w:tc>
                <w:tcPr>
                  <w:tcW w:w="501" w:type="pct"/>
                  <w:vAlign w:val="center"/>
                </w:tcPr>
                <w:p w14:paraId="72AFCD9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平均时间</w:t>
                  </w:r>
                </w:p>
              </w:tc>
              <w:tc>
                <w:tcPr>
                  <w:tcW w:w="602" w:type="pct"/>
                  <w:vAlign w:val="center"/>
                </w:tcPr>
                <w:p w14:paraId="5D6FF7FE">
                  <w:pPr>
                    <w:ind w:left="-105" w:lef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评价标准/</w:t>
                  </w:r>
                </w:p>
                <w:p w14:paraId="2B89C422">
                  <w:pPr>
                    <w:ind w:left="-105" w:lef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（µg/m</w:t>
                  </w:r>
                  <w:r>
                    <w:rPr>
                      <w:color w:val="000000" w:themeColor="text1"/>
                      <w:kern w:val="0"/>
                      <w:szCs w:val="21"/>
                      <w:vertAlign w:val="superscript"/>
                      <w14:textFill>
                        <w14:solidFill>
                          <w14:schemeClr w14:val="tx1"/>
                        </w14:solidFill>
                      </w14:textFill>
                    </w:rPr>
                    <w:t>3</w:t>
                  </w:r>
                  <w:r>
                    <w:rPr>
                      <w:color w:val="000000" w:themeColor="text1"/>
                      <w:kern w:val="0"/>
                      <w:szCs w:val="21"/>
                      <w14:textFill>
                        <w14:solidFill>
                          <w14:schemeClr w14:val="tx1"/>
                        </w14:solidFill>
                      </w14:textFill>
                    </w:rPr>
                    <w:t>）</w:t>
                  </w:r>
                </w:p>
              </w:tc>
              <w:tc>
                <w:tcPr>
                  <w:tcW w:w="885" w:type="pct"/>
                  <w:vAlign w:val="center"/>
                </w:tcPr>
                <w:p w14:paraId="5F3625AA">
                  <w:pPr>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监测浓度范围/（µg/m</w:t>
                  </w:r>
                  <w:r>
                    <w:rPr>
                      <w:color w:val="000000" w:themeColor="text1"/>
                      <w:kern w:val="0"/>
                      <w:szCs w:val="21"/>
                      <w:vertAlign w:val="superscript"/>
                      <w14:textFill>
                        <w14:solidFill>
                          <w14:schemeClr w14:val="tx1"/>
                        </w14:solidFill>
                      </w14:textFill>
                    </w:rPr>
                    <w:t>3</w:t>
                  </w:r>
                  <w:r>
                    <w:rPr>
                      <w:color w:val="000000" w:themeColor="text1"/>
                      <w:kern w:val="0"/>
                      <w:szCs w:val="21"/>
                      <w14:textFill>
                        <w14:solidFill>
                          <w14:schemeClr w14:val="tx1"/>
                        </w14:solidFill>
                      </w14:textFill>
                    </w:rPr>
                    <w:t>）</w:t>
                  </w:r>
                </w:p>
              </w:tc>
              <w:tc>
                <w:tcPr>
                  <w:tcW w:w="515" w:type="pct"/>
                  <w:vAlign w:val="center"/>
                </w:tcPr>
                <w:p w14:paraId="3B4FD86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最大浓度</w:t>
                  </w:r>
                </w:p>
                <w:p w14:paraId="012CD11E">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占标率/%</w:t>
                  </w:r>
                </w:p>
              </w:tc>
              <w:tc>
                <w:tcPr>
                  <w:tcW w:w="421" w:type="pct"/>
                  <w:vAlign w:val="center"/>
                </w:tcPr>
                <w:p w14:paraId="2F5F1124">
                  <w:pPr>
                    <w:ind w:left="-105" w:lef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超标率</w:t>
                  </w:r>
                </w:p>
                <w:p w14:paraId="6D21501E">
                  <w:pPr>
                    <w:ind w:left="-105" w:lef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253" w:type="pct"/>
                  <w:vAlign w:val="center"/>
                </w:tcPr>
                <w:p w14:paraId="320B8387">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p w14:paraId="7EC18E35">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情况</w:t>
                  </w:r>
                </w:p>
              </w:tc>
            </w:tr>
            <w:tr w14:paraId="671B0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59" w:type="pct"/>
                  <w:vAlign w:val="center"/>
                </w:tcPr>
                <w:p w14:paraId="477DD676">
                  <w:pPr>
                    <w:jc w:val="center"/>
                    <w:rPr>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下风向O</w:t>
                  </w:r>
                  <w:r>
                    <w:rPr>
                      <w:color w:val="000000" w:themeColor="text1"/>
                      <w:szCs w:val="21"/>
                      <w14:textFill>
                        <w14:solidFill>
                          <w14:schemeClr w14:val="tx1"/>
                        </w14:solidFill>
                      </w14:textFill>
                    </w:rPr>
                    <w:t>A1</w:t>
                  </w:r>
                </w:p>
              </w:tc>
              <w:tc>
                <w:tcPr>
                  <w:tcW w:w="469" w:type="pct"/>
                  <w:vAlign w:val="center"/>
                </w:tcPr>
                <w:p w14:paraId="4780C35D">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E115°1</w:t>
                  </w:r>
                  <w:r>
                    <w:rPr>
                      <w:rFonts w:hint="eastAsia"/>
                      <w:color w:val="000000" w:themeColor="text1"/>
                      <w:kern w:val="0"/>
                      <w14:textFill>
                        <w14:solidFill>
                          <w14:schemeClr w14:val="tx1"/>
                        </w14:solidFill>
                      </w14:textFill>
                    </w:rPr>
                    <w:t>6</w:t>
                  </w:r>
                  <w:r>
                    <w:rPr>
                      <w:color w:val="000000" w:themeColor="text1"/>
                      <w:kern w:val="0"/>
                      <w14:textFill>
                        <w14:solidFill>
                          <w14:schemeClr w14:val="tx1"/>
                        </w14:solidFill>
                      </w14:textFill>
                    </w:rPr>
                    <w:t>′</w:t>
                  </w:r>
                </w:p>
                <w:p w14:paraId="2EE72EB0">
                  <w:pPr>
                    <w:jc w:val="center"/>
                    <w:rPr>
                      <w:color w:val="000000" w:themeColor="text1"/>
                      <w:kern w:val="0"/>
                      <w:szCs w:val="21"/>
                      <w14:textFill>
                        <w14:solidFill>
                          <w14:schemeClr w14:val="tx1"/>
                        </w14:solidFill>
                      </w14:textFill>
                    </w:rPr>
                  </w:pPr>
                  <w:r>
                    <w:rPr>
                      <w:rFonts w:hint="eastAsia"/>
                      <w:color w:val="000000" w:themeColor="text1"/>
                      <w:kern w:val="0"/>
                      <w14:textFill>
                        <w14:solidFill>
                          <w14:schemeClr w14:val="tx1"/>
                        </w14:solidFill>
                      </w14:textFill>
                    </w:rPr>
                    <w:t>9.645</w:t>
                  </w:r>
                  <w:r>
                    <w:rPr>
                      <w:color w:val="000000" w:themeColor="text1"/>
                      <w:kern w:val="0"/>
                      <w14:textFill>
                        <w14:solidFill>
                          <w14:schemeClr w14:val="tx1"/>
                        </w14:solidFill>
                      </w14:textFill>
                    </w:rPr>
                    <w:t>″</w:t>
                  </w:r>
                </w:p>
              </w:tc>
              <w:tc>
                <w:tcPr>
                  <w:tcW w:w="419" w:type="pct"/>
                  <w:vAlign w:val="center"/>
                </w:tcPr>
                <w:p w14:paraId="1C9E04A1">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N28°</w:t>
                  </w:r>
                  <w:r>
                    <w:rPr>
                      <w:rFonts w:hint="eastAsia"/>
                      <w:color w:val="000000" w:themeColor="text1"/>
                      <w:kern w:val="0"/>
                      <w14:textFill>
                        <w14:solidFill>
                          <w14:schemeClr w14:val="tx1"/>
                        </w14:solidFill>
                      </w14:textFill>
                    </w:rPr>
                    <w:t>17</w:t>
                  </w:r>
                  <w:r>
                    <w:rPr>
                      <w:color w:val="000000" w:themeColor="text1"/>
                      <w:kern w:val="0"/>
                      <w14:textFill>
                        <w14:solidFill>
                          <w14:schemeClr w14:val="tx1"/>
                        </w14:solidFill>
                      </w14:textFill>
                    </w:rPr>
                    <w:t>′</w:t>
                  </w:r>
                </w:p>
                <w:p w14:paraId="1B6B0D36">
                  <w:pPr>
                    <w:jc w:val="center"/>
                    <w:rPr>
                      <w:color w:val="000000" w:themeColor="text1"/>
                      <w:kern w:val="0"/>
                      <w:szCs w:val="21"/>
                      <w14:textFill>
                        <w14:solidFill>
                          <w14:schemeClr w14:val="tx1"/>
                        </w14:solidFill>
                      </w14:textFill>
                    </w:rPr>
                  </w:pPr>
                  <w:r>
                    <w:rPr>
                      <w:rFonts w:hint="eastAsia"/>
                      <w:color w:val="000000" w:themeColor="text1"/>
                      <w:kern w:val="0"/>
                      <w14:textFill>
                        <w14:solidFill>
                          <w14:schemeClr w14:val="tx1"/>
                        </w14:solidFill>
                      </w14:textFill>
                    </w:rPr>
                    <w:t>17.321</w:t>
                  </w:r>
                  <w:r>
                    <w:rPr>
                      <w:color w:val="000000" w:themeColor="text1"/>
                      <w:kern w:val="0"/>
                      <w14:textFill>
                        <w14:solidFill>
                          <w14:schemeClr w14:val="tx1"/>
                        </w14:solidFill>
                      </w14:textFill>
                    </w:rPr>
                    <w:t>″</w:t>
                  </w:r>
                </w:p>
              </w:tc>
              <w:tc>
                <w:tcPr>
                  <w:tcW w:w="377" w:type="pct"/>
                  <w:vAlign w:val="center"/>
                </w:tcPr>
                <w:p w14:paraId="74E69613">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TSP</w:t>
                  </w:r>
                </w:p>
              </w:tc>
              <w:tc>
                <w:tcPr>
                  <w:tcW w:w="501" w:type="pct"/>
                  <w:vAlign w:val="center"/>
                </w:tcPr>
                <w:p w14:paraId="4D183F5A">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24h平均</w:t>
                  </w:r>
                </w:p>
              </w:tc>
              <w:tc>
                <w:tcPr>
                  <w:tcW w:w="602" w:type="pct"/>
                  <w:vAlign w:val="center"/>
                </w:tcPr>
                <w:p w14:paraId="364341A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300</w:t>
                  </w:r>
                </w:p>
              </w:tc>
              <w:tc>
                <w:tcPr>
                  <w:tcW w:w="885" w:type="pct"/>
                  <w:vAlign w:val="center"/>
                </w:tcPr>
                <w:p w14:paraId="4D398079">
                  <w:pPr>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132</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63</w:t>
                  </w:r>
                </w:p>
              </w:tc>
              <w:tc>
                <w:tcPr>
                  <w:tcW w:w="515" w:type="pct"/>
                  <w:vAlign w:val="center"/>
                </w:tcPr>
                <w:p w14:paraId="32028AA2">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54.33</w:t>
                  </w:r>
                </w:p>
              </w:tc>
              <w:tc>
                <w:tcPr>
                  <w:tcW w:w="421" w:type="pct"/>
                  <w:vAlign w:val="center"/>
                </w:tcPr>
                <w:p w14:paraId="268D392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w:t>
                  </w:r>
                </w:p>
              </w:tc>
              <w:tc>
                <w:tcPr>
                  <w:tcW w:w="253" w:type="pct"/>
                  <w:vAlign w:val="center"/>
                </w:tcPr>
                <w:p w14:paraId="12D7426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r>
          </w:tbl>
          <w:p w14:paraId="1411074F">
            <w:pPr>
              <w:spacing w:line="360" w:lineRule="auto"/>
              <w:ind w:firstLine="499"/>
              <w:rPr>
                <w:color w:val="000000" w:themeColor="text1"/>
                <w:sz w:val="24"/>
                <w14:textFill>
                  <w14:solidFill>
                    <w14:schemeClr w14:val="tx1"/>
                  </w14:solidFill>
                </w14:textFill>
              </w:rPr>
            </w:pPr>
            <w:r>
              <w:rPr>
                <w:color w:val="000000" w:themeColor="text1"/>
                <w:sz w:val="24"/>
                <w14:textFill>
                  <w14:solidFill>
                    <w14:schemeClr w14:val="tx1"/>
                  </w14:solidFill>
                </w14:textFill>
              </w:rPr>
              <w:t>监测结果表明，监测点TSP监测值相符《环境空气质量标准》（GB 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）中</w:t>
            </w:r>
            <w:r>
              <w:rPr>
                <w:rFonts w:hint="eastAsia"/>
                <w:color w:val="000000" w:themeColor="text1"/>
                <w:sz w:val="24"/>
                <w14:textFill>
                  <w14:solidFill>
                    <w14:schemeClr w14:val="tx1"/>
                  </w14:solidFill>
                </w14:textFill>
              </w:rPr>
              <w:t>表2</w:t>
            </w:r>
            <w:r>
              <w:rPr>
                <w:color w:val="000000" w:themeColor="text1"/>
                <w:sz w:val="24"/>
                <w14:textFill>
                  <w14:solidFill>
                    <w14:schemeClr w14:val="tx1"/>
                  </w14:solidFill>
                </w14:textFill>
              </w:rPr>
              <w:t>二级标准要求。</w:t>
            </w:r>
          </w:p>
          <w:p w14:paraId="6C522056">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鉴于</w:t>
            </w:r>
            <w:r>
              <w:rPr>
                <w:b w:val="0"/>
                <w:bCs/>
                <w:color w:val="000000" w:themeColor="text1"/>
                <w:szCs w:val="24"/>
                <w14:textFill>
                  <w14:solidFill>
                    <w14:schemeClr w14:val="tx1"/>
                  </w14:solidFill>
                </w14:textFill>
              </w:rPr>
              <w:t>非甲烷总烃、二甲苯不在《环境空气质量标准》（GB 3095-20</w:t>
            </w:r>
            <w:r>
              <w:rPr>
                <w:rFonts w:hint="eastAsia"/>
                <w:b w:val="0"/>
                <w:bCs/>
                <w:color w:val="000000" w:themeColor="text1"/>
                <w:szCs w:val="24"/>
                <w14:textFill>
                  <w14:solidFill>
                    <w14:schemeClr w14:val="tx1"/>
                  </w14:solidFill>
                </w14:textFill>
              </w:rPr>
              <w:t>26</w:t>
            </w:r>
            <w:r>
              <w:rPr>
                <w:b w:val="0"/>
                <w:bCs/>
                <w:color w:val="000000" w:themeColor="text1"/>
                <w:szCs w:val="24"/>
                <w14:textFill>
                  <w14:solidFill>
                    <w14:schemeClr w14:val="tx1"/>
                  </w14:solidFill>
                </w14:textFill>
              </w:rPr>
              <w:t>）范围内，故可不引用或补充现状监测数据加以说明。</w:t>
            </w:r>
          </w:p>
          <w:p w14:paraId="25AF7DC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综上，本项目所在区域基本污染物SO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、NO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、PM</w:t>
            </w:r>
            <w:r>
              <w:rPr>
                <w:color w:val="000000" w:themeColor="text1"/>
                <w:sz w:val="24"/>
                <w:vertAlign w:val="subscript"/>
                <w14:textFill>
                  <w14:solidFill>
                    <w14:schemeClr w14:val="tx1"/>
                  </w14:solidFill>
                </w14:textFill>
              </w:rPr>
              <w:t>10</w:t>
            </w:r>
            <w:r>
              <w:rPr>
                <w:color w:val="000000" w:themeColor="text1"/>
                <w:sz w:val="24"/>
                <w14:textFill>
                  <w14:solidFill>
                    <w14:schemeClr w14:val="tx1"/>
                  </w14:solidFill>
                </w14:textFill>
              </w:rPr>
              <w:t>、PM</w:t>
            </w:r>
            <w:r>
              <w:rPr>
                <w:color w:val="000000" w:themeColor="text1"/>
                <w:sz w:val="24"/>
                <w:vertAlign w:val="subscript"/>
                <w14:textFill>
                  <w14:solidFill>
                    <w14:schemeClr w14:val="tx1"/>
                  </w14:solidFill>
                </w14:textFill>
              </w:rPr>
              <w:t>2.5</w:t>
            </w:r>
            <w:r>
              <w:rPr>
                <w:color w:val="000000" w:themeColor="text1"/>
                <w:sz w:val="24"/>
                <w14:textFill>
                  <w14:solidFill>
                    <w14:schemeClr w14:val="tx1"/>
                  </w14:solidFill>
                </w14:textFill>
              </w:rPr>
              <w:t>、CO、O</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满足《环境空气质量标准》（GB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过渡阶段</w:t>
            </w:r>
            <w:r>
              <w:rPr>
                <w:color w:val="000000" w:themeColor="text1"/>
                <w:sz w:val="24"/>
                <w14:textFill>
                  <w14:solidFill>
                    <w14:schemeClr w14:val="tx1"/>
                  </w14:solidFill>
                </w14:textFill>
              </w:rPr>
              <w:t>二级标准要求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其他特征污染物TSP满足《环境空气质量标准》（GB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）二级标准要求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因此，判定项目所在区域环境空气质量为达标区域。</w:t>
            </w:r>
          </w:p>
          <w:p w14:paraId="587807FD">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二、地表水环境质量现状</w:t>
            </w:r>
          </w:p>
          <w:p w14:paraId="0FD75B91">
            <w:pPr>
              <w:pStyle w:val="159"/>
              <w:rPr>
                <w:lang w:val="en-US"/>
              </w:rPr>
            </w:pPr>
            <w:r>
              <w:rPr>
                <w:lang w:val="en-US"/>
              </w:rPr>
              <w:t>项目所在区域地表水为锦江，本项目采用《2025年宜春市环境质量月报（</w:t>
            </w:r>
            <w:r>
              <w:rPr>
                <w:rFonts w:hint="eastAsia"/>
                <w:lang w:val="en-US"/>
              </w:rPr>
              <w:t>9</w:t>
            </w:r>
            <w:r>
              <w:rPr>
                <w:lang w:val="en-US"/>
              </w:rPr>
              <w:t>月）》对周边地表水环境质量现状进行评价。具体见表3-</w:t>
            </w:r>
            <w:r>
              <w:rPr>
                <w:rFonts w:hint="eastAsia"/>
                <w:lang w:val="en-US"/>
              </w:rPr>
              <w:t>4</w:t>
            </w:r>
            <w:r>
              <w:rPr>
                <w:lang w:val="en-US"/>
              </w:rPr>
              <w:t>。</w:t>
            </w:r>
          </w:p>
          <w:p w14:paraId="53E0774E">
            <w:pPr>
              <w:pStyle w:val="159"/>
              <w:spacing w:line="240" w:lineRule="auto"/>
              <w:ind w:firstLine="0" w:firstLineChars="0"/>
              <w:jc w:val="center"/>
              <w:rPr>
                <w:b/>
                <w:sz w:val="21"/>
                <w:szCs w:val="21"/>
                <w:lang w:val="en-US"/>
              </w:rPr>
            </w:pPr>
            <w:r>
              <w:rPr>
                <w:b/>
                <w:sz w:val="21"/>
                <w:szCs w:val="21"/>
                <w:lang w:val="en-US"/>
              </w:rPr>
              <w:t>表3-</w:t>
            </w:r>
            <w:r>
              <w:rPr>
                <w:rFonts w:hint="eastAsia"/>
                <w:b/>
                <w:sz w:val="21"/>
                <w:szCs w:val="21"/>
                <w:lang w:val="en-US"/>
              </w:rPr>
              <w:t>4</w:t>
            </w:r>
            <w:r>
              <w:rPr>
                <w:b/>
                <w:sz w:val="21"/>
                <w:szCs w:val="21"/>
                <w:lang w:val="en-US"/>
              </w:rPr>
              <w:t xml:space="preserve">  202</w:t>
            </w:r>
            <w:r>
              <w:rPr>
                <w:rFonts w:hint="eastAsia"/>
                <w:b/>
                <w:sz w:val="21"/>
                <w:szCs w:val="21"/>
                <w:lang w:val="en-US"/>
              </w:rPr>
              <w:t>5</w:t>
            </w:r>
            <w:r>
              <w:rPr>
                <w:b/>
                <w:sz w:val="21"/>
                <w:szCs w:val="21"/>
                <w:lang w:val="en-US"/>
              </w:rPr>
              <w:t>年</w:t>
            </w:r>
            <w:r>
              <w:rPr>
                <w:rFonts w:hint="eastAsia"/>
                <w:b/>
                <w:sz w:val="21"/>
                <w:szCs w:val="21"/>
                <w:lang w:val="en-US"/>
              </w:rPr>
              <w:t>9</w:t>
            </w:r>
            <w:r>
              <w:rPr>
                <w:b/>
                <w:sz w:val="21"/>
                <w:szCs w:val="21"/>
                <w:lang w:val="en-US"/>
              </w:rPr>
              <w:t>月</w:t>
            </w:r>
            <w:r>
              <w:rPr>
                <w:rFonts w:hint="eastAsia"/>
                <w:b/>
                <w:sz w:val="21"/>
                <w:szCs w:val="21"/>
                <w:lang w:val="en-US"/>
              </w:rPr>
              <w:t>锦江各断面水环境质量一览表</w:t>
            </w:r>
          </w:p>
          <w:tbl>
            <w:tblPr>
              <w:tblStyle w:val="4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307"/>
              <w:gridCol w:w="1843"/>
              <w:gridCol w:w="1316"/>
              <w:gridCol w:w="1316"/>
              <w:gridCol w:w="1316"/>
              <w:gridCol w:w="1316"/>
            </w:tblGrid>
            <w:tr w14:paraId="74550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654DDCED">
                  <w:pPr>
                    <w:pStyle w:val="159"/>
                    <w:spacing w:line="240" w:lineRule="auto"/>
                    <w:ind w:firstLine="0" w:firstLineChars="0"/>
                    <w:jc w:val="center"/>
                    <w:rPr>
                      <w:b/>
                      <w:sz w:val="21"/>
                      <w:szCs w:val="21"/>
                      <w:lang w:val="en-US"/>
                    </w:rPr>
                  </w:pPr>
                  <w:r>
                    <w:rPr>
                      <w:b/>
                      <w:sz w:val="21"/>
                      <w:szCs w:val="21"/>
                      <w:lang w:val="en-US"/>
                    </w:rPr>
                    <w:t>序号</w:t>
                  </w:r>
                </w:p>
              </w:tc>
              <w:tc>
                <w:tcPr>
                  <w:tcW w:w="710" w:type="pct"/>
                  <w:tcMar>
                    <w:top w:w="0" w:type="dxa"/>
                    <w:left w:w="105" w:type="dxa"/>
                    <w:bottom w:w="0" w:type="dxa"/>
                    <w:right w:w="105" w:type="dxa"/>
                  </w:tcMar>
                  <w:vAlign w:val="center"/>
                </w:tcPr>
                <w:p w14:paraId="77215805">
                  <w:pPr>
                    <w:pStyle w:val="159"/>
                    <w:spacing w:line="240" w:lineRule="auto"/>
                    <w:ind w:firstLine="0" w:firstLineChars="0"/>
                    <w:jc w:val="center"/>
                    <w:rPr>
                      <w:b/>
                      <w:sz w:val="21"/>
                      <w:szCs w:val="21"/>
                      <w:lang w:val="en-US"/>
                    </w:rPr>
                  </w:pPr>
                  <w:r>
                    <w:rPr>
                      <w:b/>
                      <w:sz w:val="21"/>
                      <w:szCs w:val="21"/>
                      <w:lang w:val="en-US"/>
                    </w:rPr>
                    <w:t>河流名称</w:t>
                  </w:r>
                </w:p>
              </w:tc>
              <w:tc>
                <w:tcPr>
                  <w:tcW w:w="1001" w:type="pct"/>
                  <w:vAlign w:val="center"/>
                </w:tcPr>
                <w:p w14:paraId="553AB58C">
                  <w:pPr>
                    <w:pStyle w:val="159"/>
                    <w:spacing w:line="240" w:lineRule="auto"/>
                    <w:ind w:firstLine="0" w:firstLineChars="0"/>
                    <w:jc w:val="center"/>
                    <w:rPr>
                      <w:b/>
                      <w:sz w:val="21"/>
                      <w:szCs w:val="21"/>
                      <w:lang w:val="en-US"/>
                    </w:rPr>
                  </w:pPr>
                  <w:r>
                    <w:rPr>
                      <w:b/>
                      <w:sz w:val="21"/>
                      <w:szCs w:val="21"/>
                      <w:lang w:val="en-US"/>
                    </w:rPr>
                    <w:t>断面名称</w:t>
                  </w:r>
                </w:p>
              </w:tc>
              <w:tc>
                <w:tcPr>
                  <w:tcW w:w="715" w:type="pct"/>
                  <w:vAlign w:val="center"/>
                </w:tcPr>
                <w:p w14:paraId="48538DE8">
                  <w:pPr>
                    <w:pStyle w:val="159"/>
                    <w:spacing w:line="240" w:lineRule="auto"/>
                    <w:ind w:firstLine="0" w:firstLineChars="0"/>
                    <w:jc w:val="center"/>
                    <w:rPr>
                      <w:b/>
                      <w:sz w:val="21"/>
                      <w:szCs w:val="21"/>
                      <w:lang w:val="en-US"/>
                    </w:rPr>
                  </w:pPr>
                  <w:r>
                    <w:rPr>
                      <w:b/>
                      <w:sz w:val="21"/>
                      <w:szCs w:val="21"/>
                      <w:lang w:val="en-US"/>
                    </w:rPr>
                    <w:t>执行类别</w:t>
                  </w:r>
                </w:p>
              </w:tc>
              <w:tc>
                <w:tcPr>
                  <w:tcW w:w="715" w:type="pct"/>
                  <w:vAlign w:val="center"/>
                </w:tcPr>
                <w:p w14:paraId="4877D326">
                  <w:pPr>
                    <w:pStyle w:val="159"/>
                    <w:spacing w:line="240" w:lineRule="auto"/>
                    <w:ind w:firstLine="0" w:firstLineChars="0"/>
                    <w:jc w:val="center"/>
                    <w:rPr>
                      <w:b/>
                      <w:sz w:val="21"/>
                      <w:szCs w:val="21"/>
                      <w:lang w:val="en-US"/>
                    </w:rPr>
                  </w:pPr>
                  <w:r>
                    <w:rPr>
                      <w:b/>
                      <w:sz w:val="21"/>
                      <w:szCs w:val="21"/>
                      <w:lang w:val="en-US"/>
                    </w:rPr>
                    <w:t>水质类别</w:t>
                  </w:r>
                </w:p>
              </w:tc>
              <w:tc>
                <w:tcPr>
                  <w:tcW w:w="715" w:type="pct"/>
                  <w:vAlign w:val="center"/>
                </w:tcPr>
                <w:p w14:paraId="37EC38CA">
                  <w:pPr>
                    <w:pStyle w:val="159"/>
                    <w:spacing w:line="240" w:lineRule="auto"/>
                    <w:ind w:firstLine="0" w:firstLineChars="0"/>
                    <w:jc w:val="center"/>
                    <w:rPr>
                      <w:b/>
                      <w:sz w:val="21"/>
                      <w:szCs w:val="21"/>
                      <w:lang w:val="en-US"/>
                    </w:rPr>
                  </w:pPr>
                  <w:r>
                    <w:rPr>
                      <w:b/>
                      <w:sz w:val="21"/>
                      <w:szCs w:val="21"/>
                      <w:lang w:val="en-US"/>
                    </w:rPr>
                    <w:t>达标情况</w:t>
                  </w:r>
                </w:p>
              </w:tc>
              <w:tc>
                <w:tcPr>
                  <w:tcW w:w="715" w:type="pct"/>
                  <w:vAlign w:val="center"/>
                </w:tcPr>
                <w:p w14:paraId="7C4B6B01">
                  <w:pPr>
                    <w:pStyle w:val="159"/>
                    <w:spacing w:line="240" w:lineRule="auto"/>
                    <w:ind w:firstLine="0" w:firstLineChars="0"/>
                    <w:jc w:val="center"/>
                    <w:rPr>
                      <w:b/>
                      <w:sz w:val="21"/>
                      <w:szCs w:val="21"/>
                      <w:lang w:val="en-US"/>
                    </w:rPr>
                  </w:pPr>
                  <w:r>
                    <w:rPr>
                      <w:b/>
                      <w:sz w:val="21"/>
                      <w:szCs w:val="21"/>
                      <w:lang w:val="en-US"/>
                    </w:rPr>
                    <w:t>超标因子</w:t>
                  </w:r>
                </w:p>
              </w:tc>
            </w:tr>
            <w:tr w14:paraId="228B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7DCBD185">
                  <w:pPr>
                    <w:pStyle w:val="159"/>
                    <w:spacing w:line="240" w:lineRule="auto"/>
                    <w:ind w:firstLine="0" w:firstLineChars="0"/>
                    <w:jc w:val="center"/>
                    <w:rPr>
                      <w:sz w:val="21"/>
                      <w:szCs w:val="21"/>
                      <w:lang w:val="en-US"/>
                    </w:rPr>
                  </w:pPr>
                  <w:r>
                    <w:rPr>
                      <w:sz w:val="21"/>
                      <w:szCs w:val="21"/>
                      <w:lang w:val="en-US"/>
                    </w:rPr>
                    <w:t>1</w:t>
                  </w:r>
                </w:p>
              </w:tc>
              <w:tc>
                <w:tcPr>
                  <w:tcW w:w="710" w:type="pct"/>
                  <w:tcMar>
                    <w:top w:w="0" w:type="dxa"/>
                    <w:left w:w="105" w:type="dxa"/>
                    <w:bottom w:w="0" w:type="dxa"/>
                    <w:right w:w="105" w:type="dxa"/>
                  </w:tcMar>
                  <w:vAlign w:val="center"/>
                </w:tcPr>
                <w:p w14:paraId="0F31E69D">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0868BBED">
                  <w:pPr>
                    <w:pStyle w:val="159"/>
                    <w:spacing w:line="240" w:lineRule="auto"/>
                    <w:ind w:firstLine="0" w:firstLineChars="0"/>
                    <w:jc w:val="center"/>
                    <w:rPr>
                      <w:sz w:val="21"/>
                      <w:szCs w:val="21"/>
                      <w:lang w:val="en-US"/>
                    </w:rPr>
                  </w:pPr>
                  <w:r>
                    <w:rPr>
                      <w:sz w:val="21"/>
                      <w:szCs w:val="21"/>
                      <w:lang w:val="en-US"/>
                    </w:rPr>
                    <w:t>锦江江口</w:t>
                  </w:r>
                </w:p>
              </w:tc>
              <w:tc>
                <w:tcPr>
                  <w:tcW w:w="715" w:type="pct"/>
                  <w:vAlign w:val="center"/>
                </w:tcPr>
                <w:p w14:paraId="34FE30FD">
                  <w:pPr>
                    <w:pStyle w:val="159"/>
                    <w:spacing w:line="240" w:lineRule="auto"/>
                    <w:ind w:firstLine="0" w:firstLineChars="0"/>
                    <w:jc w:val="center"/>
                    <w:rPr>
                      <w:sz w:val="21"/>
                      <w:szCs w:val="21"/>
                      <w:lang w:val="en-US"/>
                    </w:rPr>
                  </w:pPr>
                  <w:r>
                    <w:rPr>
                      <w:sz w:val="21"/>
                      <w:szCs w:val="21"/>
                      <w:lang w:val="en-US"/>
                    </w:rPr>
                    <w:t>Ⅲ类</w:t>
                  </w:r>
                </w:p>
              </w:tc>
              <w:tc>
                <w:tcPr>
                  <w:tcW w:w="715" w:type="pct"/>
                </w:tcPr>
                <w:p w14:paraId="16AA351A">
                  <w:pPr>
                    <w:pStyle w:val="159"/>
                    <w:spacing w:line="240" w:lineRule="auto"/>
                    <w:ind w:firstLine="0" w:firstLineChars="0"/>
                    <w:jc w:val="center"/>
                    <w:rPr>
                      <w:sz w:val="21"/>
                      <w:szCs w:val="21"/>
                      <w:lang w:val="en-US"/>
                    </w:rPr>
                  </w:pPr>
                  <w:r>
                    <w:rPr>
                      <w:sz w:val="21"/>
                      <w:szCs w:val="21"/>
                      <w:lang w:val="en-US"/>
                    </w:rPr>
                    <w:t>Ⅲ类</w:t>
                  </w:r>
                </w:p>
              </w:tc>
              <w:tc>
                <w:tcPr>
                  <w:tcW w:w="715" w:type="pct"/>
                  <w:vAlign w:val="center"/>
                </w:tcPr>
                <w:p w14:paraId="1AC3DC19">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66DF60A7">
                  <w:pPr>
                    <w:pStyle w:val="159"/>
                    <w:spacing w:line="240" w:lineRule="auto"/>
                    <w:ind w:firstLine="0" w:firstLineChars="0"/>
                    <w:jc w:val="center"/>
                    <w:rPr>
                      <w:sz w:val="21"/>
                      <w:szCs w:val="21"/>
                      <w:lang w:val="en-US"/>
                    </w:rPr>
                  </w:pPr>
                  <w:r>
                    <w:rPr>
                      <w:sz w:val="21"/>
                      <w:szCs w:val="21"/>
                      <w:lang w:val="en-US"/>
                    </w:rPr>
                    <w:t>无</w:t>
                  </w:r>
                </w:p>
              </w:tc>
            </w:tr>
            <w:tr w14:paraId="47C3C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6B69F316">
                  <w:pPr>
                    <w:pStyle w:val="159"/>
                    <w:spacing w:line="240" w:lineRule="auto"/>
                    <w:ind w:firstLine="0" w:firstLineChars="0"/>
                    <w:jc w:val="center"/>
                    <w:rPr>
                      <w:sz w:val="21"/>
                      <w:szCs w:val="21"/>
                      <w:lang w:val="en-US"/>
                    </w:rPr>
                  </w:pPr>
                  <w:r>
                    <w:rPr>
                      <w:sz w:val="21"/>
                      <w:szCs w:val="21"/>
                      <w:lang w:val="en-US"/>
                    </w:rPr>
                    <w:t>2</w:t>
                  </w:r>
                </w:p>
              </w:tc>
              <w:tc>
                <w:tcPr>
                  <w:tcW w:w="710" w:type="pct"/>
                  <w:tcMar>
                    <w:top w:w="0" w:type="dxa"/>
                    <w:left w:w="105" w:type="dxa"/>
                    <w:bottom w:w="0" w:type="dxa"/>
                    <w:right w:w="105" w:type="dxa"/>
                  </w:tcMar>
                  <w:vAlign w:val="center"/>
                </w:tcPr>
                <w:p w14:paraId="5A9F9212">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36B398C7">
                  <w:pPr>
                    <w:pStyle w:val="159"/>
                    <w:spacing w:line="240" w:lineRule="auto"/>
                    <w:ind w:firstLine="0" w:firstLineChars="0"/>
                    <w:jc w:val="center"/>
                    <w:rPr>
                      <w:sz w:val="21"/>
                      <w:szCs w:val="21"/>
                      <w:lang w:val="en-US"/>
                    </w:rPr>
                  </w:pPr>
                  <w:r>
                    <w:rPr>
                      <w:sz w:val="21"/>
                      <w:szCs w:val="21"/>
                      <w:lang w:val="en-US"/>
                    </w:rPr>
                    <w:t>上高凌江大桥</w:t>
                  </w:r>
                </w:p>
              </w:tc>
              <w:tc>
                <w:tcPr>
                  <w:tcW w:w="715" w:type="pct"/>
                </w:tcPr>
                <w:p w14:paraId="22F8D4C6">
                  <w:pPr>
                    <w:pStyle w:val="159"/>
                    <w:spacing w:line="240" w:lineRule="auto"/>
                    <w:ind w:firstLine="0" w:firstLineChars="0"/>
                    <w:jc w:val="center"/>
                    <w:rPr>
                      <w:sz w:val="21"/>
                      <w:szCs w:val="21"/>
                      <w:lang w:val="en-US"/>
                    </w:rPr>
                  </w:pPr>
                  <w:r>
                    <w:rPr>
                      <w:sz w:val="21"/>
                      <w:szCs w:val="21"/>
                      <w:lang w:val="en-US"/>
                    </w:rPr>
                    <w:t>Ⅲ类</w:t>
                  </w:r>
                </w:p>
              </w:tc>
              <w:tc>
                <w:tcPr>
                  <w:tcW w:w="715" w:type="pct"/>
                </w:tcPr>
                <w:p w14:paraId="3F077889">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1CA7F9FC">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732E06B2">
                  <w:pPr>
                    <w:pStyle w:val="159"/>
                    <w:spacing w:line="240" w:lineRule="auto"/>
                    <w:ind w:firstLine="0" w:firstLineChars="0"/>
                    <w:jc w:val="center"/>
                    <w:rPr>
                      <w:sz w:val="21"/>
                      <w:szCs w:val="21"/>
                      <w:lang w:val="en-US"/>
                    </w:rPr>
                  </w:pPr>
                  <w:r>
                    <w:rPr>
                      <w:sz w:val="21"/>
                      <w:szCs w:val="21"/>
                      <w:lang w:val="en-US"/>
                    </w:rPr>
                    <w:t>无</w:t>
                  </w:r>
                </w:p>
              </w:tc>
            </w:tr>
            <w:tr w14:paraId="2237D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3C888CD0">
                  <w:pPr>
                    <w:pStyle w:val="159"/>
                    <w:spacing w:line="240" w:lineRule="auto"/>
                    <w:ind w:firstLine="0" w:firstLineChars="0"/>
                    <w:jc w:val="center"/>
                    <w:rPr>
                      <w:sz w:val="21"/>
                      <w:szCs w:val="21"/>
                      <w:lang w:val="en-US"/>
                    </w:rPr>
                  </w:pPr>
                  <w:r>
                    <w:rPr>
                      <w:sz w:val="21"/>
                      <w:szCs w:val="21"/>
                      <w:lang w:val="en-US"/>
                    </w:rPr>
                    <w:t>3</w:t>
                  </w:r>
                </w:p>
              </w:tc>
              <w:tc>
                <w:tcPr>
                  <w:tcW w:w="710" w:type="pct"/>
                  <w:tcMar>
                    <w:top w:w="0" w:type="dxa"/>
                    <w:left w:w="105" w:type="dxa"/>
                    <w:bottom w:w="0" w:type="dxa"/>
                    <w:right w:w="105" w:type="dxa"/>
                  </w:tcMar>
                  <w:vAlign w:val="center"/>
                </w:tcPr>
                <w:p w14:paraId="5D8ECFA4">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4AC0BCBD">
                  <w:pPr>
                    <w:pStyle w:val="159"/>
                    <w:spacing w:line="240" w:lineRule="auto"/>
                    <w:ind w:firstLine="0" w:firstLineChars="0"/>
                    <w:jc w:val="center"/>
                    <w:rPr>
                      <w:sz w:val="21"/>
                      <w:szCs w:val="21"/>
                      <w:lang w:val="en-US"/>
                    </w:rPr>
                  </w:pPr>
                  <w:r>
                    <w:rPr>
                      <w:sz w:val="21"/>
                      <w:szCs w:val="21"/>
                      <w:lang w:val="en-US"/>
                    </w:rPr>
                    <w:t>均车村</w:t>
                  </w:r>
                </w:p>
              </w:tc>
              <w:tc>
                <w:tcPr>
                  <w:tcW w:w="715" w:type="pct"/>
                </w:tcPr>
                <w:p w14:paraId="5F1589A8">
                  <w:pPr>
                    <w:pStyle w:val="159"/>
                    <w:spacing w:line="240" w:lineRule="auto"/>
                    <w:ind w:firstLine="0" w:firstLineChars="0"/>
                    <w:jc w:val="center"/>
                    <w:rPr>
                      <w:sz w:val="21"/>
                      <w:szCs w:val="21"/>
                      <w:lang w:val="en-US"/>
                    </w:rPr>
                  </w:pPr>
                  <w:r>
                    <w:rPr>
                      <w:sz w:val="21"/>
                      <w:szCs w:val="21"/>
                      <w:lang w:val="en-US"/>
                    </w:rPr>
                    <w:t>Ⅲ类</w:t>
                  </w:r>
                </w:p>
              </w:tc>
              <w:tc>
                <w:tcPr>
                  <w:tcW w:w="715" w:type="pct"/>
                </w:tcPr>
                <w:p w14:paraId="584EDA8E">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64236255">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3C805489">
                  <w:pPr>
                    <w:pStyle w:val="159"/>
                    <w:spacing w:line="240" w:lineRule="auto"/>
                    <w:ind w:firstLine="0" w:firstLineChars="0"/>
                    <w:jc w:val="center"/>
                    <w:rPr>
                      <w:sz w:val="21"/>
                      <w:szCs w:val="21"/>
                      <w:lang w:val="en-US"/>
                    </w:rPr>
                  </w:pPr>
                  <w:r>
                    <w:rPr>
                      <w:sz w:val="21"/>
                      <w:szCs w:val="21"/>
                      <w:lang w:val="en-US"/>
                    </w:rPr>
                    <w:t>无</w:t>
                  </w:r>
                </w:p>
              </w:tc>
            </w:tr>
            <w:tr w14:paraId="63F8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53345D14">
                  <w:pPr>
                    <w:pStyle w:val="159"/>
                    <w:spacing w:line="240" w:lineRule="auto"/>
                    <w:ind w:firstLine="0" w:firstLineChars="0"/>
                    <w:jc w:val="center"/>
                    <w:rPr>
                      <w:sz w:val="21"/>
                      <w:szCs w:val="21"/>
                      <w:lang w:val="en-US"/>
                    </w:rPr>
                  </w:pPr>
                  <w:r>
                    <w:rPr>
                      <w:sz w:val="21"/>
                      <w:szCs w:val="21"/>
                      <w:lang w:val="en-US"/>
                    </w:rPr>
                    <w:t>4</w:t>
                  </w:r>
                </w:p>
              </w:tc>
              <w:tc>
                <w:tcPr>
                  <w:tcW w:w="710" w:type="pct"/>
                  <w:tcMar>
                    <w:top w:w="0" w:type="dxa"/>
                    <w:left w:w="105" w:type="dxa"/>
                    <w:bottom w:w="0" w:type="dxa"/>
                    <w:right w:w="105" w:type="dxa"/>
                  </w:tcMar>
                  <w:vAlign w:val="center"/>
                </w:tcPr>
                <w:p w14:paraId="1AE3B01E">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2BE83F4C">
                  <w:pPr>
                    <w:pStyle w:val="159"/>
                    <w:spacing w:line="240" w:lineRule="auto"/>
                    <w:ind w:firstLine="0" w:firstLineChars="0"/>
                    <w:jc w:val="center"/>
                    <w:rPr>
                      <w:sz w:val="21"/>
                      <w:szCs w:val="21"/>
                      <w:lang w:val="en-US"/>
                    </w:rPr>
                  </w:pPr>
                  <w:r>
                    <w:rPr>
                      <w:sz w:val="21"/>
                      <w:szCs w:val="21"/>
                      <w:lang w:val="en-US"/>
                    </w:rPr>
                    <w:t>上高徐家渡</w:t>
                  </w:r>
                </w:p>
              </w:tc>
              <w:tc>
                <w:tcPr>
                  <w:tcW w:w="715" w:type="pct"/>
                </w:tcPr>
                <w:p w14:paraId="07D11CA1">
                  <w:pPr>
                    <w:pStyle w:val="159"/>
                    <w:spacing w:line="240" w:lineRule="auto"/>
                    <w:ind w:firstLine="0" w:firstLineChars="0"/>
                    <w:jc w:val="center"/>
                    <w:rPr>
                      <w:sz w:val="21"/>
                      <w:szCs w:val="21"/>
                      <w:lang w:val="en-US"/>
                    </w:rPr>
                  </w:pPr>
                  <w:r>
                    <w:rPr>
                      <w:sz w:val="21"/>
                      <w:szCs w:val="21"/>
                      <w:lang w:val="en-US"/>
                    </w:rPr>
                    <w:t>Ⅲ类</w:t>
                  </w:r>
                </w:p>
              </w:tc>
              <w:tc>
                <w:tcPr>
                  <w:tcW w:w="715" w:type="pct"/>
                </w:tcPr>
                <w:p w14:paraId="7C44140B">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5AC1D5BE">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5931BBA7">
                  <w:pPr>
                    <w:pStyle w:val="159"/>
                    <w:spacing w:line="240" w:lineRule="auto"/>
                    <w:ind w:firstLine="0" w:firstLineChars="0"/>
                    <w:jc w:val="center"/>
                    <w:rPr>
                      <w:sz w:val="21"/>
                      <w:szCs w:val="21"/>
                      <w:lang w:val="en-US"/>
                    </w:rPr>
                  </w:pPr>
                  <w:r>
                    <w:rPr>
                      <w:sz w:val="21"/>
                      <w:szCs w:val="21"/>
                      <w:lang w:val="en-US"/>
                    </w:rPr>
                    <w:t>无</w:t>
                  </w:r>
                </w:p>
              </w:tc>
            </w:tr>
            <w:tr w14:paraId="24B87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5F22F305">
                  <w:pPr>
                    <w:pStyle w:val="159"/>
                    <w:spacing w:line="240" w:lineRule="auto"/>
                    <w:ind w:firstLine="0" w:firstLineChars="0"/>
                    <w:jc w:val="center"/>
                    <w:rPr>
                      <w:sz w:val="21"/>
                      <w:szCs w:val="21"/>
                      <w:lang w:val="en-US"/>
                    </w:rPr>
                  </w:pPr>
                  <w:r>
                    <w:rPr>
                      <w:sz w:val="21"/>
                      <w:szCs w:val="21"/>
                      <w:lang w:val="en-US"/>
                    </w:rPr>
                    <w:t>5</w:t>
                  </w:r>
                </w:p>
              </w:tc>
              <w:tc>
                <w:tcPr>
                  <w:tcW w:w="710" w:type="pct"/>
                  <w:tcMar>
                    <w:top w:w="0" w:type="dxa"/>
                    <w:left w:w="105" w:type="dxa"/>
                    <w:bottom w:w="0" w:type="dxa"/>
                    <w:right w:w="105" w:type="dxa"/>
                  </w:tcMar>
                  <w:vAlign w:val="center"/>
                </w:tcPr>
                <w:p w14:paraId="5AD1FC01">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44BD8F80">
                  <w:pPr>
                    <w:pStyle w:val="159"/>
                    <w:spacing w:line="240" w:lineRule="auto"/>
                    <w:ind w:firstLine="0" w:firstLineChars="0"/>
                    <w:jc w:val="center"/>
                    <w:rPr>
                      <w:sz w:val="21"/>
                      <w:szCs w:val="21"/>
                      <w:lang w:val="en-US"/>
                    </w:rPr>
                  </w:pPr>
                  <w:r>
                    <w:rPr>
                      <w:sz w:val="21"/>
                      <w:szCs w:val="21"/>
                      <w:lang w:val="en-US"/>
                    </w:rPr>
                    <w:t>万载枣木村</w:t>
                  </w:r>
                </w:p>
              </w:tc>
              <w:tc>
                <w:tcPr>
                  <w:tcW w:w="715" w:type="pct"/>
                </w:tcPr>
                <w:p w14:paraId="3736F2DF">
                  <w:pPr>
                    <w:pStyle w:val="159"/>
                    <w:spacing w:line="240" w:lineRule="auto"/>
                    <w:ind w:firstLine="0" w:firstLineChars="0"/>
                    <w:jc w:val="center"/>
                    <w:rPr>
                      <w:sz w:val="21"/>
                      <w:szCs w:val="21"/>
                      <w:lang w:val="en-US"/>
                    </w:rPr>
                  </w:pPr>
                  <w:r>
                    <w:rPr>
                      <w:sz w:val="21"/>
                      <w:szCs w:val="21"/>
                      <w:lang w:val="en-US"/>
                    </w:rPr>
                    <w:t>Ⅲ类</w:t>
                  </w:r>
                </w:p>
              </w:tc>
              <w:tc>
                <w:tcPr>
                  <w:tcW w:w="715" w:type="pct"/>
                </w:tcPr>
                <w:p w14:paraId="521038E4">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53636189">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26A1B563">
                  <w:pPr>
                    <w:pStyle w:val="159"/>
                    <w:spacing w:line="240" w:lineRule="auto"/>
                    <w:ind w:firstLine="0" w:firstLineChars="0"/>
                    <w:jc w:val="center"/>
                    <w:rPr>
                      <w:sz w:val="21"/>
                      <w:szCs w:val="21"/>
                      <w:lang w:val="en-US"/>
                    </w:rPr>
                  </w:pPr>
                  <w:r>
                    <w:rPr>
                      <w:sz w:val="21"/>
                      <w:szCs w:val="21"/>
                      <w:lang w:val="en-US"/>
                    </w:rPr>
                    <w:t>无</w:t>
                  </w:r>
                </w:p>
              </w:tc>
            </w:tr>
            <w:tr w14:paraId="17EC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52D5001E">
                  <w:pPr>
                    <w:pStyle w:val="159"/>
                    <w:spacing w:line="240" w:lineRule="auto"/>
                    <w:ind w:firstLine="0" w:firstLineChars="0"/>
                    <w:jc w:val="center"/>
                    <w:rPr>
                      <w:sz w:val="21"/>
                      <w:szCs w:val="21"/>
                      <w:lang w:val="en-US"/>
                    </w:rPr>
                  </w:pPr>
                  <w:r>
                    <w:rPr>
                      <w:sz w:val="21"/>
                      <w:szCs w:val="21"/>
                      <w:lang w:val="en-US"/>
                    </w:rPr>
                    <w:t>6</w:t>
                  </w:r>
                </w:p>
              </w:tc>
              <w:tc>
                <w:tcPr>
                  <w:tcW w:w="710" w:type="pct"/>
                  <w:tcMar>
                    <w:top w:w="0" w:type="dxa"/>
                    <w:left w:w="105" w:type="dxa"/>
                    <w:bottom w:w="0" w:type="dxa"/>
                    <w:right w:w="105" w:type="dxa"/>
                  </w:tcMar>
                  <w:vAlign w:val="center"/>
                </w:tcPr>
                <w:p w14:paraId="5072724A">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5197503B">
                  <w:pPr>
                    <w:pStyle w:val="159"/>
                    <w:spacing w:line="240" w:lineRule="auto"/>
                    <w:ind w:firstLine="0" w:firstLineChars="0"/>
                    <w:jc w:val="center"/>
                    <w:rPr>
                      <w:sz w:val="21"/>
                      <w:szCs w:val="21"/>
                      <w:lang w:val="en-US"/>
                    </w:rPr>
                  </w:pPr>
                  <w:r>
                    <w:rPr>
                      <w:sz w:val="21"/>
                      <w:szCs w:val="21"/>
                      <w:lang w:val="en-US"/>
                    </w:rPr>
                    <w:t>良田村</w:t>
                  </w:r>
                </w:p>
              </w:tc>
              <w:tc>
                <w:tcPr>
                  <w:tcW w:w="715" w:type="pct"/>
                </w:tcPr>
                <w:p w14:paraId="34EDCEFC">
                  <w:pPr>
                    <w:pStyle w:val="159"/>
                    <w:spacing w:line="240" w:lineRule="auto"/>
                    <w:ind w:firstLine="0" w:firstLineChars="0"/>
                    <w:jc w:val="center"/>
                    <w:rPr>
                      <w:sz w:val="21"/>
                      <w:szCs w:val="21"/>
                      <w:lang w:val="en-US"/>
                    </w:rPr>
                  </w:pPr>
                  <w:r>
                    <w:rPr>
                      <w:sz w:val="21"/>
                      <w:szCs w:val="21"/>
                      <w:lang w:val="en-US"/>
                    </w:rPr>
                    <w:t>Ⅲ类</w:t>
                  </w:r>
                </w:p>
              </w:tc>
              <w:tc>
                <w:tcPr>
                  <w:tcW w:w="715" w:type="pct"/>
                </w:tcPr>
                <w:p w14:paraId="222A7470">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51C1ACD3">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0E100714">
                  <w:pPr>
                    <w:pStyle w:val="159"/>
                    <w:spacing w:line="240" w:lineRule="auto"/>
                    <w:ind w:firstLine="0" w:firstLineChars="0"/>
                    <w:jc w:val="center"/>
                    <w:rPr>
                      <w:sz w:val="21"/>
                      <w:szCs w:val="21"/>
                      <w:lang w:val="en-US"/>
                    </w:rPr>
                  </w:pPr>
                  <w:r>
                    <w:rPr>
                      <w:sz w:val="21"/>
                      <w:szCs w:val="21"/>
                      <w:lang w:val="en-US"/>
                    </w:rPr>
                    <w:t>无</w:t>
                  </w:r>
                </w:p>
              </w:tc>
            </w:tr>
            <w:tr w14:paraId="2FEB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8" w:type="pct"/>
                  <w:vAlign w:val="center"/>
                </w:tcPr>
                <w:p w14:paraId="5C151EB0">
                  <w:pPr>
                    <w:pStyle w:val="159"/>
                    <w:spacing w:line="240" w:lineRule="auto"/>
                    <w:ind w:firstLine="0" w:firstLineChars="0"/>
                    <w:jc w:val="center"/>
                    <w:rPr>
                      <w:sz w:val="21"/>
                      <w:szCs w:val="21"/>
                      <w:lang w:val="en-US"/>
                    </w:rPr>
                  </w:pPr>
                  <w:r>
                    <w:rPr>
                      <w:sz w:val="21"/>
                      <w:szCs w:val="21"/>
                      <w:lang w:val="en-US"/>
                    </w:rPr>
                    <w:t>7</w:t>
                  </w:r>
                </w:p>
              </w:tc>
              <w:tc>
                <w:tcPr>
                  <w:tcW w:w="710" w:type="pct"/>
                  <w:tcMar>
                    <w:top w:w="0" w:type="dxa"/>
                    <w:left w:w="105" w:type="dxa"/>
                    <w:bottom w:w="0" w:type="dxa"/>
                    <w:right w:w="105" w:type="dxa"/>
                  </w:tcMar>
                  <w:vAlign w:val="center"/>
                </w:tcPr>
                <w:p w14:paraId="31472459">
                  <w:pPr>
                    <w:pStyle w:val="159"/>
                    <w:spacing w:line="240" w:lineRule="auto"/>
                    <w:ind w:firstLine="0" w:firstLineChars="0"/>
                    <w:jc w:val="center"/>
                    <w:rPr>
                      <w:sz w:val="21"/>
                      <w:szCs w:val="21"/>
                      <w:lang w:val="en-US"/>
                    </w:rPr>
                  </w:pPr>
                  <w:r>
                    <w:rPr>
                      <w:sz w:val="21"/>
                      <w:szCs w:val="21"/>
                      <w:lang w:val="en-US"/>
                    </w:rPr>
                    <w:t>锦江</w:t>
                  </w:r>
                </w:p>
              </w:tc>
              <w:tc>
                <w:tcPr>
                  <w:tcW w:w="1001" w:type="pct"/>
                  <w:vAlign w:val="center"/>
                </w:tcPr>
                <w:p w14:paraId="114A3F14">
                  <w:pPr>
                    <w:pStyle w:val="159"/>
                    <w:spacing w:line="240" w:lineRule="auto"/>
                    <w:ind w:firstLine="0" w:firstLineChars="0"/>
                    <w:jc w:val="center"/>
                    <w:rPr>
                      <w:sz w:val="21"/>
                      <w:szCs w:val="21"/>
                      <w:lang w:val="en-US"/>
                    </w:rPr>
                  </w:pPr>
                  <w:r>
                    <w:rPr>
                      <w:sz w:val="21"/>
                      <w:szCs w:val="21"/>
                      <w:lang w:val="en-US"/>
                    </w:rPr>
                    <w:t>高安市青州村</w:t>
                  </w:r>
                </w:p>
              </w:tc>
              <w:tc>
                <w:tcPr>
                  <w:tcW w:w="715" w:type="pct"/>
                </w:tcPr>
                <w:p w14:paraId="6862A673">
                  <w:pPr>
                    <w:pStyle w:val="159"/>
                    <w:spacing w:line="240" w:lineRule="auto"/>
                    <w:ind w:firstLine="0" w:firstLineChars="0"/>
                    <w:jc w:val="center"/>
                    <w:rPr>
                      <w:sz w:val="21"/>
                      <w:szCs w:val="21"/>
                      <w:lang w:val="en-US"/>
                    </w:rPr>
                  </w:pPr>
                  <w:r>
                    <w:rPr>
                      <w:sz w:val="21"/>
                      <w:szCs w:val="21"/>
                      <w:lang w:val="en-US"/>
                    </w:rPr>
                    <w:t>Ⅲ类</w:t>
                  </w:r>
                </w:p>
              </w:tc>
              <w:tc>
                <w:tcPr>
                  <w:tcW w:w="715" w:type="pct"/>
                  <w:vAlign w:val="center"/>
                </w:tcPr>
                <w:p w14:paraId="2B986EDB">
                  <w:pPr>
                    <w:pStyle w:val="159"/>
                    <w:spacing w:line="240" w:lineRule="auto"/>
                    <w:ind w:firstLine="0" w:firstLineChars="0"/>
                    <w:jc w:val="center"/>
                    <w:rPr>
                      <w:sz w:val="21"/>
                      <w:szCs w:val="21"/>
                      <w:lang w:val="en-US"/>
                    </w:rPr>
                  </w:pPr>
                  <w:r>
                    <w:rPr>
                      <w:sz w:val="21"/>
                      <w:szCs w:val="21"/>
                      <w:lang w:val="en-US"/>
                    </w:rPr>
                    <w:t>Ⅱ类</w:t>
                  </w:r>
                </w:p>
              </w:tc>
              <w:tc>
                <w:tcPr>
                  <w:tcW w:w="715" w:type="pct"/>
                  <w:vAlign w:val="center"/>
                </w:tcPr>
                <w:p w14:paraId="11E1A2AD">
                  <w:pPr>
                    <w:pStyle w:val="159"/>
                    <w:spacing w:line="240" w:lineRule="auto"/>
                    <w:ind w:firstLine="0" w:firstLineChars="0"/>
                    <w:jc w:val="center"/>
                    <w:rPr>
                      <w:sz w:val="21"/>
                      <w:szCs w:val="21"/>
                      <w:lang w:val="en-US"/>
                    </w:rPr>
                  </w:pPr>
                  <w:r>
                    <w:rPr>
                      <w:sz w:val="21"/>
                      <w:szCs w:val="21"/>
                      <w:lang w:val="en-US"/>
                    </w:rPr>
                    <w:t>达标</w:t>
                  </w:r>
                </w:p>
              </w:tc>
              <w:tc>
                <w:tcPr>
                  <w:tcW w:w="715" w:type="pct"/>
                  <w:vAlign w:val="center"/>
                </w:tcPr>
                <w:p w14:paraId="182A7588">
                  <w:pPr>
                    <w:pStyle w:val="159"/>
                    <w:spacing w:line="240" w:lineRule="auto"/>
                    <w:ind w:firstLine="0" w:firstLineChars="0"/>
                    <w:jc w:val="center"/>
                    <w:rPr>
                      <w:sz w:val="21"/>
                      <w:szCs w:val="21"/>
                      <w:lang w:val="en-US"/>
                    </w:rPr>
                  </w:pPr>
                  <w:r>
                    <w:rPr>
                      <w:sz w:val="21"/>
                      <w:szCs w:val="21"/>
                      <w:lang w:val="en-US"/>
                    </w:rPr>
                    <w:t>无</w:t>
                  </w:r>
                </w:p>
              </w:tc>
            </w:tr>
          </w:tbl>
          <w:p w14:paraId="7CD06609">
            <w:pPr>
              <w:pStyle w:val="159"/>
            </w:pPr>
            <w:r>
              <w:rPr>
                <w:lang w:val="en-US"/>
              </w:rPr>
              <w:t>从上表监测数据可知，</w:t>
            </w:r>
            <w:r>
              <w:t>项目周边地表水体锦江水环境质量符合《地表水环境质量标准》（GB3838-2002）Ⅲ类水体水质标准，水质良好。</w:t>
            </w:r>
          </w:p>
          <w:p w14:paraId="61E76A3E">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三、声环境质量现状</w:t>
            </w:r>
          </w:p>
          <w:p w14:paraId="05E3B9D9">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本项目厂界周边50m范围内不存在声环境保护目标，因此根据《建设项目环境影响报告表编制技术指南（污染影响类）（试行）》，无需进行声环境现状调查。</w:t>
            </w:r>
          </w:p>
          <w:p w14:paraId="0C5D6DD6">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四、生态环境质量现状</w:t>
            </w:r>
          </w:p>
          <w:p w14:paraId="774B6076">
            <w:pPr>
              <w:pStyle w:val="159"/>
            </w:pPr>
            <w:r>
              <w:t>本项目位于</w:t>
            </w:r>
            <w:r>
              <w:rPr>
                <w:rFonts w:hint="eastAsia"/>
              </w:rPr>
              <w:t>高安市黄沙岗镇挂榜村柒家村（高安市黄沙柒星建材厂内）</w:t>
            </w:r>
            <w:r>
              <w:t>，租赁</w:t>
            </w:r>
            <w:r>
              <w:rPr>
                <w:rFonts w:hint="eastAsia"/>
              </w:rPr>
              <w:t>现有</w:t>
            </w:r>
            <w:r>
              <w:t>厂房进行项目建设，</w:t>
            </w:r>
            <w:r>
              <w:rPr>
                <w:rFonts w:hint="eastAsia"/>
              </w:rPr>
              <w:t>属于工业用地，</w:t>
            </w:r>
            <w:r>
              <w:t>用地区域生态环境一般，无珍贵保护动植物和风景名胜区，对区域整体生态环境无改变。</w:t>
            </w:r>
          </w:p>
          <w:p w14:paraId="21C09823">
            <w:pPr>
              <w:pStyle w:val="159"/>
              <w:ind w:firstLine="482"/>
              <w:rPr>
                <w:b/>
              </w:rPr>
            </w:pPr>
            <w:r>
              <w:rPr>
                <w:b/>
              </w:rPr>
              <w:t>五、地下水环境、土壤质量现状</w:t>
            </w:r>
          </w:p>
          <w:p w14:paraId="7499478F">
            <w:pPr>
              <w:pStyle w:val="159"/>
              <w:rPr>
                <w:shd w:val="clear" w:color="auto" w:fill="FFFFFF"/>
              </w:rPr>
            </w:pPr>
            <w:r>
              <w:t>本</w:t>
            </w:r>
            <w:r>
              <w:rPr>
                <w:shd w:val="clear" w:color="auto" w:fill="FFFFFF"/>
              </w:rPr>
              <w:t>项目厂房采用混凝土加棚架结构，厂房经防风、防雨、防渗设计，地面</w:t>
            </w:r>
            <w:r>
              <w:rPr>
                <w:rFonts w:hint="eastAsia"/>
                <w:shd w:val="clear" w:color="auto" w:fill="FFFFFF"/>
              </w:rPr>
              <w:t>均应按要求</w:t>
            </w:r>
            <w:r>
              <w:rPr>
                <w:shd w:val="clear" w:color="auto" w:fill="FFFFFF"/>
              </w:rPr>
              <w:t>进行硬化，不存在土壤、地下水环境污染途径，故不开展土壤、地下水环境质量现状调查。</w:t>
            </w:r>
          </w:p>
          <w:p w14:paraId="375B38C7">
            <w:pPr>
              <w:pStyle w:val="159"/>
            </w:pPr>
            <w:r>
              <w:t>综上所述，项目选址周边环境空气质量、地表水、声环境、生态环境均符合功能区划的要求。</w:t>
            </w:r>
          </w:p>
        </w:tc>
      </w:tr>
      <w:tr w14:paraId="3C40A2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397" w:type="dxa"/>
            <w:vAlign w:val="center"/>
          </w:tcPr>
          <w:p w14:paraId="6564E5C8">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环境保护目标</w:t>
            </w:r>
          </w:p>
        </w:tc>
        <w:tc>
          <w:tcPr>
            <w:tcW w:w="9256" w:type="dxa"/>
          </w:tcPr>
          <w:p w14:paraId="6AD01421">
            <w:pPr>
              <w:pStyle w:val="97"/>
              <w:framePr w:hSpace="0" w:wrap="auto" w:vAnchor="margin" w:hAnchor="text" w:xAlign="left" w:yAlign="inline"/>
              <w:numPr>
                <w:ilvl w:val="0"/>
                <w:numId w:val="13"/>
              </w:numPr>
              <w:ind w:firstLineChars="0"/>
              <w:rPr>
                <w:color w:val="000000" w:themeColor="text1"/>
                <w14:textFill>
                  <w14:solidFill>
                    <w14:schemeClr w14:val="tx1"/>
                  </w14:solidFill>
                </w14:textFill>
              </w:rPr>
            </w:pPr>
            <w:r>
              <w:rPr>
                <w:color w:val="000000" w:themeColor="text1"/>
                <w14:textFill>
                  <w14:solidFill>
                    <w14:schemeClr w14:val="tx1"/>
                  </w14:solidFill>
                </w14:textFill>
              </w:rPr>
              <w:t>建设项目主要环境保护目标</w:t>
            </w:r>
          </w:p>
          <w:p w14:paraId="4BA11419">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环境保护目标各环境要素的环境保护级别如下：</w:t>
            </w:r>
          </w:p>
          <w:p w14:paraId="7D8CE25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1、环境空气：控制大气污染物的排放量，以不对周围环境空气质量产生不利影响为控制目标，使评价范围内环境空气质量控制在《环境空气质量标准》（GB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3095-20</w:t>
            </w:r>
            <w:r>
              <w:rPr>
                <w:rFonts w:hint="eastAsia"/>
                <w:color w:val="000000" w:themeColor="text1"/>
                <w:sz w:val="24"/>
                <w14:textFill>
                  <w14:solidFill>
                    <w14:schemeClr w14:val="tx1"/>
                  </w14:solidFill>
                </w14:textFill>
              </w:rPr>
              <w:t>26</w:t>
            </w:r>
            <w:r>
              <w:rPr>
                <w:color w:val="000000" w:themeColor="text1"/>
                <w:sz w:val="24"/>
                <w14:textFill>
                  <w14:solidFill>
                    <w14:schemeClr w14:val="tx1"/>
                  </w14:solidFill>
                </w14:textFill>
              </w:rPr>
              <w:t>）中</w:t>
            </w:r>
            <w:r>
              <w:rPr>
                <w:rFonts w:hint="eastAsia"/>
                <w:color w:val="000000" w:themeColor="text1"/>
                <w:sz w:val="24"/>
                <w14:textFill>
                  <w14:solidFill>
                    <w14:schemeClr w14:val="tx1"/>
                  </w14:solidFill>
                </w14:textFill>
              </w:rPr>
              <w:t>过渡阶段</w:t>
            </w:r>
            <w:r>
              <w:rPr>
                <w:color w:val="000000" w:themeColor="text1"/>
                <w:sz w:val="24"/>
                <w14:textFill>
                  <w14:solidFill>
                    <w14:schemeClr w14:val="tx1"/>
                  </w14:solidFill>
                </w14:textFill>
              </w:rPr>
              <w:t>二级标准。</w:t>
            </w:r>
          </w:p>
          <w:p w14:paraId="20D31219">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2、地表水：确保项目周边水体水质满足《地表水环境质量标准》（GB</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3838-2002）中的Ⅲ类标准。</w:t>
            </w:r>
          </w:p>
          <w:p w14:paraId="5C6A0672">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3、声环境：确保项目区域声环境满足《声环境质量标准》（GB 3096-2008）中</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w:t>
            </w:r>
          </w:p>
          <w:p w14:paraId="6A863A8C">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4、固体废物：</w:t>
            </w:r>
            <w:r>
              <w:rPr>
                <w:color w:val="000000" w:themeColor="text1"/>
                <w:kern w:val="0"/>
                <w:sz w:val="24"/>
                <w14:textFill>
                  <w14:solidFill>
                    <w14:schemeClr w14:val="tx1"/>
                  </w14:solidFill>
                </w14:textFill>
              </w:rPr>
              <w:t>一般固体废物及时收集，妥善处置。危险废物交由有资质公司处置，</w:t>
            </w:r>
            <w:r>
              <w:rPr>
                <w:color w:val="000000" w:themeColor="text1"/>
                <w:sz w:val="24"/>
                <w14:textFill>
                  <w14:solidFill>
                    <w14:schemeClr w14:val="tx1"/>
                  </w14:solidFill>
                </w14:textFill>
              </w:rPr>
              <w:t>维护良好的内部环境卫生和城市卫生环境，不对内部环境和外界环境造成不良影响。</w:t>
            </w:r>
          </w:p>
          <w:p w14:paraId="3A8105B8">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w:t>
            </w: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的主要环境保护目标情况见下表。</w:t>
            </w:r>
          </w:p>
          <w:p w14:paraId="02C53D2A">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表3-5  项目环境保护目标一览表</w:t>
            </w:r>
          </w:p>
          <w:tbl>
            <w:tblPr>
              <w:tblStyle w:val="4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82"/>
              <w:gridCol w:w="882"/>
              <w:gridCol w:w="775"/>
              <w:gridCol w:w="775"/>
              <w:gridCol w:w="753"/>
              <w:gridCol w:w="746"/>
              <w:gridCol w:w="882"/>
              <w:gridCol w:w="1101"/>
              <w:gridCol w:w="2410"/>
            </w:tblGrid>
            <w:tr w14:paraId="2BC9E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Merge w:val="restart"/>
                  <w:vAlign w:val="center"/>
                </w:tcPr>
                <w:p w14:paraId="63C81526">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环境要素</w:t>
                  </w:r>
                </w:p>
              </w:tc>
              <w:tc>
                <w:tcPr>
                  <w:tcW w:w="479" w:type="pct"/>
                  <w:vMerge w:val="restart"/>
                  <w:vAlign w:val="center"/>
                </w:tcPr>
                <w:p w14:paraId="0DE0490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名称</w:t>
                  </w:r>
                </w:p>
              </w:tc>
              <w:tc>
                <w:tcPr>
                  <w:tcW w:w="842" w:type="pct"/>
                  <w:gridSpan w:val="2"/>
                  <w:vAlign w:val="center"/>
                </w:tcPr>
                <w:p w14:paraId="705F0D99">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空间相对位置/m</w:t>
                  </w:r>
                </w:p>
              </w:tc>
              <w:tc>
                <w:tcPr>
                  <w:tcW w:w="409" w:type="pct"/>
                  <w:vMerge w:val="restart"/>
                  <w:vAlign w:val="center"/>
                </w:tcPr>
                <w:p w14:paraId="0999A849">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方向</w:t>
                  </w:r>
                </w:p>
              </w:tc>
              <w:tc>
                <w:tcPr>
                  <w:tcW w:w="405" w:type="pct"/>
                  <w:vMerge w:val="restart"/>
                  <w:vAlign w:val="center"/>
                </w:tcPr>
                <w:p w14:paraId="66D9BC2E">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距厂界</w:t>
                  </w:r>
                </w:p>
                <w:p w14:paraId="4A150B60">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距离（m）</w:t>
                  </w:r>
                </w:p>
              </w:tc>
              <w:tc>
                <w:tcPr>
                  <w:tcW w:w="479" w:type="pct"/>
                  <w:vMerge w:val="restart"/>
                  <w:vAlign w:val="center"/>
                </w:tcPr>
                <w:p w14:paraId="24623379">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保护对象</w:t>
                  </w:r>
                </w:p>
              </w:tc>
              <w:tc>
                <w:tcPr>
                  <w:tcW w:w="598" w:type="pct"/>
                  <w:vMerge w:val="restart"/>
                  <w:vAlign w:val="center"/>
                </w:tcPr>
                <w:p w14:paraId="665D7B60">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规模</w:t>
                  </w:r>
                </w:p>
              </w:tc>
              <w:tc>
                <w:tcPr>
                  <w:tcW w:w="1309" w:type="pct"/>
                  <w:vMerge w:val="restart"/>
                  <w:vAlign w:val="center"/>
                </w:tcPr>
                <w:p w14:paraId="2B530A96">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环境功能</w:t>
                  </w:r>
                </w:p>
              </w:tc>
            </w:tr>
            <w:tr w14:paraId="1DEB8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Merge w:val="continue"/>
                  <w:vAlign w:val="center"/>
                </w:tcPr>
                <w:p w14:paraId="7BD12582">
                  <w:pPr>
                    <w:snapToGrid w:val="0"/>
                    <w:jc w:val="center"/>
                    <w:rPr>
                      <w:color w:val="000000" w:themeColor="text1"/>
                      <w:kern w:val="18"/>
                      <w:szCs w:val="21"/>
                      <w14:textFill>
                        <w14:solidFill>
                          <w14:schemeClr w14:val="tx1"/>
                        </w14:solidFill>
                      </w14:textFill>
                    </w:rPr>
                  </w:pPr>
                </w:p>
              </w:tc>
              <w:tc>
                <w:tcPr>
                  <w:tcW w:w="479" w:type="pct"/>
                  <w:vMerge w:val="continue"/>
                  <w:vAlign w:val="center"/>
                </w:tcPr>
                <w:p w14:paraId="2198E1B7">
                  <w:pPr>
                    <w:snapToGrid w:val="0"/>
                    <w:jc w:val="center"/>
                    <w:rPr>
                      <w:color w:val="000000" w:themeColor="text1"/>
                      <w:kern w:val="18"/>
                      <w:szCs w:val="21"/>
                      <w14:textFill>
                        <w14:solidFill>
                          <w14:schemeClr w14:val="tx1"/>
                        </w14:solidFill>
                      </w14:textFill>
                    </w:rPr>
                  </w:pPr>
                </w:p>
              </w:tc>
              <w:tc>
                <w:tcPr>
                  <w:tcW w:w="421" w:type="pct"/>
                  <w:vAlign w:val="center"/>
                </w:tcPr>
                <w:p w14:paraId="0117FC2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X</w:t>
                  </w:r>
                </w:p>
              </w:tc>
              <w:tc>
                <w:tcPr>
                  <w:tcW w:w="421" w:type="pct"/>
                  <w:vAlign w:val="center"/>
                </w:tcPr>
                <w:p w14:paraId="10303EE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Y</w:t>
                  </w:r>
                </w:p>
              </w:tc>
              <w:tc>
                <w:tcPr>
                  <w:tcW w:w="409" w:type="pct"/>
                  <w:vMerge w:val="continue"/>
                  <w:vAlign w:val="center"/>
                </w:tcPr>
                <w:p w14:paraId="25E8FCC2">
                  <w:pPr>
                    <w:snapToGrid w:val="0"/>
                    <w:jc w:val="center"/>
                    <w:rPr>
                      <w:color w:val="000000" w:themeColor="text1"/>
                      <w:kern w:val="18"/>
                      <w:szCs w:val="21"/>
                      <w14:textFill>
                        <w14:solidFill>
                          <w14:schemeClr w14:val="tx1"/>
                        </w14:solidFill>
                      </w14:textFill>
                    </w:rPr>
                  </w:pPr>
                </w:p>
              </w:tc>
              <w:tc>
                <w:tcPr>
                  <w:tcW w:w="405" w:type="pct"/>
                  <w:vMerge w:val="continue"/>
                  <w:vAlign w:val="center"/>
                </w:tcPr>
                <w:p w14:paraId="7635543C">
                  <w:pPr>
                    <w:snapToGrid w:val="0"/>
                    <w:jc w:val="center"/>
                    <w:rPr>
                      <w:color w:val="000000" w:themeColor="text1"/>
                      <w:kern w:val="18"/>
                      <w:szCs w:val="21"/>
                      <w14:textFill>
                        <w14:solidFill>
                          <w14:schemeClr w14:val="tx1"/>
                        </w14:solidFill>
                      </w14:textFill>
                    </w:rPr>
                  </w:pPr>
                </w:p>
              </w:tc>
              <w:tc>
                <w:tcPr>
                  <w:tcW w:w="479" w:type="pct"/>
                  <w:vMerge w:val="continue"/>
                  <w:vAlign w:val="center"/>
                </w:tcPr>
                <w:p w14:paraId="76ED7B5D">
                  <w:pPr>
                    <w:snapToGrid w:val="0"/>
                    <w:jc w:val="center"/>
                    <w:rPr>
                      <w:color w:val="000000" w:themeColor="text1"/>
                      <w:kern w:val="18"/>
                      <w:szCs w:val="21"/>
                      <w14:textFill>
                        <w14:solidFill>
                          <w14:schemeClr w14:val="tx1"/>
                        </w14:solidFill>
                      </w14:textFill>
                    </w:rPr>
                  </w:pPr>
                </w:p>
              </w:tc>
              <w:tc>
                <w:tcPr>
                  <w:tcW w:w="598" w:type="pct"/>
                  <w:vMerge w:val="continue"/>
                  <w:vAlign w:val="center"/>
                </w:tcPr>
                <w:p w14:paraId="0FA2A73C">
                  <w:pPr>
                    <w:snapToGrid w:val="0"/>
                    <w:jc w:val="center"/>
                    <w:rPr>
                      <w:color w:val="000000" w:themeColor="text1"/>
                      <w:kern w:val="18"/>
                      <w:szCs w:val="21"/>
                      <w14:textFill>
                        <w14:solidFill>
                          <w14:schemeClr w14:val="tx1"/>
                        </w14:solidFill>
                      </w14:textFill>
                    </w:rPr>
                  </w:pPr>
                </w:p>
              </w:tc>
              <w:tc>
                <w:tcPr>
                  <w:tcW w:w="1309" w:type="pct"/>
                  <w:vMerge w:val="continue"/>
                  <w:vAlign w:val="center"/>
                </w:tcPr>
                <w:p w14:paraId="6DF6536E">
                  <w:pPr>
                    <w:snapToGrid w:val="0"/>
                    <w:jc w:val="center"/>
                    <w:rPr>
                      <w:color w:val="000000" w:themeColor="text1"/>
                      <w:kern w:val="18"/>
                      <w:szCs w:val="21"/>
                      <w14:textFill>
                        <w14:solidFill>
                          <w14:schemeClr w14:val="tx1"/>
                        </w14:solidFill>
                      </w14:textFill>
                    </w:rPr>
                  </w:pPr>
                </w:p>
              </w:tc>
            </w:tr>
            <w:tr w14:paraId="62E8A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Align w:val="center"/>
                </w:tcPr>
                <w:p w14:paraId="7027DEB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大气环境</w:t>
                  </w:r>
                </w:p>
              </w:tc>
              <w:tc>
                <w:tcPr>
                  <w:tcW w:w="3211" w:type="pct"/>
                  <w:gridSpan w:val="7"/>
                  <w:vAlign w:val="center"/>
                </w:tcPr>
                <w:p w14:paraId="7131389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厂界外50</w:t>
                  </w:r>
                  <w:r>
                    <w:rPr>
                      <w:rFonts w:hint="eastAsia"/>
                      <w:color w:val="000000" w:themeColor="text1"/>
                      <w:kern w:val="18"/>
                      <w:szCs w:val="21"/>
                      <w14:textFill>
                        <w14:solidFill>
                          <w14:schemeClr w14:val="tx1"/>
                        </w14:solidFill>
                      </w14:textFill>
                    </w:rPr>
                    <w:t>0</w:t>
                  </w:r>
                  <w:r>
                    <w:rPr>
                      <w:color w:val="000000" w:themeColor="text1"/>
                      <w:kern w:val="18"/>
                      <w:szCs w:val="21"/>
                      <w14:textFill>
                        <w14:solidFill>
                          <w14:schemeClr w14:val="tx1"/>
                        </w14:solidFill>
                      </w14:textFill>
                    </w:rPr>
                    <w:t>米无</w:t>
                  </w:r>
                  <w:r>
                    <w:rPr>
                      <w:rFonts w:hint="eastAsia"/>
                      <w:color w:val="000000" w:themeColor="text1"/>
                      <w:kern w:val="18"/>
                      <w:szCs w:val="21"/>
                      <w14:textFill>
                        <w14:solidFill>
                          <w14:schemeClr w14:val="tx1"/>
                        </w14:solidFill>
                      </w14:textFill>
                    </w:rPr>
                    <w:t>大气</w:t>
                  </w:r>
                  <w:r>
                    <w:rPr>
                      <w:color w:val="000000" w:themeColor="text1"/>
                      <w:kern w:val="18"/>
                      <w:szCs w:val="21"/>
                      <w14:textFill>
                        <w14:solidFill>
                          <w14:schemeClr w14:val="tx1"/>
                        </w14:solidFill>
                      </w14:textFill>
                    </w:rPr>
                    <w:t>环境保护目标</w:t>
                  </w:r>
                </w:p>
              </w:tc>
              <w:tc>
                <w:tcPr>
                  <w:tcW w:w="1309" w:type="pct"/>
                  <w:vAlign w:val="center"/>
                </w:tcPr>
                <w:p w14:paraId="08540F23">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《环境空气质量标准》</w:t>
                  </w:r>
                </w:p>
                <w:p w14:paraId="1BD559F4">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（GB 3095-20</w:t>
                  </w:r>
                  <w:r>
                    <w:rPr>
                      <w:rFonts w:hint="eastAsia"/>
                      <w:color w:val="000000" w:themeColor="text1"/>
                      <w:kern w:val="18"/>
                      <w:szCs w:val="21"/>
                      <w14:textFill>
                        <w14:solidFill>
                          <w14:schemeClr w14:val="tx1"/>
                        </w14:solidFill>
                      </w14:textFill>
                    </w:rPr>
                    <w:t>26</w:t>
                  </w:r>
                  <w:r>
                    <w:rPr>
                      <w:color w:val="000000" w:themeColor="text1"/>
                      <w:kern w:val="18"/>
                      <w:szCs w:val="21"/>
                      <w14:textFill>
                        <w14:solidFill>
                          <w14:schemeClr w14:val="tx1"/>
                        </w14:solidFill>
                      </w14:textFill>
                    </w:rPr>
                    <w:t>）二</w:t>
                  </w:r>
                  <w:r>
                    <w:rPr>
                      <w:rFonts w:hint="eastAsia"/>
                      <w:color w:val="000000" w:themeColor="text1"/>
                      <w:kern w:val="18"/>
                      <w:szCs w:val="21"/>
                      <w14:textFill>
                        <w14:solidFill>
                          <w14:schemeClr w14:val="tx1"/>
                        </w14:solidFill>
                      </w14:textFill>
                    </w:rPr>
                    <w:t>类区</w:t>
                  </w:r>
                </w:p>
              </w:tc>
            </w:tr>
            <w:tr w14:paraId="6C074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Merge w:val="restart"/>
                  <w:vAlign w:val="center"/>
                </w:tcPr>
                <w:p w14:paraId="136321C0">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水环境</w:t>
                  </w:r>
                </w:p>
              </w:tc>
              <w:tc>
                <w:tcPr>
                  <w:tcW w:w="479" w:type="pct"/>
                  <w:vAlign w:val="center"/>
                </w:tcPr>
                <w:p w14:paraId="5D127F24">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锦江</w:t>
                  </w:r>
                </w:p>
              </w:tc>
              <w:tc>
                <w:tcPr>
                  <w:tcW w:w="421" w:type="pct"/>
                  <w:vAlign w:val="center"/>
                </w:tcPr>
                <w:p w14:paraId="29A4715B">
                  <w:pPr>
                    <w:snapToGrid w:val="0"/>
                    <w:jc w:val="center"/>
                    <w:rPr>
                      <w:rFonts w:eastAsiaTheme="minorEastAsia"/>
                      <w:color w:val="000000" w:themeColor="text1"/>
                      <w:kern w:val="18"/>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421" w:type="pct"/>
                  <w:vAlign w:val="center"/>
                </w:tcPr>
                <w:p w14:paraId="249D6B67">
                  <w:pPr>
                    <w:snapToGrid w:val="0"/>
                    <w:jc w:val="center"/>
                    <w:rPr>
                      <w:rFonts w:eastAsiaTheme="minorEastAsia"/>
                      <w:color w:val="000000" w:themeColor="text1"/>
                      <w:kern w:val="18"/>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409" w:type="pct"/>
                  <w:vAlign w:val="center"/>
                </w:tcPr>
                <w:p w14:paraId="462E22DD">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西</w:t>
                  </w:r>
                </w:p>
              </w:tc>
              <w:tc>
                <w:tcPr>
                  <w:tcW w:w="405" w:type="pct"/>
                  <w:vAlign w:val="center"/>
                </w:tcPr>
                <w:p w14:paraId="72FC46F5">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2605</w:t>
                  </w:r>
                </w:p>
              </w:tc>
              <w:tc>
                <w:tcPr>
                  <w:tcW w:w="1077" w:type="pct"/>
                  <w:gridSpan w:val="2"/>
                  <w:vAlign w:val="center"/>
                </w:tcPr>
                <w:p w14:paraId="533B1A9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中河</w:t>
                  </w:r>
                </w:p>
              </w:tc>
              <w:tc>
                <w:tcPr>
                  <w:tcW w:w="1309" w:type="pct"/>
                  <w:vMerge w:val="restart"/>
                  <w:vAlign w:val="center"/>
                </w:tcPr>
                <w:p w14:paraId="1D77065E">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《地表水环境质量标准》</w:t>
                  </w:r>
                </w:p>
                <w:p w14:paraId="7A3C07E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（GB 3838-2002）中Ⅲ类</w:t>
                  </w:r>
                </w:p>
              </w:tc>
            </w:tr>
            <w:tr w14:paraId="33B6C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Merge w:val="continue"/>
                  <w:vAlign w:val="center"/>
                </w:tcPr>
                <w:p w14:paraId="6ECADBD8">
                  <w:pPr>
                    <w:snapToGrid w:val="0"/>
                    <w:jc w:val="center"/>
                    <w:rPr>
                      <w:color w:val="000000" w:themeColor="text1"/>
                      <w:kern w:val="18"/>
                      <w:szCs w:val="21"/>
                      <w14:textFill>
                        <w14:solidFill>
                          <w14:schemeClr w14:val="tx1"/>
                        </w14:solidFill>
                      </w14:textFill>
                    </w:rPr>
                  </w:pPr>
                </w:p>
              </w:tc>
              <w:tc>
                <w:tcPr>
                  <w:tcW w:w="479" w:type="pct"/>
                  <w:vAlign w:val="center"/>
                </w:tcPr>
                <w:p w14:paraId="7760EDAB">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荷山水库</w:t>
                  </w:r>
                </w:p>
              </w:tc>
              <w:tc>
                <w:tcPr>
                  <w:tcW w:w="421" w:type="pct"/>
                  <w:vAlign w:val="center"/>
                </w:tcPr>
                <w:p w14:paraId="5C8AB13B">
                  <w:pPr>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421" w:type="pct"/>
                  <w:vAlign w:val="center"/>
                </w:tcPr>
                <w:p w14:paraId="4FBE04DE">
                  <w:pPr>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409" w:type="pct"/>
                  <w:vAlign w:val="center"/>
                </w:tcPr>
                <w:p w14:paraId="47CD89B8">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东南、西南</w:t>
                  </w:r>
                </w:p>
              </w:tc>
              <w:tc>
                <w:tcPr>
                  <w:tcW w:w="405" w:type="pct"/>
                  <w:vAlign w:val="center"/>
                </w:tcPr>
                <w:p w14:paraId="33294637">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32</w:t>
                  </w:r>
                </w:p>
              </w:tc>
              <w:tc>
                <w:tcPr>
                  <w:tcW w:w="1077" w:type="pct"/>
                  <w:gridSpan w:val="2"/>
                  <w:vAlign w:val="center"/>
                </w:tcPr>
                <w:p w14:paraId="517774CF">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小（2）型水库</w:t>
                  </w:r>
                </w:p>
              </w:tc>
              <w:tc>
                <w:tcPr>
                  <w:tcW w:w="1309" w:type="pct"/>
                  <w:vMerge w:val="continue"/>
                  <w:vAlign w:val="center"/>
                </w:tcPr>
                <w:p w14:paraId="6EC91851">
                  <w:pPr>
                    <w:snapToGrid w:val="0"/>
                    <w:jc w:val="center"/>
                    <w:rPr>
                      <w:color w:val="000000" w:themeColor="text1"/>
                      <w:kern w:val="18"/>
                      <w:szCs w:val="21"/>
                      <w14:textFill>
                        <w14:solidFill>
                          <w14:schemeClr w14:val="tx1"/>
                        </w14:solidFill>
                      </w14:textFill>
                    </w:rPr>
                  </w:pPr>
                </w:p>
              </w:tc>
            </w:tr>
            <w:tr w14:paraId="74654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Align w:val="center"/>
                </w:tcPr>
                <w:p w14:paraId="0579CAD4">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声环境</w:t>
                  </w:r>
                </w:p>
              </w:tc>
              <w:tc>
                <w:tcPr>
                  <w:tcW w:w="3211" w:type="pct"/>
                  <w:gridSpan w:val="7"/>
                  <w:vAlign w:val="center"/>
                </w:tcPr>
                <w:p w14:paraId="2C66D420">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厂界外50米无</w:t>
                  </w:r>
                  <w:r>
                    <w:rPr>
                      <w:rFonts w:hint="eastAsia"/>
                      <w:color w:val="000000" w:themeColor="text1"/>
                      <w:kern w:val="18"/>
                      <w:szCs w:val="21"/>
                      <w14:textFill>
                        <w14:solidFill>
                          <w14:schemeClr w14:val="tx1"/>
                        </w14:solidFill>
                      </w14:textFill>
                    </w:rPr>
                    <w:t>声</w:t>
                  </w:r>
                  <w:r>
                    <w:rPr>
                      <w:color w:val="000000" w:themeColor="text1"/>
                      <w:kern w:val="18"/>
                      <w:szCs w:val="21"/>
                      <w14:textFill>
                        <w14:solidFill>
                          <w14:schemeClr w14:val="tx1"/>
                        </w14:solidFill>
                      </w14:textFill>
                    </w:rPr>
                    <w:t>环境保护目标</w:t>
                  </w:r>
                </w:p>
              </w:tc>
              <w:tc>
                <w:tcPr>
                  <w:tcW w:w="1309" w:type="pct"/>
                  <w:vAlign w:val="center"/>
                </w:tcPr>
                <w:p w14:paraId="7FE4906F">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《声环境质量标准》</w:t>
                  </w:r>
                </w:p>
                <w:p w14:paraId="7E85F718">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（GB 3096-2008）中</w:t>
                  </w:r>
                  <w:r>
                    <w:rPr>
                      <w:rFonts w:hint="eastAsia"/>
                      <w:color w:val="000000" w:themeColor="text1"/>
                      <w:kern w:val="18"/>
                      <w:szCs w:val="21"/>
                      <w14:textFill>
                        <w14:solidFill>
                          <w14:schemeClr w14:val="tx1"/>
                        </w14:solidFill>
                      </w14:textFill>
                    </w:rPr>
                    <w:t>2</w:t>
                  </w:r>
                  <w:r>
                    <w:rPr>
                      <w:color w:val="000000" w:themeColor="text1"/>
                      <w:kern w:val="18"/>
                      <w:szCs w:val="21"/>
                      <w14:textFill>
                        <w14:solidFill>
                          <w14:schemeClr w14:val="tx1"/>
                        </w14:solidFill>
                      </w14:textFill>
                    </w:rPr>
                    <w:t>类</w:t>
                  </w:r>
                </w:p>
              </w:tc>
            </w:tr>
            <w:tr w14:paraId="0F403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79" w:type="pct"/>
                  <w:vAlign w:val="center"/>
                </w:tcPr>
                <w:p w14:paraId="6D8DDF46">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生态环境</w:t>
                  </w:r>
                </w:p>
              </w:tc>
              <w:tc>
                <w:tcPr>
                  <w:tcW w:w="4521" w:type="pct"/>
                  <w:gridSpan w:val="8"/>
                  <w:vAlign w:val="center"/>
                </w:tcPr>
                <w:p w14:paraId="76BB6C8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项目租赁</w:t>
                  </w:r>
                  <w:r>
                    <w:rPr>
                      <w:rFonts w:hint="eastAsia"/>
                      <w:color w:val="000000" w:themeColor="text1"/>
                      <w:kern w:val="18"/>
                      <w:szCs w:val="21"/>
                      <w14:textFill>
                        <w14:solidFill>
                          <w14:schemeClr w14:val="tx1"/>
                        </w14:solidFill>
                      </w14:textFill>
                    </w:rPr>
                    <w:t>现有</w:t>
                  </w:r>
                  <w:r>
                    <w:rPr>
                      <w:color w:val="000000" w:themeColor="text1"/>
                      <w:kern w:val="18"/>
                      <w:szCs w:val="21"/>
                      <w14:textFill>
                        <w14:solidFill>
                          <w14:schemeClr w14:val="tx1"/>
                        </w14:solidFill>
                      </w14:textFill>
                    </w:rPr>
                    <w:t>厂房，无生态环境保护目标</w:t>
                  </w:r>
                </w:p>
              </w:tc>
            </w:tr>
          </w:tbl>
          <w:p w14:paraId="2E2E2B52">
            <w:pPr>
              <w:pStyle w:val="172"/>
              <w:adjustRightInd w:val="0"/>
              <w:snapToGrid w:val="0"/>
              <w:spacing w:line="240" w:lineRule="auto"/>
              <w:ind w:firstLine="420"/>
              <w:rPr>
                <w:b w:val="0"/>
                <w:bCs w:val="0"/>
                <w:color w:val="000000" w:themeColor="text1"/>
                <w:lang w:val="en-US"/>
                <w14:textFill>
                  <w14:solidFill>
                    <w14:schemeClr w14:val="tx1"/>
                  </w14:solidFill>
                </w14:textFill>
              </w:rPr>
            </w:pPr>
            <w:r>
              <w:rPr>
                <w:b w:val="0"/>
                <w:bCs w:val="0"/>
                <w:color w:val="000000" w:themeColor="text1"/>
                <w:sz w:val="21"/>
                <w:szCs w:val="21"/>
                <w:lang w:val="en-US"/>
                <w14:textFill>
                  <w14:solidFill>
                    <w14:schemeClr w14:val="tx1"/>
                  </w14:solidFill>
                </w14:textFill>
              </w:rPr>
              <w:t>注：表中坐标以厂房</w:t>
            </w:r>
            <w:r>
              <w:rPr>
                <w:rFonts w:hint="eastAsia"/>
                <w:b w:val="0"/>
                <w:bCs w:val="0"/>
                <w:color w:val="000000" w:themeColor="text1"/>
                <w:sz w:val="21"/>
                <w:szCs w:val="21"/>
                <w:lang w:val="en-US"/>
                <w14:textFill>
                  <w14:solidFill>
                    <w14:schemeClr w14:val="tx1"/>
                  </w14:solidFill>
                </w14:textFill>
              </w:rPr>
              <w:t>东</w:t>
            </w:r>
            <w:r>
              <w:rPr>
                <w:b w:val="0"/>
                <w:bCs w:val="0"/>
                <w:color w:val="000000" w:themeColor="text1"/>
                <w:sz w:val="21"/>
                <w:szCs w:val="21"/>
                <w:lang w:val="en-US"/>
                <w14:textFill>
                  <w14:solidFill>
                    <w14:schemeClr w14:val="tx1"/>
                  </w14:solidFill>
                </w14:textFill>
              </w:rPr>
              <w:t>北角（115°17′30.156″，28°18′15.604″）为坐标原点，正东向为X轴正方向，正北向为Y轴正方向。</w:t>
            </w:r>
          </w:p>
        </w:tc>
      </w:tr>
      <w:tr w14:paraId="0A4D10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97" w:type="dxa"/>
            <w:tcMar>
              <w:left w:w="28" w:type="dxa"/>
              <w:right w:w="28" w:type="dxa"/>
            </w:tcMar>
            <w:vAlign w:val="center"/>
          </w:tcPr>
          <w:p w14:paraId="169AC429">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污染物排放控制标准</w:t>
            </w:r>
          </w:p>
        </w:tc>
        <w:tc>
          <w:tcPr>
            <w:tcW w:w="9256" w:type="dxa"/>
          </w:tcPr>
          <w:p w14:paraId="4A641FA0">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1、大气污染物排放标准</w:t>
            </w:r>
          </w:p>
          <w:p w14:paraId="7E1E28F1">
            <w:pPr>
              <w:pStyle w:val="159"/>
            </w:pPr>
            <w:r>
              <w:rPr>
                <w:rFonts w:hint="eastAsia"/>
              </w:rPr>
              <w:t>有组织废气中的非甲烷总烃、二甲苯排放浓度执行</w:t>
            </w:r>
            <w:r>
              <w:t>《挥发性有机物综合排放控制标准（试行）》（DB36/2186-2025）</w:t>
            </w:r>
            <w:r>
              <w:rPr>
                <w:rFonts w:hint="eastAsia"/>
              </w:rPr>
              <w:t>中表1相关限值，其中二甲苯参照苯系物排放限值执行；有组织废气中的非甲烷总烃、二甲苯</w:t>
            </w:r>
            <w:r>
              <w:t>排放</w:t>
            </w:r>
            <w:r>
              <w:rPr>
                <w:rFonts w:hint="eastAsia"/>
              </w:rPr>
              <w:t>速率</w:t>
            </w:r>
            <w:r>
              <w:t>执行《大气污染物综合排放标准》（GB16297-1996）表2</w:t>
            </w:r>
            <w:r>
              <w:rPr>
                <w:rFonts w:hint="eastAsia"/>
              </w:rPr>
              <w:t>相关</w:t>
            </w:r>
            <w:r>
              <w:t>限值</w:t>
            </w:r>
            <w:r>
              <w:rPr>
                <w:rFonts w:hint="eastAsia"/>
              </w:rPr>
              <w:t>；有组织</w:t>
            </w:r>
            <w:r>
              <w:t>废气中的颗粒物</w:t>
            </w:r>
            <w:r>
              <w:rPr>
                <w:rFonts w:hint="eastAsia"/>
              </w:rPr>
              <w:t>排放浓度及速率</w:t>
            </w:r>
            <w:r>
              <w:t>执行《大气污染物综合排放标准》（GB16297-1996）表2</w:t>
            </w:r>
            <w:r>
              <w:rPr>
                <w:rFonts w:hint="eastAsia"/>
              </w:rPr>
              <w:t>相关</w:t>
            </w:r>
            <w:r>
              <w:t>限值要求。</w:t>
            </w:r>
          </w:p>
          <w:p w14:paraId="75150093">
            <w:pPr>
              <w:pStyle w:val="159"/>
            </w:pPr>
            <w:r>
              <w:rPr>
                <w:rFonts w:hint="eastAsia"/>
              </w:rPr>
              <w:t>厂界无组织废气中的颗粒物、二甲苯执行</w:t>
            </w:r>
            <w:r>
              <w:t>《大气污染物综合排放标准》（GB16297-1996）表2</w:t>
            </w:r>
            <w:r>
              <w:rPr>
                <w:rFonts w:hint="eastAsia"/>
              </w:rPr>
              <w:t>相关</w:t>
            </w:r>
            <w:r>
              <w:t>限值</w:t>
            </w:r>
            <w:r>
              <w:rPr>
                <w:rFonts w:hint="eastAsia"/>
              </w:rPr>
              <w:t>要求；厂界及厂区内无组织非甲烷总烃执行</w:t>
            </w:r>
            <w:r>
              <w:t>《挥发性有机物综合排放控制标准（试行）》（DB36/2186-2025）</w:t>
            </w:r>
            <w:r>
              <w:rPr>
                <w:rFonts w:hint="eastAsia"/>
              </w:rPr>
              <w:t>中表2、3相关限值要求。</w:t>
            </w:r>
          </w:p>
          <w:p w14:paraId="6615B45D">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w:t>
            </w:r>
            <w:r>
              <w:rPr>
                <w:rFonts w:hint="eastAsia"/>
                <w:b/>
                <w:bCs/>
                <w:color w:val="000000" w:themeColor="text1"/>
                <w14:textFill>
                  <w14:solidFill>
                    <w14:schemeClr w14:val="tx1"/>
                  </w14:solidFill>
                </w14:textFill>
              </w:rPr>
              <w:t>6</w:t>
            </w:r>
            <w:r>
              <w:rPr>
                <w:b/>
                <w:bCs/>
                <w:color w:val="000000" w:themeColor="text1"/>
                <w14:textFill>
                  <w14:solidFill>
                    <w14:schemeClr w14:val="tx1"/>
                  </w14:solidFill>
                </w14:textFill>
              </w:rPr>
              <w:t xml:space="preserve">  本项目大气污染物排放执行标准</w:t>
            </w:r>
          </w:p>
          <w:tbl>
            <w:tblPr>
              <w:tblStyle w:val="4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811"/>
              <w:gridCol w:w="1619"/>
              <w:gridCol w:w="1386"/>
              <w:gridCol w:w="1814"/>
              <w:gridCol w:w="1142"/>
            </w:tblGrid>
            <w:tr w14:paraId="2274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Align w:val="center"/>
                </w:tcPr>
                <w:p w14:paraId="69B535B7">
                  <w:pPr>
                    <w:pStyle w:val="181"/>
                    <w:framePr w:hSpace="0" w:wrap="auto" w:vAnchor="margin" w:hAnchor="text" w:xAlign="left" w:yAlign="inline"/>
                    <w:rPr>
                      <w:b/>
                      <w:bCs/>
                      <w:color w:val="000000" w:themeColor="text1"/>
                      <w:kern w:val="18"/>
                      <w14:textFill>
                        <w14:solidFill>
                          <w14:schemeClr w14:val="tx1"/>
                        </w14:solidFill>
                      </w14:textFill>
                    </w:rPr>
                  </w:pPr>
                  <w:bookmarkStart w:id="7" w:name="_Hlk109920723"/>
                  <w:r>
                    <w:rPr>
                      <w:b/>
                      <w:bCs/>
                      <w:color w:val="000000" w:themeColor="text1"/>
                      <w:kern w:val="18"/>
                      <w14:textFill>
                        <w14:solidFill>
                          <w14:schemeClr w14:val="tx1"/>
                        </w14:solidFill>
                      </w14:textFill>
                    </w:rPr>
                    <w:t>标准名称</w:t>
                  </w:r>
                </w:p>
              </w:tc>
              <w:tc>
                <w:tcPr>
                  <w:tcW w:w="2512" w:type="dxa"/>
                  <w:gridSpan w:val="2"/>
                  <w:vAlign w:val="center"/>
                </w:tcPr>
                <w:p w14:paraId="67DA96D4">
                  <w:pPr>
                    <w:pStyle w:val="181"/>
                    <w:framePr w:hSpace="0" w:wrap="auto" w:vAnchor="margin" w:hAnchor="text" w:xAlign="left" w:yAlign="inline"/>
                    <w:rPr>
                      <w:b/>
                      <w:bCs/>
                      <w:color w:val="000000" w:themeColor="text1"/>
                      <w:kern w:val="18"/>
                      <w14:textFill>
                        <w14:solidFill>
                          <w14:schemeClr w14:val="tx1"/>
                        </w14:solidFill>
                      </w14:textFill>
                    </w:rPr>
                  </w:pPr>
                  <w:r>
                    <w:rPr>
                      <w:b/>
                      <w:bCs/>
                      <w:color w:val="000000" w:themeColor="text1"/>
                      <w:kern w:val="18"/>
                      <w14:textFill>
                        <w14:solidFill>
                          <w14:schemeClr w14:val="tx1"/>
                        </w14:solidFill>
                      </w14:textFill>
                    </w:rPr>
                    <w:t>适用类别</w:t>
                  </w:r>
                </w:p>
              </w:tc>
              <w:tc>
                <w:tcPr>
                  <w:tcW w:w="1418" w:type="dxa"/>
                  <w:vAlign w:val="center"/>
                </w:tcPr>
                <w:p w14:paraId="47D92BB1">
                  <w:pPr>
                    <w:pStyle w:val="181"/>
                    <w:framePr w:hSpace="0" w:wrap="auto" w:vAnchor="margin" w:hAnchor="text" w:xAlign="left" w:yAlign="inline"/>
                    <w:rPr>
                      <w:b/>
                      <w:bCs/>
                      <w:color w:val="000000" w:themeColor="text1"/>
                      <w:kern w:val="18"/>
                      <w14:textFill>
                        <w14:solidFill>
                          <w14:schemeClr w14:val="tx1"/>
                        </w14:solidFill>
                      </w14:textFill>
                    </w:rPr>
                  </w:pPr>
                  <w:r>
                    <w:rPr>
                      <w:b/>
                      <w:bCs/>
                      <w:color w:val="000000" w:themeColor="text1"/>
                      <w:kern w:val="18"/>
                      <w14:textFill>
                        <w14:solidFill>
                          <w14:schemeClr w14:val="tx1"/>
                        </w14:solidFill>
                      </w14:textFill>
                    </w:rPr>
                    <w:t>污染物</w:t>
                  </w:r>
                </w:p>
              </w:tc>
              <w:tc>
                <w:tcPr>
                  <w:tcW w:w="1864" w:type="dxa"/>
                  <w:vAlign w:val="center"/>
                </w:tcPr>
                <w:p w14:paraId="18AC16E4">
                  <w:pPr>
                    <w:pStyle w:val="181"/>
                    <w:framePr w:hSpace="0" w:wrap="auto" w:vAnchor="margin" w:hAnchor="text" w:xAlign="left" w:yAlign="inline"/>
                    <w:rPr>
                      <w:b/>
                      <w:bCs/>
                      <w:color w:val="000000" w:themeColor="text1"/>
                      <w:kern w:val="18"/>
                      <w14:textFill>
                        <w14:solidFill>
                          <w14:schemeClr w14:val="tx1"/>
                        </w14:solidFill>
                      </w14:textFill>
                    </w:rPr>
                  </w:pPr>
                  <w:r>
                    <w:rPr>
                      <w:rFonts w:hint="eastAsia"/>
                      <w:b/>
                      <w:bCs/>
                      <w:color w:val="000000" w:themeColor="text1"/>
                      <w:kern w:val="18"/>
                      <w14:textFill>
                        <w14:solidFill>
                          <w14:schemeClr w14:val="tx1"/>
                        </w14:solidFill>
                      </w14:textFill>
                    </w:rPr>
                    <w:t>浓度</w:t>
                  </w:r>
                  <w:r>
                    <w:rPr>
                      <w:b/>
                      <w:bCs/>
                      <w:color w:val="000000" w:themeColor="text1"/>
                      <w:kern w:val="18"/>
                      <w14:textFill>
                        <w14:solidFill>
                          <w14:schemeClr w14:val="tx1"/>
                        </w14:solidFill>
                      </w14:textFill>
                    </w:rPr>
                    <w:t>限值</w:t>
                  </w:r>
                </w:p>
                <w:p w14:paraId="716DF59F">
                  <w:pPr>
                    <w:pStyle w:val="181"/>
                    <w:framePr w:hSpace="0" w:wrap="auto" w:vAnchor="margin" w:hAnchor="text" w:xAlign="left" w:yAlign="inline"/>
                    <w:rPr>
                      <w:b/>
                      <w:bCs/>
                      <w:color w:val="000000" w:themeColor="text1"/>
                      <w:kern w:val="18"/>
                      <w14:textFill>
                        <w14:solidFill>
                          <w14:schemeClr w14:val="tx1"/>
                        </w14:solidFill>
                      </w14:textFill>
                    </w:rPr>
                  </w:pPr>
                  <w:r>
                    <w:rPr>
                      <w:b/>
                      <w:bCs/>
                      <w:color w:val="000000" w:themeColor="text1"/>
                      <w:kern w:val="18"/>
                      <w14:textFill>
                        <w14:solidFill>
                          <w14:schemeClr w14:val="tx1"/>
                        </w14:solidFill>
                      </w14:textFill>
                    </w:rPr>
                    <w:t>mg/m</w:t>
                  </w:r>
                  <w:r>
                    <w:rPr>
                      <w:b/>
                      <w:bCs/>
                      <w:color w:val="000000" w:themeColor="text1"/>
                      <w:kern w:val="18"/>
                      <w:vertAlign w:val="superscript"/>
                      <w14:textFill>
                        <w14:solidFill>
                          <w14:schemeClr w14:val="tx1"/>
                        </w14:solidFill>
                      </w14:textFill>
                    </w:rPr>
                    <w:t>3</w:t>
                  </w:r>
                </w:p>
              </w:tc>
              <w:tc>
                <w:tcPr>
                  <w:tcW w:w="1167" w:type="dxa"/>
                  <w:vAlign w:val="center"/>
                </w:tcPr>
                <w:p w14:paraId="652079CD">
                  <w:pPr>
                    <w:pStyle w:val="181"/>
                    <w:framePr w:hSpace="0" w:wrap="auto" w:vAnchor="margin" w:hAnchor="text" w:xAlign="left" w:yAlign="inline"/>
                    <w:rPr>
                      <w:b/>
                      <w:bCs/>
                      <w:color w:val="000000" w:themeColor="text1"/>
                      <w:kern w:val="18"/>
                      <w14:textFill>
                        <w14:solidFill>
                          <w14:schemeClr w14:val="tx1"/>
                        </w14:solidFill>
                      </w14:textFill>
                    </w:rPr>
                  </w:pPr>
                  <w:r>
                    <w:rPr>
                      <w:rFonts w:hint="eastAsia"/>
                      <w:b/>
                      <w:bCs/>
                      <w:color w:val="000000" w:themeColor="text1"/>
                      <w:kern w:val="18"/>
                      <w14:textFill>
                        <w14:solidFill>
                          <w14:schemeClr w14:val="tx1"/>
                        </w14:solidFill>
                      </w14:textFill>
                    </w:rPr>
                    <w:t>速率限值</w:t>
                  </w:r>
                </w:p>
                <w:p w14:paraId="36047F89">
                  <w:pPr>
                    <w:pStyle w:val="181"/>
                    <w:framePr w:hSpace="0" w:wrap="auto" w:vAnchor="margin" w:hAnchor="text" w:xAlign="left" w:yAlign="inline"/>
                    <w:rPr>
                      <w:b/>
                      <w:bCs/>
                      <w:color w:val="000000" w:themeColor="text1"/>
                      <w:kern w:val="18"/>
                      <w14:textFill>
                        <w14:solidFill>
                          <w14:schemeClr w14:val="tx1"/>
                        </w14:solidFill>
                      </w14:textFill>
                    </w:rPr>
                  </w:pPr>
                  <w:r>
                    <w:rPr>
                      <w:rFonts w:hint="eastAsia"/>
                      <w:b/>
                      <w:bCs/>
                      <w:color w:val="000000" w:themeColor="text1"/>
                      <w:kern w:val="18"/>
                      <w14:textFill>
                        <w14:solidFill>
                          <w14:schemeClr w14:val="tx1"/>
                        </w14:solidFill>
                      </w14:textFill>
                    </w:rPr>
                    <w:t>kg/h</w:t>
                  </w:r>
                </w:p>
              </w:tc>
            </w:tr>
            <w:tr w14:paraId="01F01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restart"/>
                  <w:vAlign w:val="center"/>
                </w:tcPr>
                <w:p w14:paraId="757CEC19">
                  <w:pPr>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《大气污染物综合排放标准》（GB 16297-1996）</w:t>
                  </w:r>
                </w:p>
              </w:tc>
              <w:tc>
                <w:tcPr>
                  <w:tcW w:w="834" w:type="dxa"/>
                  <w:vMerge w:val="restart"/>
                  <w:vAlign w:val="center"/>
                </w:tcPr>
                <w:p w14:paraId="547A6D6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表2</w:t>
                  </w:r>
                </w:p>
              </w:tc>
              <w:tc>
                <w:tcPr>
                  <w:tcW w:w="1678" w:type="dxa"/>
                  <w:vMerge w:val="restart"/>
                  <w:vAlign w:val="center"/>
                </w:tcPr>
                <w:p w14:paraId="77C4A943">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有组织排放</w:t>
                  </w:r>
                </w:p>
              </w:tc>
              <w:tc>
                <w:tcPr>
                  <w:tcW w:w="1418" w:type="dxa"/>
                  <w:vAlign w:val="center"/>
                </w:tcPr>
                <w:p w14:paraId="4E9E7829">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颗粒物</w:t>
                  </w:r>
                </w:p>
              </w:tc>
              <w:tc>
                <w:tcPr>
                  <w:tcW w:w="1864" w:type="dxa"/>
                  <w:vAlign w:val="center"/>
                </w:tcPr>
                <w:p w14:paraId="30748A72">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120</w:t>
                  </w:r>
                </w:p>
              </w:tc>
              <w:tc>
                <w:tcPr>
                  <w:tcW w:w="1167" w:type="dxa"/>
                  <w:vAlign w:val="center"/>
                </w:tcPr>
                <w:p w14:paraId="641B0731">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3.5</w:t>
                  </w:r>
                </w:p>
              </w:tc>
            </w:tr>
            <w:tr w14:paraId="14C6C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71CFDC69">
                  <w:pPr>
                    <w:snapToGrid w:val="0"/>
                    <w:jc w:val="center"/>
                    <w:rPr>
                      <w:bCs/>
                      <w:color w:val="000000" w:themeColor="text1"/>
                      <w:szCs w:val="21"/>
                      <w14:textFill>
                        <w14:solidFill>
                          <w14:schemeClr w14:val="tx1"/>
                        </w14:solidFill>
                      </w14:textFill>
                    </w:rPr>
                  </w:pPr>
                </w:p>
              </w:tc>
              <w:tc>
                <w:tcPr>
                  <w:tcW w:w="834" w:type="dxa"/>
                  <w:vMerge w:val="continue"/>
                  <w:vAlign w:val="center"/>
                </w:tcPr>
                <w:p w14:paraId="4E47AC05">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2E9F20BF">
                  <w:pPr>
                    <w:snapToGrid w:val="0"/>
                    <w:jc w:val="center"/>
                    <w:rPr>
                      <w:color w:val="000000" w:themeColor="text1"/>
                      <w:kern w:val="18"/>
                      <w:szCs w:val="21"/>
                      <w14:textFill>
                        <w14:solidFill>
                          <w14:schemeClr w14:val="tx1"/>
                        </w14:solidFill>
                      </w14:textFill>
                    </w:rPr>
                  </w:pPr>
                </w:p>
              </w:tc>
              <w:tc>
                <w:tcPr>
                  <w:tcW w:w="4449" w:type="dxa"/>
                  <w:gridSpan w:val="3"/>
                  <w:vAlign w:val="center"/>
                </w:tcPr>
                <w:p w14:paraId="38B71F25">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排气筒高度15米</w:t>
                  </w:r>
                </w:p>
              </w:tc>
            </w:tr>
            <w:tr w14:paraId="6F79F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29CA45E4">
                  <w:pPr>
                    <w:snapToGrid w:val="0"/>
                    <w:jc w:val="center"/>
                    <w:rPr>
                      <w:bCs/>
                      <w:color w:val="000000" w:themeColor="text1"/>
                      <w:szCs w:val="21"/>
                      <w14:textFill>
                        <w14:solidFill>
                          <w14:schemeClr w14:val="tx1"/>
                        </w14:solidFill>
                      </w14:textFill>
                    </w:rPr>
                  </w:pPr>
                </w:p>
              </w:tc>
              <w:tc>
                <w:tcPr>
                  <w:tcW w:w="834" w:type="dxa"/>
                  <w:vMerge w:val="continue"/>
                  <w:vAlign w:val="center"/>
                </w:tcPr>
                <w:p w14:paraId="4FE81777">
                  <w:pPr>
                    <w:snapToGrid w:val="0"/>
                    <w:jc w:val="center"/>
                    <w:rPr>
                      <w:color w:val="000000" w:themeColor="text1"/>
                      <w:kern w:val="18"/>
                      <w:szCs w:val="21"/>
                      <w14:textFill>
                        <w14:solidFill>
                          <w14:schemeClr w14:val="tx1"/>
                        </w14:solidFill>
                      </w14:textFill>
                    </w:rPr>
                  </w:pPr>
                </w:p>
              </w:tc>
              <w:tc>
                <w:tcPr>
                  <w:tcW w:w="1678" w:type="dxa"/>
                  <w:vMerge w:val="restart"/>
                  <w:vAlign w:val="center"/>
                </w:tcPr>
                <w:p w14:paraId="15D90FB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无组织排放（厂界）</w:t>
                  </w:r>
                </w:p>
              </w:tc>
              <w:tc>
                <w:tcPr>
                  <w:tcW w:w="1418" w:type="dxa"/>
                  <w:vAlign w:val="center"/>
                </w:tcPr>
                <w:p w14:paraId="433BBC83">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颗粒物</w:t>
                  </w:r>
                </w:p>
              </w:tc>
              <w:tc>
                <w:tcPr>
                  <w:tcW w:w="1864" w:type="dxa"/>
                  <w:vAlign w:val="center"/>
                </w:tcPr>
                <w:p w14:paraId="65BBC4CE">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1.0</w:t>
                  </w:r>
                </w:p>
              </w:tc>
              <w:tc>
                <w:tcPr>
                  <w:tcW w:w="1167" w:type="dxa"/>
                  <w:vAlign w:val="center"/>
                </w:tcPr>
                <w:p w14:paraId="0629A6F0">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w:t>
                  </w:r>
                </w:p>
              </w:tc>
            </w:tr>
            <w:tr w14:paraId="50C5D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23CB273C">
                  <w:pPr>
                    <w:snapToGrid w:val="0"/>
                    <w:jc w:val="center"/>
                    <w:rPr>
                      <w:bCs/>
                      <w:color w:val="000000" w:themeColor="text1"/>
                      <w:szCs w:val="21"/>
                      <w14:textFill>
                        <w14:solidFill>
                          <w14:schemeClr w14:val="tx1"/>
                        </w14:solidFill>
                      </w14:textFill>
                    </w:rPr>
                  </w:pPr>
                </w:p>
              </w:tc>
              <w:tc>
                <w:tcPr>
                  <w:tcW w:w="834" w:type="dxa"/>
                  <w:vMerge w:val="continue"/>
                  <w:vAlign w:val="center"/>
                </w:tcPr>
                <w:p w14:paraId="43ACF23A">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5CD57535">
                  <w:pPr>
                    <w:snapToGrid w:val="0"/>
                    <w:jc w:val="center"/>
                    <w:rPr>
                      <w:color w:val="000000" w:themeColor="text1"/>
                      <w:kern w:val="18"/>
                      <w:szCs w:val="21"/>
                      <w14:textFill>
                        <w14:solidFill>
                          <w14:schemeClr w14:val="tx1"/>
                        </w14:solidFill>
                      </w14:textFill>
                    </w:rPr>
                  </w:pPr>
                </w:p>
              </w:tc>
              <w:tc>
                <w:tcPr>
                  <w:tcW w:w="1418" w:type="dxa"/>
                  <w:vAlign w:val="center"/>
                </w:tcPr>
                <w:p w14:paraId="03FE5FCE">
                  <w:pPr>
                    <w:snapToGrid w:val="0"/>
                    <w:jc w:val="center"/>
                    <w:rPr>
                      <w:color w:val="000000" w:themeColor="text1"/>
                      <w:kern w:val="18"/>
                      <w:szCs w:val="21"/>
                      <w14:textFill>
                        <w14:solidFill>
                          <w14:schemeClr w14:val="tx1"/>
                        </w14:solidFill>
                      </w14:textFill>
                    </w:rPr>
                  </w:pPr>
                  <w:r>
                    <w:rPr>
                      <w:color w:val="000000" w:themeColor="text1"/>
                      <w:kern w:val="0"/>
                      <w:szCs w:val="21"/>
                      <w14:textFill>
                        <w14:solidFill>
                          <w14:schemeClr w14:val="tx1"/>
                        </w14:solidFill>
                      </w14:textFill>
                    </w:rPr>
                    <w:t>二甲苯</w:t>
                  </w:r>
                </w:p>
              </w:tc>
              <w:tc>
                <w:tcPr>
                  <w:tcW w:w="1864" w:type="dxa"/>
                  <w:vAlign w:val="center"/>
                </w:tcPr>
                <w:p w14:paraId="50AE0461">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1.2</w:t>
                  </w:r>
                </w:p>
              </w:tc>
              <w:tc>
                <w:tcPr>
                  <w:tcW w:w="1167" w:type="dxa"/>
                  <w:vAlign w:val="center"/>
                </w:tcPr>
                <w:p w14:paraId="3EEACCF6">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w:t>
                  </w:r>
                </w:p>
              </w:tc>
            </w:tr>
            <w:tr w14:paraId="0EB1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restart"/>
                  <w:vAlign w:val="center"/>
                </w:tcPr>
                <w:p w14:paraId="372E0E4F">
                  <w:pPr>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《挥发性有机物综合排放控制标准（试行）》（DB36/2186-2025）</w:t>
                  </w:r>
                </w:p>
              </w:tc>
              <w:tc>
                <w:tcPr>
                  <w:tcW w:w="834" w:type="dxa"/>
                  <w:vMerge w:val="restart"/>
                  <w:vAlign w:val="center"/>
                </w:tcPr>
                <w:p w14:paraId="7CE7AED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表</w:t>
                  </w:r>
                  <w:r>
                    <w:rPr>
                      <w:rFonts w:hint="eastAsia"/>
                      <w:color w:val="000000" w:themeColor="text1"/>
                      <w:kern w:val="18"/>
                      <w:szCs w:val="21"/>
                      <w14:textFill>
                        <w14:solidFill>
                          <w14:schemeClr w14:val="tx1"/>
                        </w14:solidFill>
                      </w14:textFill>
                    </w:rPr>
                    <w:t>1</w:t>
                  </w:r>
                </w:p>
              </w:tc>
              <w:tc>
                <w:tcPr>
                  <w:tcW w:w="1678" w:type="dxa"/>
                  <w:vMerge w:val="restart"/>
                  <w:vAlign w:val="center"/>
                </w:tcPr>
                <w:p w14:paraId="5F2C16AC">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有组织排放</w:t>
                  </w:r>
                </w:p>
              </w:tc>
              <w:tc>
                <w:tcPr>
                  <w:tcW w:w="1418" w:type="dxa"/>
                  <w:vAlign w:val="center"/>
                </w:tcPr>
                <w:p w14:paraId="396E9BED">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非甲烷总烃</w:t>
                  </w:r>
                </w:p>
              </w:tc>
              <w:tc>
                <w:tcPr>
                  <w:tcW w:w="1864" w:type="dxa"/>
                  <w:vAlign w:val="center"/>
                </w:tcPr>
                <w:p w14:paraId="6360ABF6">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80</w:t>
                  </w:r>
                </w:p>
              </w:tc>
              <w:tc>
                <w:tcPr>
                  <w:tcW w:w="1167" w:type="dxa"/>
                  <w:vAlign w:val="center"/>
                </w:tcPr>
                <w:p w14:paraId="568DFD28">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10</w:t>
                  </w:r>
                </w:p>
              </w:tc>
            </w:tr>
            <w:tr w14:paraId="4AFD7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59E624BB">
                  <w:pPr>
                    <w:snapToGrid w:val="0"/>
                    <w:jc w:val="center"/>
                    <w:rPr>
                      <w:bCs/>
                      <w:color w:val="000000" w:themeColor="text1"/>
                      <w:szCs w:val="21"/>
                      <w14:textFill>
                        <w14:solidFill>
                          <w14:schemeClr w14:val="tx1"/>
                        </w14:solidFill>
                      </w14:textFill>
                    </w:rPr>
                  </w:pPr>
                </w:p>
              </w:tc>
              <w:tc>
                <w:tcPr>
                  <w:tcW w:w="834" w:type="dxa"/>
                  <w:vMerge w:val="continue"/>
                  <w:vAlign w:val="center"/>
                </w:tcPr>
                <w:p w14:paraId="6D1C09A6">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67AB1ED6">
                  <w:pPr>
                    <w:snapToGrid w:val="0"/>
                    <w:jc w:val="center"/>
                    <w:rPr>
                      <w:color w:val="000000" w:themeColor="text1"/>
                      <w:kern w:val="18"/>
                      <w:szCs w:val="21"/>
                      <w14:textFill>
                        <w14:solidFill>
                          <w14:schemeClr w14:val="tx1"/>
                        </w14:solidFill>
                      </w14:textFill>
                    </w:rPr>
                  </w:pPr>
                </w:p>
              </w:tc>
              <w:tc>
                <w:tcPr>
                  <w:tcW w:w="1418" w:type="dxa"/>
                  <w:vAlign w:val="center"/>
                </w:tcPr>
                <w:p w14:paraId="2ACAE98F">
                  <w:pPr>
                    <w:snapToGrid w:val="0"/>
                    <w:jc w:val="center"/>
                    <w:rPr>
                      <w:color w:val="000000" w:themeColor="text1"/>
                      <w:kern w:val="18"/>
                      <w:szCs w:val="21"/>
                      <w14:textFill>
                        <w14:solidFill>
                          <w14:schemeClr w14:val="tx1"/>
                        </w14:solidFill>
                      </w14:textFill>
                    </w:rPr>
                  </w:pPr>
                  <w:r>
                    <w:rPr>
                      <w:color w:val="000000" w:themeColor="text1"/>
                      <w:kern w:val="0"/>
                      <w:szCs w:val="21"/>
                      <w14:textFill>
                        <w14:solidFill>
                          <w14:schemeClr w14:val="tx1"/>
                        </w14:solidFill>
                      </w14:textFill>
                    </w:rPr>
                    <w:t>二甲苯</w:t>
                  </w:r>
                </w:p>
              </w:tc>
              <w:tc>
                <w:tcPr>
                  <w:tcW w:w="1864" w:type="dxa"/>
                  <w:vAlign w:val="center"/>
                </w:tcPr>
                <w:p w14:paraId="456EE96B">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40</w:t>
                  </w:r>
                </w:p>
              </w:tc>
              <w:tc>
                <w:tcPr>
                  <w:tcW w:w="1167" w:type="dxa"/>
                  <w:vAlign w:val="center"/>
                </w:tcPr>
                <w:p w14:paraId="4B42146C">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1.0</w:t>
                  </w:r>
                </w:p>
              </w:tc>
            </w:tr>
            <w:tr w14:paraId="3DA15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1ECC11E1">
                  <w:pPr>
                    <w:snapToGrid w:val="0"/>
                    <w:jc w:val="center"/>
                    <w:rPr>
                      <w:bCs/>
                      <w:color w:val="000000" w:themeColor="text1"/>
                      <w:szCs w:val="21"/>
                      <w14:textFill>
                        <w14:solidFill>
                          <w14:schemeClr w14:val="tx1"/>
                        </w14:solidFill>
                      </w14:textFill>
                    </w:rPr>
                  </w:pPr>
                </w:p>
              </w:tc>
              <w:tc>
                <w:tcPr>
                  <w:tcW w:w="834" w:type="dxa"/>
                  <w:vMerge w:val="continue"/>
                  <w:vAlign w:val="center"/>
                </w:tcPr>
                <w:p w14:paraId="15D6948C">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640D6DFD">
                  <w:pPr>
                    <w:snapToGrid w:val="0"/>
                    <w:jc w:val="center"/>
                    <w:rPr>
                      <w:color w:val="000000" w:themeColor="text1"/>
                      <w:kern w:val="18"/>
                      <w:szCs w:val="21"/>
                      <w14:textFill>
                        <w14:solidFill>
                          <w14:schemeClr w14:val="tx1"/>
                        </w14:solidFill>
                      </w14:textFill>
                    </w:rPr>
                  </w:pPr>
                </w:p>
              </w:tc>
              <w:tc>
                <w:tcPr>
                  <w:tcW w:w="4449" w:type="dxa"/>
                  <w:gridSpan w:val="3"/>
                  <w:vAlign w:val="center"/>
                </w:tcPr>
                <w:p w14:paraId="515B7B98">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排气筒高度15米</w:t>
                  </w:r>
                </w:p>
              </w:tc>
            </w:tr>
            <w:tr w14:paraId="6E762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6A5EB3CD">
                  <w:pPr>
                    <w:snapToGrid w:val="0"/>
                    <w:jc w:val="center"/>
                    <w:rPr>
                      <w:color w:val="000000" w:themeColor="text1"/>
                      <w:szCs w:val="21"/>
                      <w14:textFill>
                        <w14:solidFill>
                          <w14:schemeClr w14:val="tx1"/>
                        </w14:solidFill>
                      </w14:textFill>
                    </w:rPr>
                  </w:pPr>
                </w:p>
              </w:tc>
              <w:tc>
                <w:tcPr>
                  <w:tcW w:w="834" w:type="dxa"/>
                  <w:vMerge w:val="restart"/>
                  <w:vAlign w:val="center"/>
                </w:tcPr>
                <w:p w14:paraId="4E24A91F">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表3</w:t>
                  </w:r>
                </w:p>
              </w:tc>
              <w:tc>
                <w:tcPr>
                  <w:tcW w:w="1678" w:type="dxa"/>
                  <w:vMerge w:val="restart"/>
                  <w:vAlign w:val="center"/>
                </w:tcPr>
                <w:p w14:paraId="6F78E872">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无组织排放（厂界）</w:t>
                  </w:r>
                </w:p>
              </w:tc>
              <w:tc>
                <w:tcPr>
                  <w:tcW w:w="1418" w:type="dxa"/>
                  <w:vMerge w:val="restart"/>
                  <w:vAlign w:val="center"/>
                </w:tcPr>
                <w:p w14:paraId="0C7A439F">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非甲烷总烃</w:t>
                  </w:r>
                </w:p>
              </w:tc>
              <w:tc>
                <w:tcPr>
                  <w:tcW w:w="1864" w:type="dxa"/>
                  <w:vAlign w:val="center"/>
                </w:tcPr>
                <w:p w14:paraId="4980D4F2">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2</w:t>
                  </w:r>
                  <w:r>
                    <w:rPr>
                      <w:color w:val="000000" w:themeColor="text1"/>
                      <w:kern w:val="18"/>
                      <w:szCs w:val="21"/>
                      <w14:textFill>
                        <w14:solidFill>
                          <w14:schemeClr w14:val="tx1"/>
                        </w14:solidFill>
                      </w14:textFill>
                    </w:rPr>
                    <w:t>（监控点处1h平均浓度值）</w:t>
                  </w:r>
                </w:p>
              </w:tc>
              <w:tc>
                <w:tcPr>
                  <w:tcW w:w="1167" w:type="dxa"/>
                  <w:vAlign w:val="center"/>
                </w:tcPr>
                <w:p w14:paraId="7D01BD7C">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w:t>
                  </w:r>
                </w:p>
              </w:tc>
            </w:tr>
            <w:tr w14:paraId="641E9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37621842">
                  <w:pPr>
                    <w:snapToGrid w:val="0"/>
                    <w:jc w:val="center"/>
                    <w:rPr>
                      <w:color w:val="000000" w:themeColor="text1"/>
                      <w:szCs w:val="21"/>
                      <w14:textFill>
                        <w14:solidFill>
                          <w14:schemeClr w14:val="tx1"/>
                        </w14:solidFill>
                      </w14:textFill>
                    </w:rPr>
                  </w:pPr>
                </w:p>
              </w:tc>
              <w:tc>
                <w:tcPr>
                  <w:tcW w:w="834" w:type="dxa"/>
                  <w:vMerge w:val="continue"/>
                  <w:vAlign w:val="center"/>
                </w:tcPr>
                <w:p w14:paraId="49495D77">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1E936EA2">
                  <w:pPr>
                    <w:snapToGrid w:val="0"/>
                    <w:jc w:val="center"/>
                    <w:rPr>
                      <w:color w:val="000000" w:themeColor="text1"/>
                      <w:kern w:val="18"/>
                      <w:szCs w:val="21"/>
                      <w14:textFill>
                        <w14:solidFill>
                          <w14:schemeClr w14:val="tx1"/>
                        </w14:solidFill>
                      </w14:textFill>
                    </w:rPr>
                  </w:pPr>
                </w:p>
              </w:tc>
              <w:tc>
                <w:tcPr>
                  <w:tcW w:w="1418" w:type="dxa"/>
                  <w:vMerge w:val="continue"/>
                  <w:vAlign w:val="center"/>
                </w:tcPr>
                <w:p w14:paraId="1907EC82">
                  <w:pPr>
                    <w:snapToGrid w:val="0"/>
                    <w:jc w:val="center"/>
                    <w:rPr>
                      <w:color w:val="000000" w:themeColor="text1"/>
                      <w:kern w:val="18"/>
                      <w:szCs w:val="21"/>
                      <w14:textFill>
                        <w14:solidFill>
                          <w14:schemeClr w14:val="tx1"/>
                        </w14:solidFill>
                      </w14:textFill>
                    </w:rPr>
                  </w:pPr>
                </w:p>
              </w:tc>
              <w:tc>
                <w:tcPr>
                  <w:tcW w:w="1864" w:type="dxa"/>
                  <w:vAlign w:val="center"/>
                </w:tcPr>
                <w:p w14:paraId="6008FEC8">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4</w:t>
                  </w:r>
                  <w:r>
                    <w:rPr>
                      <w:color w:val="000000" w:themeColor="text1"/>
                      <w:kern w:val="18"/>
                      <w:szCs w:val="21"/>
                      <w14:textFill>
                        <w14:solidFill>
                          <w14:schemeClr w14:val="tx1"/>
                        </w14:solidFill>
                      </w14:textFill>
                    </w:rPr>
                    <w:t>（监控点处任意一点浓度值）</w:t>
                  </w:r>
                </w:p>
              </w:tc>
              <w:tc>
                <w:tcPr>
                  <w:tcW w:w="1167" w:type="dxa"/>
                  <w:vAlign w:val="center"/>
                </w:tcPr>
                <w:p w14:paraId="54232A67">
                  <w:pPr>
                    <w:snapToGrid w:val="0"/>
                    <w:jc w:val="center"/>
                    <w:rPr>
                      <w:color w:val="000000" w:themeColor="text1"/>
                      <w:kern w:val="18"/>
                      <w:szCs w:val="21"/>
                      <w14:textFill>
                        <w14:solidFill>
                          <w14:schemeClr w14:val="tx1"/>
                        </w14:solidFill>
                      </w14:textFill>
                    </w:rPr>
                  </w:pPr>
                </w:p>
              </w:tc>
            </w:tr>
            <w:tr w14:paraId="74411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57A6DAA3">
                  <w:pPr>
                    <w:snapToGrid w:val="0"/>
                    <w:jc w:val="center"/>
                    <w:rPr>
                      <w:bCs/>
                      <w:color w:val="000000" w:themeColor="text1"/>
                      <w:szCs w:val="21"/>
                      <w14:textFill>
                        <w14:solidFill>
                          <w14:schemeClr w14:val="tx1"/>
                        </w14:solidFill>
                      </w14:textFill>
                    </w:rPr>
                  </w:pPr>
                </w:p>
              </w:tc>
              <w:tc>
                <w:tcPr>
                  <w:tcW w:w="834" w:type="dxa"/>
                  <w:vMerge w:val="restart"/>
                  <w:vAlign w:val="center"/>
                </w:tcPr>
                <w:p w14:paraId="371E91EE">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表</w:t>
                  </w:r>
                  <w:r>
                    <w:rPr>
                      <w:rFonts w:hint="eastAsia"/>
                      <w:color w:val="000000" w:themeColor="text1"/>
                      <w:kern w:val="18"/>
                      <w:szCs w:val="21"/>
                      <w14:textFill>
                        <w14:solidFill>
                          <w14:schemeClr w14:val="tx1"/>
                        </w14:solidFill>
                      </w14:textFill>
                    </w:rPr>
                    <w:t>2</w:t>
                  </w:r>
                </w:p>
              </w:tc>
              <w:tc>
                <w:tcPr>
                  <w:tcW w:w="1678" w:type="dxa"/>
                  <w:vMerge w:val="restart"/>
                  <w:vAlign w:val="center"/>
                </w:tcPr>
                <w:p w14:paraId="2AD134D3">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无组织排放（厂</w:t>
                  </w:r>
                  <w:r>
                    <w:rPr>
                      <w:rFonts w:hint="eastAsia"/>
                      <w:color w:val="000000" w:themeColor="text1"/>
                      <w:kern w:val="18"/>
                      <w:szCs w:val="21"/>
                      <w14:textFill>
                        <w14:solidFill>
                          <w14:schemeClr w14:val="tx1"/>
                        </w14:solidFill>
                      </w14:textFill>
                    </w:rPr>
                    <w:t>区内</w:t>
                  </w:r>
                  <w:r>
                    <w:rPr>
                      <w:color w:val="000000" w:themeColor="text1"/>
                      <w:kern w:val="18"/>
                      <w:szCs w:val="21"/>
                      <w14:textFill>
                        <w14:solidFill>
                          <w14:schemeClr w14:val="tx1"/>
                        </w14:solidFill>
                      </w14:textFill>
                    </w:rPr>
                    <w:t>）</w:t>
                  </w:r>
                </w:p>
              </w:tc>
              <w:tc>
                <w:tcPr>
                  <w:tcW w:w="1418" w:type="dxa"/>
                  <w:vMerge w:val="restart"/>
                  <w:vAlign w:val="center"/>
                </w:tcPr>
                <w:p w14:paraId="36E4429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NMHC</w:t>
                  </w:r>
                </w:p>
              </w:tc>
              <w:tc>
                <w:tcPr>
                  <w:tcW w:w="1864" w:type="dxa"/>
                  <w:vAlign w:val="center"/>
                </w:tcPr>
                <w:p w14:paraId="6DDA8C31">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10（监控点处1h平均浓度值）</w:t>
                  </w:r>
                </w:p>
              </w:tc>
              <w:tc>
                <w:tcPr>
                  <w:tcW w:w="1167" w:type="dxa"/>
                  <w:vAlign w:val="center"/>
                </w:tcPr>
                <w:p w14:paraId="65E625A0">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w:t>
                  </w:r>
                </w:p>
              </w:tc>
            </w:tr>
            <w:tr w14:paraId="5E8C7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01" w:type="dxa"/>
                  <w:vMerge w:val="continue"/>
                  <w:vAlign w:val="center"/>
                </w:tcPr>
                <w:p w14:paraId="7F9B13FA">
                  <w:pPr>
                    <w:snapToGrid w:val="0"/>
                    <w:jc w:val="center"/>
                    <w:rPr>
                      <w:bCs/>
                      <w:color w:val="000000" w:themeColor="text1"/>
                      <w:szCs w:val="21"/>
                      <w14:textFill>
                        <w14:solidFill>
                          <w14:schemeClr w14:val="tx1"/>
                        </w14:solidFill>
                      </w14:textFill>
                    </w:rPr>
                  </w:pPr>
                </w:p>
              </w:tc>
              <w:tc>
                <w:tcPr>
                  <w:tcW w:w="834" w:type="dxa"/>
                  <w:vMerge w:val="continue"/>
                  <w:vAlign w:val="center"/>
                </w:tcPr>
                <w:p w14:paraId="7B5A4DD6">
                  <w:pPr>
                    <w:snapToGrid w:val="0"/>
                    <w:jc w:val="center"/>
                    <w:rPr>
                      <w:color w:val="000000" w:themeColor="text1"/>
                      <w:kern w:val="18"/>
                      <w:szCs w:val="21"/>
                      <w14:textFill>
                        <w14:solidFill>
                          <w14:schemeClr w14:val="tx1"/>
                        </w14:solidFill>
                      </w14:textFill>
                    </w:rPr>
                  </w:pPr>
                </w:p>
              </w:tc>
              <w:tc>
                <w:tcPr>
                  <w:tcW w:w="1678" w:type="dxa"/>
                  <w:vMerge w:val="continue"/>
                  <w:vAlign w:val="center"/>
                </w:tcPr>
                <w:p w14:paraId="5268F9DC">
                  <w:pPr>
                    <w:snapToGrid w:val="0"/>
                    <w:jc w:val="center"/>
                    <w:rPr>
                      <w:color w:val="000000" w:themeColor="text1"/>
                      <w:kern w:val="18"/>
                      <w:szCs w:val="21"/>
                      <w14:textFill>
                        <w14:solidFill>
                          <w14:schemeClr w14:val="tx1"/>
                        </w14:solidFill>
                      </w14:textFill>
                    </w:rPr>
                  </w:pPr>
                </w:p>
              </w:tc>
              <w:tc>
                <w:tcPr>
                  <w:tcW w:w="1418" w:type="dxa"/>
                  <w:vMerge w:val="continue"/>
                  <w:vAlign w:val="center"/>
                </w:tcPr>
                <w:p w14:paraId="20465526">
                  <w:pPr>
                    <w:snapToGrid w:val="0"/>
                    <w:jc w:val="center"/>
                    <w:rPr>
                      <w:color w:val="000000" w:themeColor="text1"/>
                      <w:kern w:val="18"/>
                      <w:szCs w:val="21"/>
                      <w14:textFill>
                        <w14:solidFill>
                          <w14:schemeClr w14:val="tx1"/>
                        </w14:solidFill>
                      </w14:textFill>
                    </w:rPr>
                  </w:pPr>
                </w:p>
              </w:tc>
              <w:tc>
                <w:tcPr>
                  <w:tcW w:w="1864" w:type="dxa"/>
                  <w:vAlign w:val="center"/>
                </w:tcPr>
                <w:p w14:paraId="453D5FAE">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30（监控点处任意一点浓度值）</w:t>
                  </w:r>
                </w:p>
              </w:tc>
              <w:tc>
                <w:tcPr>
                  <w:tcW w:w="1167" w:type="dxa"/>
                  <w:vAlign w:val="center"/>
                </w:tcPr>
                <w:p w14:paraId="7586A249">
                  <w:pPr>
                    <w:snapToGrid w:val="0"/>
                    <w:jc w:val="center"/>
                    <w:rPr>
                      <w:color w:val="000000" w:themeColor="text1"/>
                      <w:kern w:val="18"/>
                      <w:szCs w:val="21"/>
                      <w14:textFill>
                        <w14:solidFill>
                          <w14:schemeClr w14:val="tx1"/>
                        </w14:solidFill>
                      </w14:textFill>
                    </w:rPr>
                  </w:pPr>
                  <w:r>
                    <w:rPr>
                      <w:rFonts w:hint="eastAsia"/>
                      <w:color w:val="000000" w:themeColor="text1"/>
                      <w:kern w:val="18"/>
                      <w:szCs w:val="21"/>
                      <w14:textFill>
                        <w14:solidFill>
                          <w14:schemeClr w14:val="tx1"/>
                        </w14:solidFill>
                      </w14:textFill>
                    </w:rPr>
                    <w:t>/</w:t>
                  </w:r>
                </w:p>
              </w:tc>
            </w:tr>
            <w:bookmarkEnd w:id="7"/>
          </w:tbl>
          <w:p w14:paraId="4ECA1C57">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2、水污染物排放标准</w:t>
            </w:r>
          </w:p>
          <w:p w14:paraId="3AAE0FBF">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水帘废水作为危废处置</w:t>
            </w:r>
            <w:r>
              <w:rPr>
                <w:color w:val="000000" w:themeColor="text1"/>
                <w:sz w:val="24"/>
                <w14:textFill>
                  <w14:solidFill>
                    <w14:schemeClr w14:val="tx1"/>
                  </w14:solidFill>
                </w14:textFill>
              </w:rPr>
              <w:t>，生活污水经化粪池处理后，</w:t>
            </w:r>
            <w:r>
              <w:rPr>
                <w:rFonts w:hint="eastAsia"/>
                <w:color w:val="000000" w:themeColor="text1"/>
                <w:sz w:val="24"/>
                <w14:textFill>
                  <w14:solidFill>
                    <w14:schemeClr w14:val="tx1"/>
                  </w14:solidFill>
                </w14:textFill>
              </w:rPr>
              <w:t>定期清掏用于周边林地灌溉</w:t>
            </w:r>
            <w:r>
              <w:rPr>
                <w:color w:val="000000" w:themeColor="text1"/>
                <w:sz w:val="24"/>
                <w14:textFill>
                  <w14:solidFill>
                    <w14:schemeClr w14:val="tx1"/>
                  </w14:solidFill>
                </w14:textFill>
              </w:rPr>
              <w:t>，不外排。经化粪池处理后用于</w:t>
            </w:r>
            <w:r>
              <w:rPr>
                <w:rFonts w:hint="eastAsia"/>
                <w:color w:val="000000" w:themeColor="text1"/>
                <w:sz w:val="24"/>
                <w14:textFill>
                  <w14:solidFill>
                    <w14:schemeClr w14:val="tx1"/>
                  </w14:solidFill>
                </w14:textFill>
              </w:rPr>
              <w:t>林地灌溉</w:t>
            </w:r>
            <w:r>
              <w:rPr>
                <w:color w:val="000000" w:themeColor="text1"/>
                <w:sz w:val="24"/>
                <w14:textFill>
                  <w14:solidFill>
                    <w14:schemeClr w14:val="tx1"/>
                  </w14:solidFill>
                </w14:textFill>
              </w:rPr>
              <w:t>的生活污水执行《农田灌溉水质标准》（GB 5084-2021）中旱地作物标准限值。</w:t>
            </w:r>
          </w:p>
          <w:p w14:paraId="429ED992">
            <w:pPr>
              <w:pStyle w:val="178"/>
              <w:spacing w:line="240" w:lineRule="auto"/>
              <w:ind w:firstLine="0" w:firstLineChars="0"/>
              <w:jc w:val="center"/>
              <w:rPr>
                <w:rFonts w:eastAsia="宋体"/>
                <w:b/>
                <w:bCs/>
                <w:color w:val="000000" w:themeColor="text1"/>
                <w:sz w:val="21"/>
                <w:szCs w:val="21"/>
                <w:lang w:val="en-US"/>
                <w14:textFill>
                  <w14:solidFill>
                    <w14:schemeClr w14:val="tx1"/>
                  </w14:solidFill>
                </w14:textFill>
              </w:rPr>
            </w:pPr>
            <w:r>
              <w:rPr>
                <w:rFonts w:eastAsia="宋体"/>
                <w:b/>
                <w:bCs/>
                <w:color w:val="000000" w:themeColor="text1"/>
                <w:sz w:val="21"/>
                <w:szCs w:val="21"/>
                <w:lang w:val="en-US"/>
                <w14:textFill>
                  <w14:solidFill>
                    <w14:schemeClr w14:val="tx1"/>
                  </w14:solidFill>
                </w14:textFill>
              </w:rPr>
              <w:t>表3-7  农田灌溉水质标准（旱地作物）  （单位：mg/L，pH除外）</w:t>
            </w:r>
          </w:p>
          <w:tbl>
            <w:tblPr>
              <w:tblStyle w:val="4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25"/>
              <w:gridCol w:w="1060"/>
              <w:gridCol w:w="902"/>
              <w:gridCol w:w="820"/>
              <w:gridCol w:w="617"/>
              <w:gridCol w:w="857"/>
              <w:gridCol w:w="471"/>
              <w:gridCol w:w="545"/>
            </w:tblGrid>
            <w:tr w14:paraId="083A6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30D7EF1">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w:t>
                  </w:r>
                </w:p>
              </w:tc>
              <w:tc>
                <w:tcPr>
                  <w:tcW w:w="477" w:type="pct"/>
                  <w:vAlign w:val="center"/>
                </w:tcPr>
                <w:p w14:paraId="17CBD9A4">
                  <w:pPr>
                    <w:jc w:val="center"/>
                    <w:rPr>
                      <w:color w:val="000000" w:themeColor="text1"/>
                      <w14:textFill>
                        <w14:solidFill>
                          <w14:schemeClr w14:val="tx1"/>
                        </w14:solidFill>
                      </w14:textFill>
                    </w:rPr>
                  </w:pPr>
                  <w:r>
                    <w:rPr>
                      <w:color w:val="000000" w:themeColor="text1"/>
                      <w14:textFill>
                        <w14:solidFill>
                          <w14:schemeClr w14:val="tx1"/>
                        </w14:solidFill>
                      </w14:textFill>
                    </w:rPr>
                    <w:t>pH</w:t>
                  </w:r>
                </w:p>
              </w:tc>
              <w:tc>
                <w:tcPr>
                  <w:tcW w:w="514" w:type="pct"/>
                  <w:vAlign w:val="center"/>
                </w:tcPr>
                <w:p w14:paraId="02692640">
                  <w:pPr>
                    <w:jc w:val="center"/>
                    <w:rPr>
                      <w:b/>
                      <w:color w:val="000000" w:themeColor="text1"/>
                      <w:szCs w:val="21"/>
                      <w14:textFill>
                        <w14:solidFill>
                          <w14:schemeClr w14:val="tx1"/>
                        </w14:solidFill>
                      </w14:textFill>
                    </w:rPr>
                  </w:pPr>
                  <w:r>
                    <w:rPr>
                      <w:color w:val="000000" w:themeColor="text1"/>
                      <w14:textFill>
                        <w14:solidFill>
                          <w14:schemeClr w14:val="tx1"/>
                        </w14:solidFill>
                      </w14:textFill>
                    </w:rPr>
                    <w:t>COD</w:t>
                  </w:r>
                  <w:r>
                    <w:rPr>
                      <w:color w:val="000000" w:themeColor="text1"/>
                      <w:vertAlign w:val="subscript"/>
                      <w14:textFill>
                        <w14:solidFill>
                          <w14:schemeClr w14:val="tx1"/>
                        </w14:solidFill>
                      </w14:textFill>
                    </w:rPr>
                    <w:t>Cr</w:t>
                  </w:r>
                </w:p>
              </w:tc>
              <w:tc>
                <w:tcPr>
                  <w:tcW w:w="469" w:type="pct"/>
                  <w:vAlign w:val="center"/>
                </w:tcPr>
                <w:p w14:paraId="16ED052C">
                  <w:pPr>
                    <w:jc w:val="center"/>
                    <w:rPr>
                      <w:b/>
                      <w:color w:val="000000" w:themeColor="text1"/>
                      <w:szCs w:val="21"/>
                      <w14:textFill>
                        <w14:solidFill>
                          <w14:schemeClr w14:val="tx1"/>
                        </w14:solidFill>
                      </w14:textFill>
                    </w:rPr>
                  </w:pPr>
                  <w:r>
                    <w:rPr>
                      <w:color w:val="000000" w:themeColor="text1"/>
                      <w14:textFill>
                        <w14:solidFill>
                          <w14:schemeClr w14:val="tx1"/>
                        </w14:solidFill>
                      </w14:textFill>
                    </w:rPr>
                    <w:t>BOD</w:t>
                  </w:r>
                  <w:r>
                    <w:rPr>
                      <w:color w:val="000000" w:themeColor="text1"/>
                      <w:vertAlign w:val="subscript"/>
                      <w14:textFill>
                        <w14:solidFill>
                          <w14:schemeClr w14:val="tx1"/>
                        </w14:solidFill>
                      </w14:textFill>
                    </w:rPr>
                    <w:t>5</w:t>
                  </w:r>
                </w:p>
              </w:tc>
              <w:tc>
                <w:tcPr>
                  <w:tcW w:w="338" w:type="pct"/>
                  <w:vAlign w:val="center"/>
                </w:tcPr>
                <w:p w14:paraId="1DEC2B00">
                  <w:pPr>
                    <w:jc w:val="center"/>
                    <w:rPr>
                      <w:b/>
                      <w:color w:val="000000" w:themeColor="text1"/>
                      <w:szCs w:val="21"/>
                      <w14:textFill>
                        <w14:solidFill>
                          <w14:schemeClr w14:val="tx1"/>
                        </w14:solidFill>
                      </w14:textFill>
                    </w:rPr>
                  </w:pPr>
                  <w:r>
                    <w:rPr>
                      <w:color w:val="000000" w:themeColor="text1"/>
                      <w14:textFill>
                        <w14:solidFill>
                          <w14:schemeClr w14:val="tx1"/>
                        </w14:solidFill>
                      </w14:textFill>
                    </w:rPr>
                    <w:t>SS</w:t>
                  </w:r>
                </w:p>
              </w:tc>
              <w:tc>
                <w:tcPr>
                  <w:tcW w:w="461" w:type="pct"/>
                  <w:vAlign w:val="center"/>
                </w:tcPr>
                <w:p w14:paraId="3AE78E22">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245" w:type="pct"/>
                  <w:vAlign w:val="center"/>
                </w:tcPr>
                <w:p w14:paraId="74783D63">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TP</w:t>
                  </w:r>
                </w:p>
              </w:tc>
              <w:tc>
                <w:tcPr>
                  <w:tcW w:w="339" w:type="pct"/>
                  <w:vAlign w:val="center"/>
                </w:tcPr>
                <w:p w14:paraId="614780EE">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TN</w:t>
                  </w:r>
                </w:p>
              </w:tc>
            </w:tr>
            <w:tr w14:paraId="47DA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4412BA9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《农田灌溉水质标准》（GB 5084-2021）中旱地作物</w:t>
                  </w:r>
                </w:p>
              </w:tc>
              <w:tc>
                <w:tcPr>
                  <w:tcW w:w="477" w:type="pct"/>
                  <w:vAlign w:val="center"/>
                </w:tcPr>
                <w:p w14:paraId="1D8DBDA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5.5~8.5</w:t>
                  </w:r>
                </w:p>
              </w:tc>
              <w:tc>
                <w:tcPr>
                  <w:tcW w:w="514" w:type="pct"/>
                  <w:vAlign w:val="center"/>
                </w:tcPr>
                <w:p w14:paraId="61B268D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69" w:type="pct"/>
                  <w:vAlign w:val="center"/>
                </w:tcPr>
                <w:p w14:paraId="146DF06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338" w:type="pct"/>
                  <w:vAlign w:val="center"/>
                </w:tcPr>
                <w:p w14:paraId="58AB8A0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61" w:type="pct"/>
                  <w:vAlign w:val="center"/>
                </w:tcPr>
                <w:p w14:paraId="415D23A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45" w:type="pct"/>
                  <w:vAlign w:val="center"/>
                </w:tcPr>
                <w:p w14:paraId="4C29373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39" w:type="pct"/>
                  <w:vAlign w:val="center"/>
                </w:tcPr>
                <w:p w14:paraId="5CF62CF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14:paraId="20C4BECF">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3、噪声排放标准</w:t>
            </w:r>
          </w:p>
          <w:p w14:paraId="36D8D275">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施工期厂界噪声执行《建筑施工噪声排放标准》（GB 12523-2025）；</w:t>
            </w:r>
            <w:r>
              <w:rPr>
                <w:color w:val="000000" w:themeColor="text1"/>
                <w:sz w:val="24"/>
                <w14:textFill>
                  <w14:solidFill>
                    <w14:schemeClr w14:val="tx1"/>
                  </w14:solidFill>
                </w14:textFill>
              </w:rPr>
              <w:t>运营期厂界噪声执行《工业企业厂界环境噪声排放标准》（GB 12348-2008）中</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w:t>
            </w:r>
          </w:p>
          <w:p w14:paraId="370EA261">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表3-8  工业企业厂界环境噪声排放标准  （单位：dB (A)）</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6"/>
              <w:gridCol w:w="1105"/>
              <w:gridCol w:w="1105"/>
            </w:tblGrid>
            <w:tr w14:paraId="00168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00" w:type="pct"/>
                  <w:vAlign w:val="center"/>
                </w:tcPr>
                <w:p w14:paraId="47782ED7">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标准</w:t>
                  </w:r>
                </w:p>
              </w:tc>
              <w:tc>
                <w:tcPr>
                  <w:tcW w:w="600" w:type="pct"/>
                  <w:vAlign w:val="center"/>
                </w:tcPr>
                <w:p w14:paraId="68A9D282">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昼间</w:t>
                  </w:r>
                </w:p>
              </w:tc>
              <w:tc>
                <w:tcPr>
                  <w:tcW w:w="600" w:type="pct"/>
                  <w:vAlign w:val="center"/>
                </w:tcPr>
                <w:p w14:paraId="55FDAE5A">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夜间</w:t>
                  </w:r>
                </w:p>
              </w:tc>
            </w:tr>
            <w:tr w14:paraId="57186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00" w:type="pct"/>
                  <w:vAlign w:val="center"/>
                </w:tcPr>
                <w:p w14:paraId="59A3366F">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《建筑施工噪声排放标准》（GB 12523-2025）</w:t>
                  </w:r>
                </w:p>
              </w:tc>
              <w:tc>
                <w:tcPr>
                  <w:tcW w:w="600" w:type="pct"/>
                  <w:vAlign w:val="center"/>
                </w:tcPr>
                <w:p w14:paraId="656C2912">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70</w:t>
                  </w:r>
                </w:p>
              </w:tc>
              <w:tc>
                <w:tcPr>
                  <w:tcW w:w="600" w:type="pct"/>
                  <w:vAlign w:val="center"/>
                </w:tcPr>
                <w:p w14:paraId="01709533">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55</w:t>
                  </w:r>
                </w:p>
              </w:tc>
            </w:tr>
            <w:tr w14:paraId="5C14E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00" w:type="pct"/>
                  <w:vAlign w:val="center"/>
                </w:tcPr>
                <w:p w14:paraId="7B315FE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《工业企业厂界环境噪声排放标准》（GB 12348-2008）</w:t>
                  </w:r>
                  <w:r>
                    <w:rPr>
                      <w:rFonts w:hint="eastAsia" w:eastAsiaTheme="minorEastAsia"/>
                      <w:color w:val="000000" w:themeColor="text1"/>
                      <w:szCs w:val="21"/>
                      <w14:textFill>
                        <w14:solidFill>
                          <w14:schemeClr w14:val="tx1"/>
                        </w14:solidFill>
                      </w14:textFill>
                    </w:rPr>
                    <w:t>2</w:t>
                  </w:r>
                  <w:r>
                    <w:rPr>
                      <w:rFonts w:eastAsiaTheme="minorEastAsia"/>
                      <w:color w:val="000000" w:themeColor="text1"/>
                      <w:szCs w:val="21"/>
                      <w14:textFill>
                        <w14:solidFill>
                          <w14:schemeClr w14:val="tx1"/>
                        </w14:solidFill>
                      </w14:textFill>
                    </w:rPr>
                    <w:t>类</w:t>
                  </w:r>
                </w:p>
              </w:tc>
              <w:tc>
                <w:tcPr>
                  <w:tcW w:w="600" w:type="pct"/>
                  <w:vAlign w:val="center"/>
                </w:tcPr>
                <w:p w14:paraId="3039884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60</w:t>
                  </w:r>
                </w:p>
              </w:tc>
              <w:tc>
                <w:tcPr>
                  <w:tcW w:w="600" w:type="pct"/>
                  <w:vAlign w:val="center"/>
                </w:tcPr>
                <w:p w14:paraId="2A2EAFA4">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50</w:t>
                  </w:r>
                </w:p>
              </w:tc>
            </w:tr>
          </w:tbl>
          <w:p w14:paraId="29CF9C4C">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4、固体废物控制标准</w:t>
            </w:r>
          </w:p>
          <w:p w14:paraId="1CABEA6D">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一般工业固体废物贮存过程应满足防渗漏、防雨淋、防扬尘等要求；危险废物执行《危险废物贮存污染控制标准》（GB 18597-2023）相关要求。</w:t>
            </w:r>
          </w:p>
        </w:tc>
      </w:tr>
      <w:tr w14:paraId="7E5554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97" w:type="dxa"/>
            <w:vAlign w:val="center"/>
          </w:tcPr>
          <w:p w14:paraId="49891FBF">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总量控制指标</w:t>
            </w:r>
          </w:p>
        </w:tc>
        <w:tc>
          <w:tcPr>
            <w:tcW w:w="9256" w:type="dxa"/>
            <w:vAlign w:val="center"/>
          </w:tcPr>
          <w:p w14:paraId="2C93B57C">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根据“十四五”期间总量控制要求，需设置总量控制指标的项目为COD</w:t>
            </w:r>
            <w:r>
              <w:rPr>
                <w:color w:val="000000" w:themeColor="text1"/>
                <w:sz w:val="24"/>
                <w:vertAlign w:val="subscript"/>
                <w14:textFill>
                  <w14:solidFill>
                    <w14:schemeClr w14:val="tx1"/>
                  </w14:solidFill>
                </w14:textFill>
              </w:rPr>
              <w:t>Cr</w:t>
            </w:r>
            <w:r>
              <w:rPr>
                <w:color w:val="000000" w:themeColor="text1"/>
                <w:sz w:val="24"/>
                <w14:textFill>
                  <w14:solidFill>
                    <w14:schemeClr w14:val="tx1"/>
                  </w14:solidFill>
                </w14:textFill>
              </w:rPr>
              <w:t>、NH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-N、VOCs和NO</w:t>
            </w:r>
            <w:r>
              <w:rPr>
                <w:color w:val="000000" w:themeColor="text1"/>
                <w:sz w:val="24"/>
                <w:vertAlign w:val="subscript"/>
                <w14:textFill>
                  <w14:solidFill>
                    <w14:schemeClr w14:val="tx1"/>
                  </w14:solidFill>
                </w14:textFill>
              </w:rPr>
              <w:t>X</w:t>
            </w:r>
            <w:r>
              <w:rPr>
                <w:color w:val="000000" w:themeColor="text1"/>
                <w:sz w:val="24"/>
                <w14:textFill>
                  <w14:solidFill>
                    <w14:schemeClr w14:val="tx1"/>
                  </w14:solidFill>
                </w14:textFill>
              </w:rPr>
              <w:t>四项。</w:t>
            </w:r>
          </w:p>
          <w:p w14:paraId="39A61A62">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废水：本项目</w:t>
            </w:r>
            <w:r>
              <w:rPr>
                <w:rFonts w:hint="eastAsia"/>
                <w:color w:val="000000" w:themeColor="text1"/>
                <w:sz w:val="24"/>
                <w14:textFill>
                  <w14:solidFill>
                    <w14:schemeClr w14:val="tx1"/>
                  </w14:solidFill>
                </w14:textFill>
              </w:rPr>
              <w:t>水帘废水作为危废处置</w:t>
            </w:r>
            <w:r>
              <w:rPr>
                <w:color w:val="000000" w:themeColor="text1"/>
                <w:sz w:val="24"/>
                <w14:textFill>
                  <w14:solidFill>
                    <w14:schemeClr w14:val="tx1"/>
                  </w14:solidFill>
                </w14:textFill>
              </w:rPr>
              <w:t>，生活污水</w:t>
            </w:r>
            <w:r>
              <w:rPr>
                <w:rFonts w:hint="eastAsia"/>
                <w:color w:val="000000" w:themeColor="text1"/>
                <w:sz w:val="24"/>
                <w14:textFill>
                  <w14:solidFill>
                    <w14:schemeClr w14:val="tx1"/>
                  </w14:solidFill>
                </w14:textFill>
              </w:rPr>
              <w:t>经处理后</w:t>
            </w:r>
            <w:r>
              <w:rPr>
                <w:color w:val="000000" w:themeColor="text1"/>
                <w:sz w:val="24"/>
                <w14:textFill>
                  <w14:solidFill>
                    <w14:schemeClr w14:val="tx1"/>
                  </w14:solidFill>
                </w14:textFill>
              </w:rPr>
              <w:t>不外排，无需设置COD</w:t>
            </w:r>
            <w:r>
              <w:rPr>
                <w:color w:val="000000" w:themeColor="text1"/>
                <w:sz w:val="24"/>
                <w:vertAlign w:val="subscript"/>
                <w14:textFill>
                  <w14:solidFill>
                    <w14:schemeClr w14:val="tx1"/>
                  </w14:solidFill>
                </w14:textFill>
              </w:rPr>
              <w:t>Cr</w:t>
            </w:r>
            <w:r>
              <w:rPr>
                <w:color w:val="000000" w:themeColor="text1"/>
                <w:sz w:val="24"/>
                <w14:textFill>
                  <w14:solidFill>
                    <w14:schemeClr w14:val="tx1"/>
                  </w14:solidFill>
                </w14:textFill>
              </w:rPr>
              <w:t>、NH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-N总量控制指标。</w:t>
            </w:r>
          </w:p>
          <w:p w14:paraId="344EEE41">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废气：</w:t>
            </w:r>
            <w:r>
              <w:rPr>
                <w:color w:val="000000" w:themeColor="text1"/>
                <w:kern w:val="0"/>
                <w:sz w:val="24"/>
                <w14:textFill>
                  <w14:solidFill>
                    <w14:schemeClr w14:val="tx1"/>
                  </w14:solidFill>
                </w14:textFill>
              </w:rPr>
              <w:t>项目废气中含有VOCs（以非甲烷总烃计），不含NO</w:t>
            </w:r>
            <w:r>
              <w:rPr>
                <w:color w:val="000000" w:themeColor="text1"/>
                <w:kern w:val="0"/>
                <w:sz w:val="24"/>
                <w:vertAlign w:val="subscript"/>
                <w14:textFill>
                  <w14:solidFill>
                    <w14:schemeClr w14:val="tx1"/>
                  </w14:solidFill>
                </w14:textFill>
              </w:rPr>
              <w:t>X</w:t>
            </w:r>
            <w:r>
              <w:rPr>
                <w:color w:val="000000" w:themeColor="text1"/>
                <w:kern w:val="0"/>
                <w:sz w:val="24"/>
                <w14:textFill>
                  <w14:solidFill>
                    <w14:schemeClr w14:val="tx1"/>
                  </w14:solidFill>
                </w14:textFill>
              </w:rPr>
              <w:t>。因此废气中的VOCs（以非甲烷总烃计）总量控制指标需向环境主管部门进行申请</w:t>
            </w:r>
            <w:r>
              <w:rPr>
                <w:color w:val="000000" w:themeColor="text1"/>
                <w:sz w:val="24"/>
                <w14:textFill>
                  <w14:solidFill>
                    <w14:schemeClr w14:val="tx1"/>
                  </w14:solidFill>
                </w14:textFill>
              </w:rPr>
              <w:t>。</w:t>
            </w:r>
          </w:p>
          <w:p w14:paraId="5317067C">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根据废气源强分析，项目VOCs有组织排放量为0.882t/a。</w:t>
            </w:r>
          </w:p>
          <w:p w14:paraId="356098D7">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综上所述，本项目排放总量控制指标：VOCs：0.882t/a。</w:t>
            </w:r>
          </w:p>
          <w:p w14:paraId="55D4491F">
            <w:pPr>
              <w:pStyle w:val="159"/>
              <w:rPr>
                <w:lang w:val="en-US"/>
              </w:rPr>
            </w:pPr>
          </w:p>
          <w:p w14:paraId="4C05FC02">
            <w:pPr>
              <w:pStyle w:val="159"/>
            </w:pPr>
          </w:p>
          <w:p w14:paraId="1CA1B916">
            <w:pPr>
              <w:pStyle w:val="159"/>
            </w:pPr>
          </w:p>
          <w:p w14:paraId="03464B1A">
            <w:pPr>
              <w:pStyle w:val="159"/>
            </w:pPr>
          </w:p>
          <w:p w14:paraId="3ABBCA36">
            <w:pPr>
              <w:pStyle w:val="159"/>
            </w:pPr>
          </w:p>
          <w:p w14:paraId="51494213">
            <w:pPr>
              <w:pStyle w:val="159"/>
            </w:pPr>
          </w:p>
          <w:p w14:paraId="0278B630">
            <w:pPr>
              <w:pStyle w:val="159"/>
              <w:ind w:firstLine="0" w:firstLineChars="0"/>
            </w:pPr>
          </w:p>
          <w:p w14:paraId="6BF1F666">
            <w:pPr>
              <w:pStyle w:val="159"/>
            </w:pPr>
          </w:p>
          <w:p w14:paraId="3C869248">
            <w:pPr>
              <w:pStyle w:val="159"/>
            </w:pPr>
          </w:p>
          <w:p w14:paraId="11A69BDE">
            <w:pPr>
              <w:pStyle w:val="159"/>
            </w:pPr>
          </w:p>
          <w:p w14:paraId="3FB6409B">
            <w:pPr>
              <w:pStyle w:val="159"/>
            </w:pPr>
          </w:p>
          <w:p w14:paraId="4DD9538C">
            <w:pPr>
              <w:pStyle w:val="159"/>
            </w:pPr>
          </w:p>
          <w:p w14:paraId="25670883">
            <w:pPr>
              <w:pStyle w:val="159"/>
            </w:pPr>
          </w:p>
          <w:p w14:paraId="7CBE5D95">
            <w:pPr>
              <w:pStyle w:val="159"/>
            </w:pPr>
          </w:p>
          <w:p w14:paraId="2E190EB9">
            <w:pPr>
              <w:pStyle w:val="159"/>
            </w:pPr>
          </w:p>
          <w:p w14:paraId="125690C6">
            <w:pPr>
              <w:pStyle w:val="159"/>
            </w:pPr>
          </w:p>
          <w:p w14:paraId="1DFCACEF">
            <w:pPr>
              <w:pStyle w:val="159"/>
            </w:pPr>
          </w:p>
          <w:p w14:paraId="1E3E6724">
            <w:pPr>
              <w:pStyle w:val="159"/>
            </w:pPr>
          </w:p>
          <w:p w14:paraId="1D624A5E">
            <w:pPr>
              <w:pStyle w:val="159"/>
            </w:pPr>
          </w:p>
          <w:p w14:paraId="5DC8DDED">
            <w:pPr>
              <w:pStyle w:val="159"/>
            </w:pPr>
          </w:p>
          <w:p w14:paraId="2AD5C186">
            <w:pPr>
              <w:pStyle w:val="159"/>
            </w:pPr>
          </w:p>
          <w:p w14:paraId="44F15636">
            <w:pPr>
              <w:pStyle w:val="159"/>
            </w:pPr>
          </w:p>
          <w:p w14:paraId="5B0791F1">
            <w:pPr>
              <w:pStyle w:val="159"/>
            </w:pPr>
          </w:p>
          <w:p w14:paraId="4C76A2EE">
            <w:pPr>
              <w:pStyle w:val="159"/>
            </w:pPr>
          </w:p>
        </w:tc>
      </w:tr>
    </w:tbl>
    <w:p w14:paraId="2A96F296">
      <w:pPr>
        <w:pStyle w:val="40"/>
        <w:jc w:val="both"/>
        <w:rPr>
          <w:color w:val="000000" w:themeColor="text1"/>
          <w14:textFill>
            <w14:solidFill>
              <w14:schemeClr w14:val="tx1"/>
            </w14:solidFill>
          </w14:textFill>
        </w:rPr>
        <w:sectPr>
          <w:pgSz w:w="11907" w:h="16840"/>
          <w:pgMar w:top="1440" w:right="1080" w:bottom="1440" w:left="1080" w:header="851" w:footer="851" w:gutter="0"/>
          <w:cols w:space="720" w:num="1"/>
          <w:docGrid w:linePitch="312" w:charSpace="0"/>
        </w:sectPr>
      </w:pPr>
    </w:p>
    <w:p w14:paraId="7BE540BA">
      <w:pPr>
        <w:pStyle w:val="40"/>
        <w:spacing w:before="0" w:after="0"/>
        <w:ind w:firstLine="420"/>
        <w:rPr>
          <w:snapToGrid w:val="0"/>
          <w:color w:val="000000" w:themeColor="text1"/>
          <w14:textFill>
            <w14:solidFill>
              <w14:schemeClr w14:val="tx1"/>
            </w14:solidFill>
          </w14:textFill>
        </w:rPr>
      </w:pPr>
      <w:bookmarkStart w:id="8" w:name="_Toc198560476"/>
      <w:r>
        <w:rPr>
          <w:snapToGrid w:val="0"/>
          <w:color w:val="000000" w:themeColor="text1"/>
          <w14:textFill>
            <w14:solidFill>
              <w14:schemeClr w14:val="tx1"/>
            </w14:solidFill>
          </w14:textFill>
        </w:rPr>
        <w:t>四、主要环境影响和保护措施</w:t>
      </w:r>
      <w:bookmarkEnd w:id="8"/>
    </w:p>
    <w:tbl>
      <w:tblPr>
        <w:tblStyle w:val="43"/>
        <w:tblW w:w="501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9869"/>
      </w:tblGrid>
      <w:tr w14:paraId="1FF8A1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54" w:type="dxa"/>
            <w:tcMar>
              <w:left w:w="28" w:type="dxa"/>
              <w:right w:w="28" w:type="dxa"/>
            </w:tcMar>
            <w:vAlign w:val="center"/>
          </w:tcPr>
          <w:p w14:paraId="24F1106A">
            <w:pPr>
              <w:pStyle w:val="39"/>
              <w:adjustRightInd w:val="0"/>
              <w:snapToGrid w:val="0"/>
              <w:spacing w:before="0" w:beforeAutospacing="0" w:after="0" w:afterAutospacing="0"/>
              <w:jc w:val="center"/>
              <w:rPr>
                <w:rFonts w:ascii="Times New Roman" w:hAnsi="Times New Roman"/>
                <w:bCs/>
                <w:color w:val="000000" w:themeColor="text1"/>
                <w:kern w:val="2"/>
                <w14:textFill>
                  <w14:solidFill>
                    <w14:schemeClr w14:val="tx1"/>
                  </w14:solidFill>
                </w14:textFill>
              </w:rPr>
            </w:pPr>
            <w:r>
              <w:rPr>
                <w:rFonts w:ascii="Times New Roman" w:hAnsi="Times New Roman"/>
                <w:color w:val="000000" w:themeColor="text1"/>
                <w:kern w:val="2"/>
                <w14:textFill>
                  <w14:solidFill>
                    <w14:schemeClr w14:val="tx1"/>
                  </w14:solidFill>
                </w14:textFill>
              </w:rPr>
              <w:t>施工期环境保护措施</w:t>
            </w:r>
          </w:p>
        </w:tc>
        <w:tc>
          <w:tcPr>
            <w:tcW w:w="9293" w:type="dxa"/>
            <w:vAlign w:val="center"/>
          </w:tcPr>
          <w:p w14:paraId="7603DD18">
            <w:pPr>
              <w:pStyle w:val="159"/>
              <w:adjustRightInd w:val="0"/>
              <w:snapToGrid w:val="0"/>
              <w:ind w:left="482" w:firstLine="0" w:firstLineChars="0"/>
              <w:rPr>
                <w:b/>
                <w:smallCaps w:val="0"/>
                <w:lang w:val="en-US"/>
              </w:rPr>
            </w:pPr>
            <w:r>
              <w:rPr>
                <w:rFonts w:hint="eastAsia"/>
                <w:b/>
                <w:smallCaps w:val="0"/>
                <w:lang w:val="en-US"/>
              </w:rPr>
              <w:t>一、</w:t>
            </w:r>
            <w:r>
              <w:rPr>
                <w:b/>
                <w:smallCaps w:val="0"/>
                <w:lang w:val="en-US"/>
              </w:rPr>
              <w:t>施工期污染源强分析</w:t>
            </w:r>
          </w:p>
          <w:p w14:paraId="0D45E42C">
            <w:pPr>
              <w:pStyle w:val="159"/>
              <w:adjustRightInd w:val="0"/>
              <w:snapToGrid w:val="0"/>
              <w:ind w:left="482" w:firstLine="0" w:firstLineChars="0"/>
              <w:rPr>
                <w:b/>
                <w:smallCaps w:val="0"/>
                <w:lang w:val="en-US"/>
              </w:rPr>
            </w:pPr>
            <w:r>
              <w:rPr>
                <w:b/>
                <w:smallCaps w:val="0"/>
                <w:lang w:val="en-US"/>
              </w:rPr>
              <w:t>1、废水</w:t>
            </w:r>
          </w:p>
          <w:p w14:paraId="4D4F289A">
            <w:pPr>
              <w:pStyle w:val="159"/>
              <w:adjustRightInd w:val="0"/>
              <w:snapToGrid w:val="0"/>
              <w:rPr>
                <w:smallCaps w:val="0"/>
                <w:lang w:val="en-US"/>
              </w:rPr>
            </w:pPr>
            <w:r>
              <w:rPr>
                <w:smallCaps w:val="0"/>
                <w:lang w:val="en-US"/>
              </w:rPr>
              <w:t>本项目施工人员为附近村民，项目地不设食宿场地，施工人员使用附近已有厕所，不会对周围环境产生不良影响。工程施工废水包括施工机械洗涤用水、施工现场清洗、建筑清洗、混凝土浇筑、养护、冲洗等，这部分废水主要污染物为石油类和泥沙。该废水悬浮物浓度较大，但不含有毒有害物质。为保护城市环境，本评价对施工期水污染提出以下污染防治措施：</w:t>
            </w:r>
          </w:p>
          <w:p w14:paraId="70D573C2">
            <w:pPr>
              <w:pStyle w:val="159"/>
              <w:adjustRightInd w:val="0"/>
              <w:snapToGrid w:val="0"/>
              <w:rPr>
                <w:smallCaps w:val="0"/>
                <w:lang w:val="en-US"/>
              </w:rPr>
            </w:pPr>
            <w:r>
              <w:rPr>
                <w:smallCaps w:val="0"/>
                <w:lang w:val="en-US"/>
              </w:rPr>
              <w:t>（1）施工废水中的污染物主要为悬浮物和石油类，施工现场建造临时隔油池和沉淀池等临时性水处理构筑物，对施工废水进行相应的隔油和沉淀处理后，回用于施工。</w:t>
            </w:r>
          </w:p>
          <w:p w14:paraId="47C6D52F">
            <w:pPr>
              <w:pStyle w:val="159"/>
              <w:adjustRightInd w:val="0"/>
              <w:snapToGrid w:val="0"/>
              <w:rPr>
                <w:smallCaps w:val="0"/>
                <w:lang w:val="en-US"/>
              </w:rPr>
            </w:pPr>
            <w:r>
              <w:rPr>
                <w:smallCaps w:val="0"/>
                <w:lang w:val="en-US"/>
              </w:rPr>
              <w:t>（2）对建材堆放采取防雨水冲刷措施，及时清理施工现场，尽量减少物料的流失、洒落，减少施工废水中污染物产生量。</w:t>
            </w:r>
          </w:p>
          <w:p w14:paraId="31ED41B8">
            <w:pPr>
              <w:pStyle w:val="159"/>
              <w:adjustRightInd w:val="0"/>
              <w:snapToGrid w:val="0"/>
              <w:rPr>
                <w:smallCaps w:val="0"/>
                <w:lang w:val="en-US"/>
              </w:rPr>
            </w:pPr>
            <w:r>
              <w:rPr>
                <w:smallCaps w:val="0"/>
                <w:lang w:val="en-US"/>
              </w:rPr>
              <w:t>综上，施工期废水不直接排入当地地表水体，对当地水环境影响较小。</w:t>
            </w:r>
          </w:p>
          <w:p w14:paraId="75FEFAEB">
            <w:pPr>
              <w:pStyle w:val="159"/>
              <w:adjustRightInd w:val="0"/>
              <w:snapToGrid w:val="0"/>
              <w:ind w:left="482" w:firstLine="0" w:firstLineChars="0"/>
              <w:rPr>
                <w:b/>
                <w:smallCaps w:val="0"/>
                <w:lang w:val="en-US"/>
              </w:rPr>
            </w:pPr>
            <w:r>
              <w:rPr>
                <w:b/>
                <w:smallCaps w:val="0"/>
                <w:lang w:val="en-US"/>
              </w:rPr>
              <w:t>2、废气</w:t>
            </w:r>
          </w:p>
          <w:p w14:paraId="51ED09B9">
            <w:pPr>
              <w:pStyle w:val="159"/>
              <w:adjustRightInd w:val="0"/>
              <w:snapToGrid w:val="0"/>
              <w:rPr>
                <w:smallCaps w:val="0"/>
                <w:lang w:val="en-US"/>
              </w:rPr>
            </w:pPr>
            <w:r>
              <w:rPr>
                <w:smallCaps w:val="0"/>
                <w:lang w:val="en-US"/>
              </w:rPr>
              <w:t>本项目施工期产生施工扬尘，来源主要有建筑材料的堆放、装卸和运输过程，主要污染物为颗粒物。一般来说，扬尘的排放量与施工场地的面积大小、施工活动频率以及当地土壤中泥沙颗粒成一定比例，同时还与当地气象条件如风速、湿度和日照等有关，有局部性、流动性和短时性的特点。根据本项目特点，项目施工期将产生少量扬尘，本评价针对施工期提出以下施工期大气污染防治措施：</w:t>
            </w:r>
          </w:p>
          <w:p w14:paraId="0D9ADDE5">
            <w:pPr>
              <w:pStyle w:val="159"/>
              <w:adjustRightInd w:val="0"/>
              <w:snapToGrid w:val="0"/>
              <w:rPr>
                <w:smallCaps w:val="0"/>
                <w:lang w:val="en-US"/>
              </w:rPr>
            </w:pPr>
            <w:r>
              <w:rPr>
                <w:smallCaps w:val="0"/>
                <w:lang w:val="en-US"/>
              </w:rPr>
              <w:t>（1）在施工场地安排人员定期对施工场地洒水以减少扬尘量，避免在大风天气下实施作业。</w:t>
            </w:r>
          </w:p>
          <w:p w14:paraId="093F4BF3">
            <w:pPr>
              <w:pStyle w:val="159"/>
              <w:adjustRightInd w:val="0"/>
              <w:snapToGrid w:val="0"/>
              <w:rPr>
                <w:smallCaps w:val="0"/>
                <w:lang w:val="en-US"/>
              </w:rPr>
            </w:pPr>
            <w:r>
              <w:rPr>
                <w:smallCaps w:val="0"/>
                <w:lang w:val="en-US"/>
              </w:rPr>
              <w:t>（2）对运输建筑材料及建筑垃圾的车辆加盖篷布减少洒落。建筑材料堆放场地加盖篷布或洒水，防止二次扬尘。</w:t>
            </w:r>
          </w:p>
          <w:p w14:paraId="5C514DC4">
            <w:pPr>
              <w:pStyle w:val="159"/>
              <w:adjustRightInd w:val="0"/>
              <w:snapToGrid w:val="0"/>
              <w:rPr>
                <w:smallCaps w:val="0"/>
                <w:lang w:val="en-US"/>
              </w:rPr>
            </w:pPr>
            <w:r>
              <w:rPr>
                <w:smallCaps w:val="0"/>
                <w:lang w:val="en-US"/>
              </w:rPr>
              <w:t>（3）对建筑垃圾及时清运以减少占地，防止扬尘污染，改善施工场地环境。</w:t>
            </w:r>
          </w:p>
          <w:p w14:paraId="362143A7">
            <w:pPr>
              <w:pStyle w:val="159"/>
              <w:adjustRightInd w:val="0"/>
              <w:snapToGrid w:val="0"/>
              <w:rPr>
                <w:smallCaps w:val="0"/>
                <w:lang w:val="en-US"/>
              </w:rPr>
            </w:pPr>
            <w:r>
              <w:rPr>
                <w:smallCaps w:val="0"/>
                <w:lang w:val="en-US"/>
              </w:rPr>
              <w:t>（4）施工现场道路做到坚实路面，经常清扫路面，定时洒水，保持路面湿润。对出工地的车辆车轮进行清洗或清扫，避免把工地泥土带入城市道路。</w:t>
            </w:r>
          </w:p>
          <w:p w14:paraId="352D2347">
            <w:pPr>
              <w:pStyle w:val="159"/>
              <w:adjustRightInd w:val="0"/>
              <w:snapToGrid w:val="0"/>
              <w:rPr>
                <w:smallCaps w:val="0"/>
                <w:lang w:val="en-US"/>
              </w:rPr>
            </w:pPr>
            <w:r>
              <w:rPr>
                <w:smallCaps w:val="0"/>
                <w:lang w:val="en-US"/>
              </w:rPr>
              <w:t>在采取上述措施之后，施工扬尘对环境影响可大大降低，施工结束后扬尘影响随即消失。</w:t>
            </w:r>
          </w:p>
          <w:p w14:paraId="1FAF2AD2">
            <w:pPr>
              <w:pStyle w:val="159"/>
              <w:adjustRightInd w:val="0"/>
              <w:snapToGrid w:val="0"/>
              <w:ind w:left="482" w:firstLine="0" w:firstLineChars="0"/>
              <w:rPr>
                <w:b/>
                <w:smallCaps w:val="0"/>
                <w:lang w:val="en-US"/>
              </w:rPr>
            </w:pPr>
            <w:r>
              <w:rPr>
                <w:b/>
                <w:smallCaps w:val="0"/>
                <w:lang w:val="en-US"/>
              </w:rPr>
              <w:t>3、噪声</w:t>
            </w:r>
          </w:p>
          <w:p w14:paraId="1E0A6D78">
            <w:pPr>
              <w:pStyle w:val="159"/>
              <w:adjustRightInd w:val="0"/>
              <w:snapToGrid w:val="0"/>
              <w:rPr>
                <w:smallCaps w:val="0"/>
                <w:lang w:val="en-US"/>
              </w:rPr>
            </w:pPr>
            <w:r>
              <w:rPr>
                <w:smallCaps w:val="0"/>
                <w:lang w:val="en-US"/>
              </w:rPr>
              <w:t>项目施工过程中，将使用一些施工机械和运输车辆。施工噪声主要为设备噪声和运输车辆噪声。施工设备中高噪声机械设备有运输车辆、吊车等，其噪声级详见下表。</w:t>
            </w:r>
          </w:p>
          <w:p w14:paraId="11164A65">
            <w:pPr>
              <w:pStyle w:val="159"/>
              <w:adjustRightInd w:val="0"/>
              <w:snapToGrid w:val="0"/>
              <w:spacing w:line="240" w:lineRule="auto"/>
              <w:ind w:firstLine="0" w:firstLineChars="0"/>
              <w:jc w:val="center"/>
              <w:rPr>
                <w:b/>
                <w:smallCaps w:val="0"/>
                <w:sz w:val="21"/>
                <w:szCs w:val="21"/>
                <w:lang w:val="en-US"/>
              </w:rPr>
            </w:pPr>
            <w:r>
              <w:rPr>
                <w:b/>
                <w:smallCaps w:val="0"/>
                <w:sz w:val="21"/>
                <w:szCs w:val="21"/>
                <w:lang w:val="en-US"/>
              </w:rPr>
              <w:t>表4-1  建筑设备机械的噪声级  单位：dB</w:t>
            </w:r>
            <w:r>
              <w:rPr>
                <w:rFonts w:hint="eastAsia"/>
                <w:b/>
                <w:smallCaps w:val="0"/>
                <w:sz w:val="21"/>
                <w:szCs w:val="21"/>
                <w:lang w:val="en-US"/>
              </w:rPr>
              <w:t>（A）</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1"/>
              <w:gridCol w:w="2301"/>
              <w:gridCol w:w="2301"/>
              <w:gridCol w:w="2740"/>
            </w:tblGrid>
            <w:tr w14:paraId="5E87F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96" w:type="dxa"/>
                  <w:tcBorders>
                    <w:top w:val="single" w:color="auto" w:sz="4" w:space="0"/>
                    <w:left w:val="single" w:color="auto" w:sz="4" w:space="0"/>
                    <w:bottom w:val="single" w:color="auto" w:sz="4" w:space="0"/>
                    <w:right w:val="single" w:color="auto" w:sz="4" w:space="0"/>
                  </w:tcBorders>
                  <w:vAlign w:val="center"/>
                </w:tcPr>
                <w:p w14:paraId="1F30C834">
                  <w:pPr>
                    <w:pStyle w:val="159"/>
                    <w:adjustRightInd w:val="0"/>
                    <w:snapToGrid w:val="0"/>
                    <w:spacing w:line="240" w:lineRule="auto"/>
                    <w:ind w:firstLine="0" w:firstLineChars="0"/>
                    <w:jc w:val="center"/>
                    <w:rPr>
                      <w:b/>
                      <w:bCs w:val="0"/>
                      <w:smallCaps w:val="0"/>
                      <w:sz w:val="21"/>
                      <w:szCs w:val="21"/>
                      <w:lang w:val="en-US"/>
                    </w:rPr>
                  </w:pPr>
                  <w:r>
                    <w:rPr>
                      <w:b/>
                      <w:smallCaps w:val="0"/>
                      <w:sz w:val="21"/>
                      <w:szCs w:val="21"/>
                      <w:lang w:val="en-US"/>
                    </w:rPr>
                    <w:t>机械名称</w:t>
                  </w:r>
                </w:p>
              </w:tc>
              <w:tc>
                <w:tcPr>
                  <w:tcW w:w="2196" w:type="dxa"/>
                  <w:tcBorders>
                    <w:top w:val="single" w:color="auto" w:sz="4" w:space="0"/>
                    <w:left w:val="nil"/>
                    <w:bottom w:val="single" w:color="auto" w:sz="4" w:space="0"/>
                    <w:right w:val="single" w:color="auto" w:sz="4" w:space="0"/>
                  </w:tcBorders>
                  <w:vAlign w:val="center"/>
                </w:tcPr>
                <w:p w14:paraId="2D7D3F9E">
                  <w:pPr>
                    <w:pStyle w:val="159"/>
                    <w:adjustRightInd w:val="0"/>
                    <w:snapToGrid w:val="0"/>
                    <w:spacing w:line="240" w:lineRule="auto"/>
                    <w:ind w:firstLine="0" w:firstLineChars="0"/>
                    <w:jc w:val="center"/>
                    <w:rPr>
                      <w:b/>
                      <w:bCs w:val="0"/>
                      <w:smallCaps w:val="0"/>
                      <w:sz w:val="21"/>
                      <w:szCs w:val="21"/>
                      <w:lang w:val="en-US"/>
                    </w:rPr>
                  </w:pPr>
                  <w:r>
                    <w:rPr>
                      <w:b/>
                      <w:smallCaps w:val="0"/>
                      <w:sz w:val="21"/>
                      <w:szCs w:val="21"/>
                      <w:lang w:val="en-US"/>
                    </w:rPr>
                    <w:t>单台噪声级</w:t>
                  </w:r>
                </w:p>
              </w:tc>
              <w:tc>
                <w:tcPr>
                  <w:tcW w:w="2196" w:type="dxa"/>
                  <w:tcBorders>
                    <w:top w:val="single" w:color="auto" w:sz="4" w:space="0"/>
                    <w:left w:val="nil"/>
                    <w:bottom w:val="single" w:color="auto" w:sz="4" w:space="0"/>
                    <w:right w:val="single" w:color="auto" w:sz="4" w:space="0"/>
                  </w:tcBorders>
                  <w:vAlign w:val="center"/>
                </w:tcPr>
                <w:p w14:paraId="38FE6A3D">
                  <w:pPr>
                    <w:pStyle w:val="159"/>
                    <w:adjustRightInd w:val="0"/>
                    <w:snapToGrid w:val="0"/>
                    <w:spacing w:line="240" w:lineRule="auto"/>
                    <w:ind w:firstLine="0" w:firstLineChars="0"/>
                    <w:jc w:val="center"/>
                    <w:rPr>
                      <w:b/>
                      <w:bCs w:val="0"/>
                      <w:smallCaps w:val="0"/>
                      <w:sz w:val="21"/>
                      <w:szCs w:val="21"/>
                      <w:lang w:val="en-US"/>
                    </w:rPr>
                  </w:pPr>
                  <w:r>
                    <w:rPr>
                      <w:b/>
                      <w:smallCaps w:val="0"/>
                      <w:sz w:val="21"/>
                      <w:szCs w:val="21"/>
                      <w:lang w:val="en-US"/>
                    </w:rPr>
                    <w:t>数量</w:t>
                  </w:r>
                </w:p>
              </w:tc>
              <w:tc>
                <w:tcPr>
                  <w:tcW w:w="2615" w:type="dxa"/>
                  <w:tcBorders>
                    <w:top w:val="single" w:color="auto" w:sz="4" w:space="0"/>
                    <w:left w:val="nil"/>
                    <w:bottom w:val="single" w:color="auto" w:sz="4" w:space="0"/>
                    <w:right w:val="single" w:color="auto" w:sz="4" w:space="0"/>
                  </w:tcBorders>
                  <w:vAlign w:val="center"/>
                </w:tcPr>
                <w:p w14:paraId="133E77D6">
                  <w:pPr>
                    <w:pStyle w:val="159"/>
                    <w:adjustRightInd w:val="0"/>
                    <w:snapToGrid w:val="0"/>
                    <w:spacing w:line="240" w:lineRule="auto"/>
                    <w:ind w:firstLine="0" w:firstLineChars="0"/>
                    <w:jc w:val="center"/>
                    <w:rPr>
                      <w:b/>
                      <w:bCs w:val="0"/>
                      <w:smallCaps w:val="0"/>
                      <w:sz w:val="21"/>
                      <w:szCs w:val="21"/>
                      <w:lang w:val="en-US"/>
                    </w:rPr>
                  </w:pPr>
                  <w:r>
                    <w:rPr>
                      <w:b/>
                      <w:smallCaps w:val="0"/>
                      <w:sz w:val="21"/>
                      <w:szCs w:val="21"/>
                      <w:lang w:val="en-US"/>
                    </w:rPr>
                    <w:t>合成噪声级</w:t>
                  </w:r>
                </w:p>
              </w:tc>
            </w:tr>
            <w:tr w14:paraId="6D17B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96" w:type="dxa"/>
                  <w:tcBorders>
                    <w:top w:val="single" w:color="auto" w:sz="4" w:space="0"/>
                    <w:left w:val="single" w:color="auto" w:sz="4" w:space="0"/>
                    <w:bottom w:val="single" w:color="auto" w:sz="4" w:space="0"/>
                    <w:right w:val="single" w:color="auto" w:sz="4" w:space="0"/>
                  </w:tcBorders>
                  <w:vAlign w:val="center"/>
                </w:tcPr>
                <w:p w14:paraId="226BF6CB">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挖掘机</w:t>
                  </w:r>
                </w:p>
              </w:tc>
              <w:tc>
                <w:tcPr>
                  <w:tcW w:w="2196" w:type="dxa"/>
                  <w:tcBorders>
                    <w:top w:val="single" w:color="auto" w:sz="4" w:space="0"/>
                    <w:left w:val="nil"/>
                    <w:bottom w:val="single" w:color="auto" w:sz="4" w:space="0"/>
                    <w:right w:val="single" w:color="auto" w:sz="4" w:space="0"/>
                  </w:tcBorders>
                  <w:vAlign w:val="center"/>
                </w:tcPr>
                <w:p w14:paraId="22E79580">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80</w:t>
                  </w:r>
                </w:p>
              </w:tc>
              <w:tc>
                <w:tcPr>
                  <w:tcW w:w="2196" w:type="dxa"/>
                  <w:tcBorders>
                    <w:top w:val="single" w:color="auto" w:sz="4" w:space="0"/>
                    <w:left w:val="nil"/>
                    <w:bottom w:val="single" w:color="auto" w:sz="4" w:space="0"/>
                    <w:right w:val="single" w:color="auto" w:sz="4" w:space="0"/>
                  </w:tcBorders>
                  <w:vAlign w:val="center"/>
                </w:tcPr>
                <w:p w14:paraId="295F1B7B">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1</w:t>
                  </w:r>
                </w:p>
              </w:tc>
              <w:tc>
                <w:tcPr>
                  <w:tcW w:w="2615" w:type="dxa"/>
                  <w:tcBorders>
                    <w:top w:val="single" w:color="auto" w:sz="4" w:space="0"/>
                    <w:left w:val="nil"/>
                    <w:bottom w:val="single" w:color="auto" w:sz="4" w:space="0"/>
                    <w:right w:val="single" w:color="auto" w:sz="4" w:space="0"/>
                  </w:tcBorders>
                  <w:vAlign w:val="center"/>
                </w:tcPr>
                <w:p w14:paraId="40ADF834">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80</w:t>
                  </w:r>
                </w:p>
              </w:tc>
            </w:tr>
            <w:tr w14:paraId="7BF8C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96" w:type="dxa"/>
                  <w:tcBorders>
                    <w:top w:val="single" w:color="auto" w:sz="4" w:space="0"/>
                    <w:left w:val="single" w:color="auto" w:sz="4" w:space="0"/>
                    <w:bottom w:val="single" w:color="auto" w:sz="4" w:space="0"/>
                    <w:right w:val="single" w:color="auto" w:sz="4" w:space="0"/>
                  </w:tcBorders>
                  <w:vAlign w:val="center"/>
                </w:tcPr>
                <w:p w14:paraId="41E40CCA">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吊车</w:t>
                  </w:r>
                </w:p>
              </w:tc>
              <w:tc>
                <w:tcPr>
                  <w:tcW w:w="2196" w:type="dxa"/>
                  <w:tcBorders>
                    <w:top w:val="single" w:color="auto" w:sz="4" w:space="0"/>
                    <w:left w:val="nil"/>
                    <w:bottom w:val="single" w:color="auto" w:sz="4" w:space="0"/>
                    <w:right w:val="single" w:color="auto" w:sz="4" w:space="0"/>
                  </w:tcBorders>
                  <w:vAlign w:val="center"/>
                </w:tcPr>
                <w:p w14:paraId="64CB6C89">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70</w:t>
                  </w:r>
                </w:p>
              </w:tc>
              <w:tc>
                <w:tcPr>
                  <w:tcW w:w="2196" w:type="dxa"/>
                  <w:tcBorders>
                    <w:top w:val="single" w:color="auto" w:sz="4" w:space="0"/>
                    <w:left w:val="nil"/>
                    <w:bottom w:val="single" w:color="auto" w:sz="4" w:space="0"/>
                    <w:right w:val="single" w:color="auto" w:sz="4" w:space="0"/>
                  </w:tcBorders>
                  <w:vAlign w:val="center"/>
                </w:tcPr>
                <w:p w14:paraId="6B0FA4B9">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1</w:t>
                  </w:r>
                </w:p>
              </w:tc>
              <w:tc>
                <w:tcPr>
                  <w:tcW w:w="2615" w:type="dxa"/>
                  <w:tcBorders>
                    <w:top w:val="single" w:color="auto" w:sz="4" w:space="0"/>
                    <w:left w:val="nil"/>
                    <w:bottom w:val="single" w:color="auto" w:sz="4" w:space="0"/>
                    <w:right w:val="single" w:color="auto" w:sz="4" w:space="0"/>
                  </w:tcBorders>
                  <w:vAlign w:val="center"/>
                </w:tcPr>
                <w:p w14:paraId="522F4F0F">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70</w:t>
                  </w:r>
                </w:p>
              </w:tc>
            </w:tr>
            <w:tr w14:paraId="6112A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96" w:type="dxa"/>
                  <w:tcBorders>
                    <w:top w:val="single" w:color="auto" w:sz="4" w:space="0"/>
                    <w:left w:val="single" w:color="auto" w:sz="4" w:space="0"/>
                    <w:bottom w:val="single" w:color="auto" w:sz="4" w:space="0"/>
                    <w:right w:val="single" w:color="auto" w:sz="4" w:space="0"/>
                  </w:tcBorders>
                  <w:vAlign w:val="center"/>
                </w:tcPr>
                <w:p w14:paraId="1185D2C9">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运输车辆</w:t>
                  </w:r>
                </w:p>
              </w:tc>
              <w:tc>
                <w:tcPr>
                  <w:tcW w:w="2196" w:type="dxa"/>
                  <w:tcBorders>
                    <w:top w:val="single" w:color="auto" w:sz="4" w:space="0"/>
                    <w:left w:val="nil"/>
                    <w:bottom w:val="single" w:color="auto" w:sz="4" w:space="0"/>
                    <w:right w:val="single" w:color="auto" w:sz="4" w:space="0"/>
                  </w:tcBorders>
                  <w:vAlign w:val="center"/>
                </w:tcPr>
                <w:p w14:paraId="55F41500">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75</w:t>
                  </w:r>
                </w:p>
              </w:tc>
              <w:tc>
                <w:tcPr>
                  <w:tcW w:w="2196" w:type="dxa"/>
                  <w:tcBorders>
                    <w:top w:val="single" w:color="auto" w:sz="4" w:space="0"/>
                    <w:left w:val="nil"/>
                    <w:bottom w:val="single" w:color="auto" w:sz="4" w:space="0"/>
                    <w:right w:val="single" w:color="auto" w:sz="4" w:space="0"/>
                  </w:tcBorders>
                  <w:vAlign w:val="center"/>
                </w:tcPr>
                <w:p w14:paraId="0FD692BF">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3</w:t>
                  </w:r>
                </w:p>
              </w:tc>
              <w:tc>
                <w:tcPr>
                  <w:tcW w:w="2615" w:type="dxa"/>
                  <w:tcBorders>
                    <w:top w:val="single" w:color="auto" w:sz="4" w:space="0"/>
                    <w:left w:val="nil"/>
                    <w:bottom w:val="single" w:color="auto" w:sz="4" w:space="0"/>
                    <w:right w:val="single" w:color="auto" w:sz="4" w:space="0"/>
                  </w:tcBorders>
                  <w:vAlign w:val="center"/>
                </w:tcPr>
                <w:p w14:paraId="35C85286">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79.77</w:t>
                  </w:r>
                </w:p>
              </w:tc>
            </w:tr>
            <w:tr w14:paraId="39791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96" w:type="dxa"/>
                  <w:tcBorders>
                    <w:top w:val="single" w:color="auto" w:sz="4" w:space="0"/>
                    <w:left w:val="single" w:color="auto" w:sz="4" w:space="0"/>
                    <w:bottom w:val="single" w:color="auto" w:sz="4" w:space="0"/>
                    <w:right w:val="single" w:color="auto" w:sz="4" w:space="0"/>
                  </w:tcBorders>
                  <w:vAlign w:val="center"/>
                </w:tcPr>
                <w:p w14:paraId="24A28A7C">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混凝土振捣器</w:t>
                  </w:r>
                </w:p>
              </w:tc>
              <w:tc>
                <w:tcPr>
                  <w:tcW w:w="2196" w:type="dxa"/>
                  <w:tcBorders>
                    <w:top w:val="single" w:color="auto" w:sz="4" w:space="0"/>
                    <w:left w:val="nil"/>
                    <w:bottom w:val="single" w:color="auto" w:sz="4" w:space="0"/>
                    <w:right w:val="single" w:color="auto" w:sz="4" w:space="0"/>
                  </w:tcBorders>
                  <w:vAlign w:val="center"/>
                </w:tcPr>
                <w:p w14:paraId="0AA777F0">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85</w:t>
                  </w:r>
                </w:p>
              </w:tc>
              <w:tc>
                <w:tcPr>
                  <w:tcW w:w="2196" w:type="dxa"/>
                  <w:tcBorders>
                    <w:top w:val="single" w:color="auto" w:sz="4" w:space="0"/>
                    <w:left w:val="nil"/>
                    <w:bottom w:val="single" w:color="auto" w:sz="4" w:space="0"/>
                    <w:right w:val="single" w:color="auto" w:sz="4" w:space="0"/>
                  </w:tcBorders>
                  <w:vAlign w:val="center"/>
                </w:tcPr>
                <w:p w14:paraId="55B0F134">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2</w:t>
                  </w:r>
                </w:p>
              </w:tc>
              <w:tc>
                <w:tcPr>
                  <w:tcW w:w="2615" w:type="dxa"/>
                  <w:tcBorders>
                    <w:top w:val="single" w:color="auto" w:sz="4" w:space="0"/>
                    <w:left w:val="nil"/>
                    <w:bottom w:val="single" w:color="auto" w:sz="4" w:space="0"/>
                    <w:right w:val="single" w:color="auto" w:sz="4" w:space="0"/>
                  </w:tcBorders>
                  <w:vAlign w:val="center"/>
                </w:tcPr>
                <w:p w14:paraId="00222885">
                  <w:pPr>
                    <w:pStyle w:val="159"/>
                    <w:adjustRightInd w:val="0"/>
                    <w:snapToGrid w:val="0"/>
                    <w:spacing w:line="240" w:lineRule="auto"/>
                    <w:ind w:firstLine="0" w:firstLineChars="0"/>
                    <w:jc w:val="center"/>
                    <w:rPr>
                      <w:smallCaps w:val="0"/>
                      <w:sz w:val="21"/>
                      <w:szCs w:val="21"/>
                      <w:lang w:val="en-US"/>
                    </w:rPr>
                  </w:pPr>
                  <w:r>
                    <w:rPr>
                      <w:smallCaps w:val="0"/>
                      <w:sz w:val="21"/>
                      <w:szCs w:val="21"/>
                      <w:lang w:val="en-US"/>
                    </w:rPr>
                    <w:t>88.01</w:t>
                  </w:r>
                </w:p>
              </w:tc>
            </w:tr>
          </w:tbl>
          <w:p w14:paraId="7514C725">
            <w:pPr>
              <w:pStyle w:val="159"/>
              <w:rPr>
                <w:smallCaps w:val="0"/>
                <w:lang w:val="en-US"/>
              </w:rPr>
            </w:pPr>
            <w:r>
              <w:rPr>
                <w:smallCaps w:val="0"/>
                <w:lang w:val="en-US"/>
              </w:rPr>
              <w:t>为了减轻本建设项目施工期噪声</w:t>
            </w:r>
            <w:r>
              <w:rPr>
                <w:rFonts w:hint="eastAsia"/>
                <w:smallCaps w:val="0"/>
                <w:lang w:val="en-US"/>
              </w:rPr>
              <w:t>对周边声环境</w:t>
            </w:r>
            <w:r>
              <w:rPr>
                <w:smallCaps w:val="0"/>
                <w:lang w:val="en-US"/>
              </w:rPr>
              <w:t>的影响，建议建设单位采取如下措施：</w:t>
            </w:r>
          </w:p>
          <w:p w14:paraId="3928D1B3">
            <w:pPr>
              <w:pStyle w:val="159"/>
              <w:rPr>
                <w:smallCaps w:val="0"/>
                <w:lang w:val="en-US"/>
              </w:rPr>
            </w:pPr>
            <w:r>
              <w:rPr>
                <w:smallCaps w:val="0"/>
                <w:lang w:val="en-US"/>
              </w:rPr>
              <w:t>（1）合理安排施工时间，尽量缩短施工期，尽量避免多台噪声设备同一地点同时使用</w:t>
            </w:r>
            <w:r>
              <w:rPr>
                <w:rFonts w:hint="eastAsia"/>
                <w:smallCaps w:val="0"/>
                <w:lang w:val="en-US"/>
              </w:rPr>
              <w:t>，</w:t>
            </w:r>
            <w:r>
              <w:rPr>
                <w:smallCaps w:val="0"/>
                <w:lang w:val="en-US"/>
              </w:rPr>
              <w:t>并且严禁在</w:t>
            </w:r>
            <w:r>
              <w:rPr>
                <w:rFonts w:hint="eastAsia"/>
                <w:smallCaps w:val="0"/>
                <w:lang w:val="en-US"/>
              </w:rPr>
              <w:t>夜间(夜间</w:t>
            </w:r>
            <w:r>
              <w:rPr>
                <w:smallCaps w:val="0"/>
                <w:lang w:val="en-US"/>
              </w:rPr>
              <w:t>22时</w:t>
            </w:r>
            <w:r>
              <w:rPr>
                <w:rFonts w:hint="eastAsia"/>
                <w:smallCaps w:val="0"/>
                <w:lang w:val="en-US"/>
              </w:rPr>
              <w:t>～</w:t>
            </w:r>
            <w:r>
              <w:rPr>
                <w:smallCaps w:val="0"/>
                <w:lang w:val="en-US"/>
              </w:rPr>
              <w:t>凌晨06</w:t>
            </w:r>
            <w:r>
              <w:rPr>
                <w:rFonts w:hint="eastAsia"/>
                <w:smallCaps w:val="0"/>
                <w:lang w:val="en-US"/>
              </w:rPr>
              <w:t>时)和午休时间(</w:t>
            </w:r>
            <w:r>
              <w:rPr>
                <w:smallCaps w:val="0"/>
                <w:lang w:val="en-US"/>
              </w:rPr>
              <w:t>12:00~14:30</w:t>
            </w:r>
            <w:r>
              <w:rPr>
                <w:rFonts w:hint="eastAsia"/>
                <w:smallCaps w:val="0"/>
                <w:lang w:val="en-US"/>
              </w:rPr>
              <w:t>)</w:t>
            </w:r>
            <w:r>
              <w:rPr>
                <w:smallCaps w:val="0"/>
                <w:lang w:val="en-US"/>
              </w:rPr>
              <w:t>进行高噪声设备施工，以免施工造成扰民现象。若因为建筑施工工艺要求，需要夜间不间断施工的，则应提前向当地环保部门申请夜间施工许可，并提前2日公告周围居民。</w:t>
            </w:r>
          </w:p>
          <w:p w14:paraId="6E019239">
            <w:pPr>
              <w:pStyle w:val="159"/>
              <w:rPr>
                <w:smallCaps w:val="0"/>
                <w:lang w:val="en-US"/>
              </w:rPr>
            </w:pPr>
            <w:r>
              <w:rPr>
                <w:smallCaps w:val="0"/>
                <w:lang w:val="en-US"/>
              </w:rPr>
              <w:t>（2）选用低噪声施工机械，同时，施工机械应尽可能放置于对厂界外造成影响最小的地点。</w:t>
            </w:r>
          </w:p>
          <w:p w14:paraId="4D537883">
            <w:pPr>
              <w:pStyle w:val="159"/>
              <w:rPr>
                <w:smallCaps w:val="0"/>
                <w:lang w:val="en-US"/>
              </w:rPr>
            </w:pPr>
            <w:r>
              <w:rPr>
                <w:smallCaps w:val="0"/>
                <w:lang w:val="en-US"/>
              </w:rPr>
              <w:t>（3）对施工期运输车辆产生的交通噪声，搞好施工管理，减少对周边环境产生的影响，对运输车辆禁止车辆高速行驶，控制车辆鸣笛。同时选择性能良好、噪声低的运输车辆，并在使用过程中加强维护工作，从源头上</w:t>
            </w:r>
            <w:r>
              <w:rPr>
                <w:rFonts w:hint="eastAsia"/>
                <w:smallCaps w:val="0"/>
                <w:lang w:val="en-US"/>
              </w:rPr>
              <w:t>减少</w:t>
            </w:r>
            <w:r>
              <w:rPr>
                <w:smallCaps w:val="0"/>
                <w:lang w:val="en-US"/>
              </w:rPr>
              <w:t>噪声。</w:t>
            </w:r>
          </w:p>
          <w:p w14:paraId="16431155">
            <w:pPr>
              <w:pStyle w:val="159"/>
              <w:rPr>
                <w:smallCaps w:val="0"/>
                <w:lang w:val="en-US"/>
              </w:rPr>
            </w:pPr>
            <w:r>
              <w:rPr>
                <w:smallCaps w:val="0"/>
                <w:lang w:val="en-US"/>
              </w:rPr>
              <w:t>通过上述措施，施工噪声的影响将得到较大程度的缓解，可达到《建筑施工噪声排放标准》（GB 12523</w:t>
            </w:r>
            <w:r>
              <w:rPr>
                <w:rFonts w:hint="eastAsia"/>
                <w:smallCaps w:val="0"/>
                <w:lang w:val="en-US"/>
              </w:rPr>
              <w:t>-</w:t>
            </w:r>
            <w:r>
              <w:rPr>
                <w:smallCaps w:val="0"/>
                <w:lang w:val="en-US"/>
              </w:rPr>
              <w:t>20</w:t>
            </w:r>
            <w:r>
              <w:rPr>
                <w:rFonts w:hint="eastAsia"/>
                <w:smallCaps w:val="0"/>
                <w:lang w:val="en-US"/>
              </w:rPr>
              <w:t>25</w:t>
            </w:r>
            <w:r>
              <w:rPr>
                <w:smallCaps w:val="0"/>
                <w:lang w:val="en-US"/>
              </w:rPr>
              <w:t>）。施工结束后，噪声影响随即消失。</w:t>
            </w:r>
          </w:p>
          <w:p w14:paraId="25FCB841">
            <w:pPr>
              <w:pStyle w:val="159"/>
              <w:ind w:firstLine="482"/>
              <w:rPr>
                <w:b/>
                <w:bCs w:val="0"/>
                <w:smallCaps w:val="0"/>
                <w:lang w:val="en-US"/>
              </w:rPr>
            </w:pPr>
            <w:r>
              <w:rPr>
                <w:b/>
                <w:smallCaps w:val="0"/>
                <w:lang w:val="en-US"/>
              </w:rPr>
              <w:t>4、固废</w:t>
            </w:r>
          </w:p>
          <w:p w14:paraId="6B356F4D">
            <w:pPr>
              <w:pStyle w:val="159"/>
              <w:rPr>
                <w:smallCaps w:val="0"/>
                <w:lang w:val="en-US"/>
              </w:rPr>
            </w:pPr>
            <w:r>
              <w:rPr>
                <w:smallCaps w:val="0"/>
                <w:lang w:val="en-US"/>
              </w:rPr>
              <w:t>施工期固体废物主要包括建筑垃圾以及施工人员生活垃圾。</w:t>
            </w:r>
          </w:p>
          <w:p w14:paraId="7BFBC711">
            <w:pPr>
              <w:pStyle w:val="159"/>
              <w:rPr>
                <w:smallCaps w:val="0"/>
                <w:lang w:val="en-US"/>
              </w:rPr>
            </w:pPr>
            <w:r>
              <w:rPr>
                <w:smallCaps w:val="0"/>
                <w:lang w:val="en-US"/>
              </w:rPr>
              <w:t>建筑垃圾主要产生于主体工程建设过程，在施工过程中会产生建筑施工材料的废弃边角料，如碎砖、水泥块、装修类材料、废木料等。</w:t>
            </w:r>
            <w:r>
              <w:rPr>
                <w:rFonts w:hint="eastAsia"/>
                <w:smallCaps w:val="0"/>
                <w:lang w:val="en-US"/>
              </w:rPr>
              <w:t>根据建设经验，利用空地建设厂房的</w:t>
            </w:r>
            <w:r>
              <w:rPr>
                <w:smallCaps w:val="0"/>
                <w:lang w:val="en-US"/>
              </w:rPr>
              <w:t>建筑垃圾产生量约4.4kg/m</w:t>
            </w:r>
            <w:r>
              <w:rPr>
                <w:smallCaps w:val="0"/>
                <w:vertAlign w:val="superscript"/>
                <w:lang w:val="en-US"/>
              </w:rPr>
              <w:t>2</w:t>
            </w:r>
            <w:r>
              <w:rPr>
                <w:smallCaps w:val="0"/>
                <w:lang w:val="en-US"/>
              </w:rPr>
              <w:t>，本项目</w:t>
            </w:r>
            <w:r>
              <w:rPr>
                <w:rFonts w:hint="eastAsia"/>
                <w:smallCaps w:val="0"/>
                <w:lang w:val="en-US"/>
              </w:rPr>
              <w:t>租赁四周无围挡厂房进行建设，厂房顶部及四周框架已建设完成，故建筑垃圾产生量相对空地建筑垃圾产生量更少，因此，本项目建筑垃圾产生量取2.2</w:t>
            </w:r>
            <w:r>
              <w:rPr>
                <w:smallCaps w:val="0"/>
                <w:lang w:val="en-US"/>
              </w:rPr>
              <w:t>kg/m</w:t>
            </w:r>
            <w:r>
              <w:rPr>
                <w:smallCaps w:val="0"/>
                <w:vertAlign w:val="superscript"/>
                <w:lang w:val="en-US"/>
              </w:rPr>
              <w:t>2</w:t>
            </w:r>
            <w:r>
              <w:rPr>
                <w:rFonts w:hint="eastAsia"/>
                <w:smallCaps w:val="0"/>
                <w:lang w:val="en-US"/>
              </w:rPr>
              <w:t>。本项目</w:t>
            </w:r>
            <w:r>
              <w:rPr>
                <w:smallCaps w:val="0"/>
                <w:lang w:val="en-US"/>
              </w:rPr>
              <w:t>需建设的建筑面积共计</w:t>
            </w:r>
            <w:r>
              <w:rPr>
                <w:rFonts w:hint="eastAsia"/>
                <w:smallCaps w:val="0"/>
                <w:lang w:val="en-US"/>
              </w:rPr>
              <w:t>约1860</w:t>
            </w:r>
            <w:r>
              <w:rPr>
                <w:smallCaps w:val="0"/>
                <w:lang w:val="en-US"/>
              </w:rPr>
              <w:t>m</w:t>
            </w:r>
            <w:r>
              <w:rPr>
                <w:smallCaps w:val="0"/>
                <w:vertAlign w:val="superscript"/>
                <w:lang w:val="en-US"/>
              </w:rPr>
              <w:t>2</w:t>
            </w:r>
            <w:r>
              <w:rPr>
                <w:smallCaps w:val="0"/>
                <w:lang w:val="en-US"/>
              </w:rPr>
              <w:t>，产生建筑垃圾约</w:t>
            </w:r>
            <w:r>
              <w:rPr>
                <w:rFonts w:hint="eastAsia"/>
                <w:smallCaps w:val="0"/>
                <w:lang w:val="en-US"/>
              </w:rPr>
              <w:t>4.092</w:t>
            </w:r>
            <w:r>
              <w:rPr>
                <w:smallCaps w:val="0"/>
                <w:lang w:val="en-US"/>
              </w:rPr>
              <w:t>t。对于建筑垃圾由建设单位统一管理，按规定时间、线路清运，倾倒到指定的地点，金属垃圾回收利用。</w:t>
            </w:r>
          </w:p>
          <w:p w14:paraId="0510DF2D">
            <w:pPr>
              <w:pStyle w:val="159"/>
              <w:rPr>
                <w:lang w:val="en-US"/>
              </w:rPr>
            </w:pPr>
            <w:r>
              <w:rPr>
                <w:smallCaps w:val="0"/>
                <w:lang w:val="en-US"/>
              </w:rPr>
              <w:t>施工期现场施工人员按</w:t>
            </w:r>
            <w:r>
              <w:rPr>
                <w:rFonts w:hint="eastAsia"/>
                <w:smallCaps w:val="0"/>
                <w:lang w:val="en-US"/>
              </w:rPr>
              <w:t>10</w:t>
            </w:r>
            <w:r>
              <w:rPr>
                <w:smallCaps w:val="0"/>
                <w:lang w:val="en-US"/>
              </w:rPr>
              <w:t>人计，产生的生活垃圾按每人每天1.5kg计算，预计排放生活垃圾为0.0</w:t>
            </w:r>
            <w:r>
              <w:rPr>
                <w:rFonts w:hint="eastAsia"/>
                <w:smallCaps w:val="0"/>
                <w:lang w:val="en-US"/>
              </w:rPr>
              <w:t>15</w:t>
            </w:r>
            <w:r>
              <w:rPr>
                <w:smallCaps w:val="0"/>
                <w:lang w:val="en-US"/>
              </w:rPr>
              <w:t>t/d，施工过程约</w:t>
            </w:r>
            <w:r>
              <w:rPr>
                <w:rFonts w:hint="eastAsia"/>
                <w:smallCaps w:val="0"/>
                <w:lang w:val="en-US"/>
              </w:rPr>
              <w:t>6</w:t>
            </w:r>
            <w:r>
              <w:rPr>
                <w:smallCaps w:val="0"/>
                <w:lang w:val="en-US"/>
              </w:rPr>
              <w:t>0天，共产生生活垃圾</w:t>
            </w:r>
            <w:r>
              <w:rPr>
                <w:rFonts w:hint="eastAsia"/>
                <w:smallCaps w:val="0"/>
                <w:lang w:val="en-US"/>
              </w:rPr>
              <w:t>0.9</w:t>
            </w:r>
            <w:r>
              <w:rPr>
                <w:smallCaps w:val="0"/>
                <w:lang w:val="en-US"/>
              </w:rPr>
              <w:t>t。生活垃圾收集后交由环卫部门清运。</w:t>
            </w:r>
          </w:p>
          <w:p w14:paraId="734E6888">
            <w:pPr>
              <w:pStyle w:val="159"/>
              <w:ind w:firstLine="482"/>
              <w:rPr>
                <w:b/>
                <w:bCs w:val="0"/>
                <w:lang w:val="en-US"/>
              </w:rPr>
            </w:pPr>
            <w:r>
              <w:rPr>
                <w:b/>
                <w:lang w:val="en-US"/>
              </w:rPr>
              <w:t>5、生态环境</w:t>
            </w:r>
          </w:p>
          <w:p w14:paraId="138D29EA">
            <w:pPr>
              <w:pStyle w:val="159"/>
              <w:rPr>
                <w:lang w:val="en-US"/>
              </w:rPr>
            </w:pPr>
            <w:r>
              <w:rPr>
                <w:rFonts w:hint="eastAsia"/>
                <w:lang w:val="en-US"/>
              </w:rPr>
              <w:t>根据现场踏勘，评价范围内不涉及风景名胜、文物古迹、自然保护区、饮用水源保护区等需要特殊保护的环境敏感目标，评价区域内没有珍稀动植物。项目施工主要在现有厂房内部进行，地基硬化、车间布置、设备安装等，施工过程不易引起水土流失。</w:t>
            </w:r>
          </w:p>
          <w:p w14:paraId="4F0F7B43">
            <w:pPr>
              <w:pStyle w:val="159"/>
            </w:pPr>
            <w:r>
              <w:rPr>
                <w:lang w:val="en-US"/>
              </w:rPr>
              <w:t>综上，以上污染源和污染物均可能对项目周围环境造成影响，随着施工期的结束，上述影响也将结束。</w:t>
            </w:r>
          </w:p>
        </w:tc>
      </w:tr>
      <w:tr w14:paraId="7BB4F1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dxa"/>
            <w:tcMar>
              <w:left w:w="28" w:type="dxa"/>
              <w:right w:w="28" w:type="dxa"/>
            </w:tcMar>
            <w:vAlign w:val="center"/>
          </w:tcPr>
          <w:p w14:paraId="205824AF">
            <w:pPr>
              <w:pStyle w:val="39"/>
              <w:adjustRightInd w:val="0"/>
              <w:snapToGrid w:val="0"/>
              <w:spacing w:before="0" w:beforeAutospacing="0" w:after="0" w:afterAutospacing="0"/>
              <w:jc w:val="center"/>
              <w:rPr>
                <w:rFonts w:ascii="Times New Roman" w:hAnsi="Times New Roman"/>
                <w:color w:val="000000" w:themeColor="text1"/>
                <w:kern w:val="2"/>
                <w14:textFill>
                  <w14:solidFill>
                    <w14:schemeClr w14:val="tx1"/>
                  </w14:solidFill>
                </w14:textFill>
              </w:rPr>
            </w:pPr>
            <w:r>
              <w:rPr>
                <w:rFonts w:ascii="Times New Roman" w:hAnsi="Times New Roman"/>
                <w:bCs/>
                <w:color w:val="000000" w:themeColor="text1"/>
                <w14:textFill>
                  <w14:solidFill>
                    <w14:schemeClr w14:val="tx1"/>
                  </w14:solidFill>
                </w14:textFill>
              </w:rPr>
              <w:t>运营期环境影响和保护措施</w:t>
            </w:r>
          </w:p>
        </w:tc>
        <w:tc>
          <w:tcPr>
            <w:tcW w:w="9293" w:type="dxa"/>
            <w:vAlign w:val="center"/>
          </w:tcPr>
          <w:p w14:paraId="7084131B">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一、大气环境影响分析</w:t>
            </w:r>
          </w:p>
          <w:p w14:paraId="7C3CA8CD">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1、废气产排源强分析</w:t>
            </w:r>
          </w:p>
          <w:p w14:paraId="3E24C998">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调漆、</w:t>
            </w:r>
            <w:r>
              <w:rPr>
                <w:rFonts w:hint="eastAsia"/>
                <w:color w:val="000000" w:themeColor="text1"/>
                <w:kern w:val="0"/>
                <w:sz w:val="24"/>
                <w:lang w:val="zh-CN"/>
                <w14:textFill>
                  <w14:solidFill>
                    <w14:schemeClr w14:val="tx1"/>
                  </w14:solidFill>
                </w14:textFill>
              </w:rPr>
              <w:t>喷漆、烘干</w:t>
            </w:r>
            <w:r>
              <w:rPr>
                <w:color w:val="000000" w:themeColor="text1"/>
                <w:sz w:val="24"/>
                <w14:textFill>
                  <w14:solidFill>
                    <w14:schemeClr w14:val="tx1"/>
                  </w14:solidFill>
                </w14:textFill>
              </w:rPr>
              <w:t>废气</w:t>
            </w:r>
          </w:p>
          <w:p w14:paraId="0406BA0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根据建设单位提供资料，项目调漆、喷漆在密闭的喷漆房中</w:t>
            </w:r>
            <w:r>
              <w:rPr>
                <w:rFonts w:hint="eastAsia"/>
                <w:color w:val="000000" w:themeColor="text1"/>
                <w:sz w:val="24"/>
                <w14:textFill>
                  <w14:solidFill>
                    <w14:schemeClr w14:val="tx1"/>
                  </w14:solidFill>
                </w14:textFill>
              </w:rPr>
              <w:t>进行，烘干在喷漆房中的电能烘干室中进行，喷漆、调漆废气与烘干废气均通过整室密闭负压进行收集</w:t>
            </w:r>
            <w:r>
              <w:rPr>
                <w:color w:val="000000" w:themeColor="text1"/>
                <w:sz w:val="24"/>
                <w14:textFill>
                  <w14:solidFill>
                    <w14:schemeClr w14:val="tx1"/>
                  </w14:solidFill>
                </w14:textFill>
              </w:rPr>
              <w:t>。每日喷漆结束后，</w:t>
            </w:r>
            <w:r>
              <w:rPr>
                <w:rFonts w:hint="eastAsia"/>
                <w:color w:val="000000" w:themeColor="text1"/>
                <w:sz w:val="24"/>
                <w14:textFill>
                  <w14:solidFill>
                    <w14:schemeClr w14:val="tx1"/>
                  </w14:solidFill>
                </w14:textFill>
              </w:rPr>
              <w:t>在喷漆房中</w:t>
            </w:r>
            <w:r>
              <w:rPr>
                <w:color w:val="000000" w:themeColor="text1"/>
                <w:sz w:val="24"/>
                <w14:textFill>
                  <w14:solidFill>
                    <w14:schemeClr w14:val="tx1"/>
                  </w14:solidFill>
                </w14:textFill>
              </w:rPr>
              <w:t>利用抹布对喷枪进行擦拭，不使用清洗剂</w:t>
            </w:r>
            <w:r>
              <w:rPr>
                <w:rFonts w:hint="eastAsia"/>
                <w:color w:val="000000" w:themeColor="text1"/>
                <w:sz w:val="24"/>
                <w14:textFill>
                  <w14:solidFill>
                    <w14:schemeClr w14:val="tx1"/>
                  </w14:solidFill>
                </w14:textFill>
              </w:rPr>
              <w:t>，故无喷枪擦拭废气</w:t>
            </w:r>
            <w:r>
              <w:rPr>
                <w:color w:val="000000" w:themeColor="text1"/>
                <w:sz w:val="24"/>
                <w14:textFill>
                  <w14:solidFill>
                    <w14:schemeClr w14:val="tx1"/>
                  </w14:solidFill>
                </w14:textFill>
              </w:rPr>
              <w:t>。本项目在进行调漆、喷漆、烘干加工时，会产生一定量的废气，其主要污染物为漆雾、挥发性有机废气（以非甲烷总烃计）、二甲苯等。</w:t>
            </w:r>
          </w:p>
          <w:p w14:paraId="24568F48">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单位生产经验，项目每天调漆时长约1h，喷漆时长约6h，烘干时长约4h，则年调漆时长300h，年喷漆时长1800h，年烘干时长1200h。在第一批球拍进行烘干时，会同步进行第二批球拍的调漆、喷漆工序。参照《安徽双盾消防设备有限公司安全、消防新型装备材料生产项目环境影响报告表》（阜开管环审函〔2025〕8号，2025年6月18日，该项目与本项目均在金属表明进行喷漆，均包括调漆、喷漆、烘干工序，类比可行）挥发性有机物约5%在调漆过程中挥发，25%在喷漆过程中挥发，70%在烘干过程中挥发。</w:t>
            </w:r>
          </w:p>
          <w:p w14:paraId="27C3867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1）漆雾</w:t>
            </w:r>
          </w:p>
          <w:p w14:paraId="130942E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在喷漆过程中会产生一定量的漆雾（颗粒物）。参考《喷漆废气废漆渣的估算及处理措施》（张禾，《汽车工艺与材料》2006年第11期），喷漆的平均涂着率为75%，即油漆中75%的固体分附着在工件上，5%的固体分形成漆渣，20%的固体分形成漆雾（颗粒物）。由于本项</w:t>
            </w:r>
            <w:r>
              <w:rPr>
                <w:rFonts w:hint="eastAsia"/>
                <w:color w:val="000000" w:themeColor="text1"/>
                <w:sz w:val="24"/>
                <w14:textFill>
                  <w14:solidFill>
                    <w14:schemeClr w14:val="tx1"/>
                  </w14:solidFill>
                </w14:textFill>
              </w:rPr>
              <w:t>目</w:t>
            </w:r>
            <w:r>
              <w:rPr>
                <w:color w:val="000000" w:themeColor="text1"/>
                <w:sz w:val="24"/>
                <w14:textFill>
                  <w14:solidFill>
                    <w14:schemeClr w14:val="tx1"/>
                  </w14:solidFill>
                </w14:textFill>
              </w:rPr>
              <w:t>球拍属于异形件，油漆上漆率</w:t>
            </w:r>
            <w:r>
              <w:rPr>
                <w:rFonts w:hint="eastAsia"/>
                <w:color w:val="000000" w:themeColor="text1"/>
                <w:sz w:val="24"/>
                <w14:textFill>
                  <w14:solidFill>
                    <w14:schemeClr w14:val="tx1"/>
                  </w14:solidFill>
                </w14:textFill>
              </w:rPr>
              <w:t>一</w:t>
            </w:r>
            <w:r>
              <w:rPr>
                <w:color w:val="000000" w:themeColor="text1"/>
                <w:sz w:val="24"/>
                <w14:textFill>
                  <w14:solidFill>
                    <w14:schemeClr w14:val="tx1"/>
                  </w14:solidFill>
                </w14:textFill>
              </w:rPr>
              <w:t>般低于常规的上漆率（75%），本环评上漆率取50%核算，即油漆中50%的固体分附着在工件上，10%的固体分形成漆渣，40%的固体分形成漆雾（颗粒物）。根据前述分析，本</w:t>
            </w: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油漆年使用量约3.</w:t>
            </w:r>
            <w:r>
              <w:rPr>
                <w:rFonts w:hint="eastAsia"/>
                <w:color w:val="000000" w:themeColor="text1"/>
                <w:sz w:val="24"/>
                <w14:textFill>
                  <w14:solidFill>
                    <w14:schemeClr w14:val="tx1"/>
                  </w14:solidFill>
                </w14:textFill>
              </w:rPr>
              <w:t>127</w:t>
            </w:r>
            <w:r>
              <w:rPr>
                <w:color w:val="000000" w:themeColor="text1"/>
                <w:sz w:val="24"/>
                <w14:textFill>
                  <w14:solidFill>
                    <w14:schemeClr w14:val="tx1"/>
                  </w14:solidFill>
                </w14:textFill>
              </w:rPr>
              <w:t>t/a，稀释剂使用量约1</w:t>
            </w:r>
            <w:r>
              <w:rPr>
                <w:rFonts w:hint="eastAsia"/>
                <w:color w:val="000000" w:themeColor="text1"/>
                <w:sz w:val="24"/>
                <w14:textFill>
                  <w14:solidFill>
                    <w14:schemeClr w14:val="tx1"/>
                  </w14:solidFill>
                </w14:textFill>
              </w:rPr>
              <w:t>.042</w:t>
            </w:r>
            <w:r>
              <w:rPr>
                <w:color w:val="000000" w:themeColor="text1"/>
                <w:sz w:val="24"/>
                <w14:textFill>
                  <w14:solidFill>
                    <w14:schemeClr w14:val="tx1"/>
                  </w14:solidFill>
                </w14:textFill>
              </w:rPr>
              <w:t>t/a。</w:t>
            </w:r>
          </w:p>
          <w:p w14:paraId="6557F44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根据油漆的</w:t>
            </w:r>
            <w:r>
              <w:rPr>
                <w:rFonts w:hint="eastAsia"/>
                <w:color w:val="000000" w:themeColor="text1"/>
                <w:sz w:val="24"/>
                <w14:textFill>
                  <w14:solidFill>
                    <w14:schemeClr w14:val="tx1"/>
                  </w14:solidFill>
                </w14:textFill>
              </w:rPr>
              <w:t>MSDS</w:t>
            </w:r>
            <w:r>
              <w:rPr>
                <w:color w:val="000000" w:themeColor="text1"/>
                <w:sz w:val="24"/>
                <w14:textFill>
                  <w14:solidFill>
                    <w14:schemeClr w14:val="tx1"/>
                  </w14:solidFill>
                </w14:textFill>
              </w:rPr>
              <w:t>可知，</w:t>
            </w:r>
            <w:r>
              <w:rPr>
                <w:rFonts w:hint="eastAsia"/>
                <w:color w:val="000000" w:themeColor="text1"/>
                <w:sz w:val="24"/>
                <w14:textFill>
                  <w14:solidFill>
                    <w14:schemeClr w14:val="tx1"/>
                  </w14:solidFill>
                </w14:textFill>
              </w:rPr>
              <w:t>油漆中挥发性有机物含量最大为45%，则</w:t>
            </w:r>
            <w:r>
              <w:rPr>
                <w:color w:val="000000" w:themeColor="text1"/>
                <w:sz w:val="24"/>
                <w14:textFill>
                  <w14:solidFill>
                    <w14:schemeClr w14:val="tx1"/>
                  </w14:solidFill>
                </w14:textFill>
              </w:rPr>
              <w:t>固体分含量</w:t>
            </w:r>
            <w:r>
              <w:rPr>
                <w:rFonts w:hint="eastAsia"/>
                <w:color w:val="000000" w:themeColor="text1"/>
                <w:sz w:val="24"/>
                <w14:textFill>
                  <w14:solidFill>
                    <w14:schemeClr w14:val="tx1"/>
                  </w14:solidFill>
                </w14:textFill>
              </w:rPr>
              <w:t>以55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计</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1.720</w:t>
            </w:r>
            <w:r>
              <w:rPr>
                <w:color w:val="000000" w:themeColor="text1"/>
                <w:sz w:val="24"/>
                <w14:textFill>
                  <w14:solidFill>
                    <w14:schemeClr w14:val="tx1"/>
                  </w14:solidFill>
                </w14:textFill>
              </w:rPr>
              <w:t>t/a。油漆固体分附着在工件上约为</w:t>
            </w:r>
            <w:r>
              <w:rPr>
                <w:rFonts w:hint="eastAsia"/>
                <w:color w:val="000000" w:themeColor="text1"/>
                <w:sz w:val="24"/>
                <w14:textFill>
                  <w14:solidFill>
                    <w14:schemeClr w14:val="tx1"/>
                  </w14:solidFill>
                </w14:textFill>
              </w:rPr>
              <w:t>0.86</w:t>
            </w:r>
            <w:r>
              <w:rPr>
                <w:color w:val="000000" w:themeColor="text1"/>
                <w:sz w:val="24"/>
                <w14:textFill>
                  <w14:solidFill>
                    <w14:schemeClr w14:val="tx1"/>
                  </w14:solidFill>
                </w14:textFill>
              </w:rPr>
              <w:t>t/a；油漆固体分形成漆渣约为0.</w:t>
            </w:r>
            <w:r>
              <w:rPr>
                <w:rFonts w:hint="eastAsia"/>
                <w:color w:val="000000" w:themeColor="text1"/>
                <w:sz w:val="24"/>
                <w14:textFill>
                  <w14:solidFill>
                    <w14:schemeClr w14:val="tx1"/>
                  </w14:solidFill>
                </w14:textFill>
              </w:rPr>
              <w:t>172</w:t>
            </w:r>
            <w:r>
              <w:rPr>
                <w:color w:val="000000" w:themeColor="text1"/>
                <w:sz w:val="24"/>
                <w14:textFill>
                  <w14:solidFill>
                    <w14:schemeClr w14:val="tx1"/>
                  </w14:solidFill>
                </w14:textFill>
              </w:rPr>
              <w:t>t/a；油漆固体分形成漆雾约为</w:t>
            </w:r>
            <w:r>
              <w:rPr>
                <w:rFonts w:hint="eastAsia"/>
                <w:color w:val="000000" w:themeColor="text1"/>
                <w:sz w:val="24"/>
                <w14:textFill>
                  <w14:solidFill>
                    <w14:schemeClr w14:val="tx1"/>
                  </w14:solidFill>
                </w14:textFill>
              </w:rPr>
              <w:t>0.688</w:t>
            </w:r>
            <w:r>
              <w:rPr>
                <w:color w:val="000000" w:themeColor="text1"/>
                <w:sz w:val="24"/>
                <w14:textFill>
                  <w14:solidFill>
                    <w14:schemeClr w14:val="tx1"/>
                  </w14:solidFill>
                </w14:textFill>
              </w:rPr>
              <w:t>t/a。</w:t>
            </w:r>
          </w:p>
          <w:p w14:paraId="7D532F7A">
            <w:pPr>
              <w:pStyle w:val="2"/>
              <w:ind w:firstLine="480"/>
              <w:rPr>
                <w:b w:val="0"/>
                <w:bCs/>
                <w:color w:val="000000" w:themeColor="text1"/>
                <w14:textFill>
                  <w14:solidFill>
                    <w14:schemeClr w14:val="tx1"/>
                  </w14:solidFill>
                </w14:textFill>
              </w:rPr>
            </w:pPr>
            <w:r>
              <w:rPr>
                <w:b w:val="0"/>
                <w:bCs/>
                <w:color w:val="000000" w:themeColor="text1"/>
                <w14:textFill>
                  <w14:solidFill>
                    <w14:schemeClr w14:val="tx1"/>
                  </w14:solidFill>
                </w14:textFill>
              </w:rPr>
              <w:t>本项目喷漆房</w:t>
            </w:r>
            <w:r>
              <w:rPr>
                <w:rFonts w:hint="eastAsia"/>
                <w:b w:val="0"/>
                <w:bCs/>
                <w:color w:val="000000" w:themeColor="text1"/>
                <w14:textFill>
                  <w14:solidFill>
                    <w14:schemeClr w14:val="tx1"/>
                  </w14:solidFill>
                </w14:textFill>
              </w:rPr>
              <w:t>、烘干房</w:t>
            </w:r>
            <w:r>
              <w:rPr>
                <w:b w:val="0"/>
                <w:bCs/>
                <w:color w:val="000000" w:themeColor="text1"/>
                <w14:textFill>
                  <w14:solidFill>
                    <w14:schemeClr w14:val="tx1"/>
                  </w14:solidFill>
                </w14:textFill>
              </w:rPr>
              <w:t>为密闭式操作空间，</w:t>
            </w:r>
            <w:r>
              <w:rPr>
                <w:rFonts w:hint="eastAsia"/>
                <w:b w:val="0"/>
                <w:bCs/>
                <w:color w:val="000000" w:themeColor="text1"/>
                <w14:textFill>
                  <w14:solidFill>
                    <w14:schemeClr w14:val="tx1"/>
                  </w14:solidFill>
                </w14:textFill>
              </w:rPr>
              <w:t>调漆、</w:t>
            </w:r>
            <w:r>
              <w:rPr>
                <w:rFonts w:hint="eastAsia" w:eastAsiaTheme="minorEastAsia"/>
                <w:b w:val="0"/>
                <w:bCs/>
                <w:color w:val="000000" w:themeColor="text1"/>
                <w14:textFill>
                  <w14:solidFill>
                    <w14:schemeClr w14:val="tx1"/>
                  </w14:solidFill>
                </w14:textFill>
              </w:rPr>
              <w:t>喷漆废气密闭负压收集后经“水帘柜+过滤棉”预处理后与密闭负压收集的烘干废气一并经“活性炭吸附脱附+小型催化燃烧装置”处理</w:t>
            </w:r>
            <w:r>
              <w:rPr>
                <w:b w:val="0"/>
                <w:bCs/>
                <w:color w:val="000000" w:themeColor="text1"/>
                <w14:textFill>
                  <w14:solidFill>
                    <w14:schemeClr w14:val="tx1"/>
                  </w14:solidFill>
                </w14:textFill>
              </w:rPr>
              <w:t>，处理后通过1根15m高排气筒（DA001）排放。密闭负压收集效率为90%，</w:t>
            </w:r>
            <w:r>
              <w:rPr>
                <w:rFonts w:hint="eastAsia"/>
                <w:b w:val="0"/>
                <w:bCs/>
                <w:color w:val="000000" w:themeColor="text1"/>
                <w14:textFill>
                  <w14:solidFill>
                    <w14:schemeClr w14:val="tx1"/>
                  </w14:solidFill>
                </w14:textFill>
              </w:rPr>
              <w:t>水帘柜+过滤棉对于漆雾的处理效率以96%计（水帘柜60%，过滤棉90%）</w:t>
            </w:r>
            <w:r>
              <w:rPr>
                <w:b w:val="0"/>
                <w:bCs/>
                <w:color w:val="000000" w:themeColor="text1"/>
                <w14:textFill>
                  <w14:solidFill>
                    <w14:schemeClr w14:val="tx1"/>
                  </w14:solidFill>
                </w14:textFill>
              </w:rPr>
              <w:t>，风机</w:t>
            </w:r>
            <w:r>
              <w:rPr>
                <w:rFonts w:hint="eastAsia"/>
                <w:b w:val="0"/>
                <w:bCs/>
                <w:color w:val="000000" w:themeColor="text1"/>
                <w14:textFill>
                  <w14:solidFill>
                    <w14:schemeClr w14:val="tx1"/>
                  </w14:solidFill>
                </w14:textFill>
              </w:rPr>
              <w:t>总</w:t>
            </w:r>
            <w:r>
              <w:rPr>
                <w:b w:val="0"/>
                <w:bCs/>
                <w:color w:val="000000" w:themeColor="text1"/>
                <w14:textFill>
                  <w14:solidFill>
                    <w14:schemeClr w14:val="tx1"/>
                  </w14:solidFill>
                </w14:textFill>
              </w:rPr>
              <w:t>风量</w:t>
            </w:r>
            <w:r>
              <w:rPr>
                <w:rFonts w:hint="eastAsia"/>
                <w:b w:val="0"/>
                <w:bCs/>
                <w:color w:val="000000" w:themeColor="text1"/>
                <w14:textFill>
                  <w14:solidFill>
                    <w14:schemeClr w14:val="tx1"/>
                  </w14:solidFill>
                </w14:textFill>
              </w:rPr>
              <w:t>15</w:t>
            </w:r>
            <w:r>
              <w:rPr>
                <w:b w:val="0"/>
                <w:bCs/>
                <w:color w:val="000000" w:themeColor="text1"/>
                <w14:textFill>
                  <w14:solidFill>
                    <w14:schemeClr w14:val="tx1"/>
                  </w14:solidFill>
                </w14:textFill>
              </w:rPr>
              <w:t>000m</w:t>
            </w:r>
            <w:r>
              <w:rPr>
                <w:b w:val="0"/>
                <w:bCs/>
                <w:color w:val="000000" w:themeColor="text1"/>
                <w:vertAlign w:val="superscript"/>
                <w14:textFill>
                  <w14:solidFill>
                    <w14:schemeClr w14:val="tx1"/>
                  </w14:solidFill>
                </w14:textFill>
              </w:rPr>
              <w:t>3</w:t>
            </w:r>
            <w:r>
              <w:rPr>
                <w:b w:val="0"/>
                <w:bCs/>
                <w:color w:val="000000" w:themeColor="text1"/>
                <w14:textFill>
                  <w14:solidFill>
                    <w14:schemeClr w14:val="tx1"/>
                  </w14:solidFill>
                </w14:textFill>
              </w:rPr>
              <w:t>/h</w:t>
            </w:r>
            <w:r>
              <w:rPr>
                <w:rFonts w:hint="eastAsia"/>
                <w:b w:val="0"/>
                <w:bCs/>
                <w:color w:val="000000" w:themeColor="text1"/>
                <w14:textFill>
                  <w14:solidFill>
                    <w14:schemeClr w14:val="tx1"/>
                  </w14:solidFill>
                </w14:textFill>
              </w:rPr>
              <w:t>，喷漆工序年工作时间为1800h</w:t>
            </w:r>
            <w:r>
              <w:rPr>
                <w:b w:val="0"/>
                <w:bCs/>
                <w:color w:val="000000" w:themeColor="text1"/>
                <w14:textFill>
                  <w14:solidFill>
                    <w14:schemeClr w14:val="tx1"/>
                  </w14:solidFill>
                </w14:textFill>
              </w:rPr>
              <w:t>。</w:t>
            </w:r>
          </w:p>
          <w:p w14:paraId="341E10DB">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经计算，本项目</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废气漆雾（颗粒物）有组织收集量为</w:t>
            </w:r>
            <w:r>
              <w:rPr>
                <w:rFonts w:hint="eastAsia"/>
                <w:color w:val="000000" w:themeColor="text1"/>
                <w:sz w:val="24"/>
                <w14:textFill>
                  <w14:solidFill>
                    <w14:schemeClr w14:val="tx1"/>
                  </w14:solidFill>
                </w14:textFill>
              </w:rPr>
              <w:t>0.619</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344</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22.926</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喷漆废气经“水帘柜+过滤棉”预处理后与密闭负压收集的烘干房废气一并经“活性炭吸附脱附+小型催化燃烧装置”处理</w:t>
            </w:r>
            <w:r>
              <w:rPr>
                <w:color w:val="000000" w:themeColor="text1"/>
                <w:sz w:val="24"/>
                <w14:textFill>
                  <w14:solidFill>
                    <w14:schemeClr w14:val="tx1"/>
                  </w14:solidFill>
                </w14:textFill>
              </w:rPr>
              <w:t>，经计算，处理后漆雾有组织排放量为0.</w:t>
            </w:r>
            <w:r>
              <w:rPr>
                <w:rFonts w:hint="eastAsia"/>
                <w:color w:val="000000" w:themeColor="text1"/>
                <w:sz w:val="24"/>
                <w14:textFill>
                  <w14:solidFill>
                    <w14:schemeClr w14:val="tx1"/>
                  </w14:solidFill>
                </w14:textFill>
              </w:rPr>
              <w:t>025</w:t>
            </w:r>
            <w:r>
              <w:rPr>
                <w:color w:val="000000" w:themeColor="text1"/>
                <w:sz w:val="24"/>
                <w14:textFill>
                  <w14:solidFill>
                    <w14:schemeClr w14:val="tx1"/>
                  </w14:solidFill>
                </w14:textFill>
              </w:rPr>
              <w:t>t/a（0.0</w:t>
            </w:r>
            <w:r>
              <w:rPr>
                <w:rFonts w:hint="eastAsia"/>
                <w:color w:val="000000" w:themeColor="text1"/>
                <w:sz w:val="24"/>
                <w14:textFill>
                  <w14:solidFill>
                    <w14:schemeClr w14:val="tx1"/>
                  </w14:solidFill>
                </w14:textFill>
              </w:rPr>
              <w:t>14</w:t>
            </w:r>
            <w:r>
              <w:rPr>
                <w:color w:val="000000" w:themeColor="text1"/>
                <w:sz w:val="24"/>
                <w14:textFill>
                  <w14:solidFill>
                    <w14:schemeClr w14:val="tx1"/>
                  </w14:solidFill>
                </w14:textFill>
              </w:rPr>
              <w:t>kg/h），排放浓度</w:t>
            </w:r>
            <w:r>
              <w:rPr>
                <w:rFonts w:hint="eastAsia"/>
                <w:color w:val="000000" w:themeColor="text1"/>
                <w:sz w:val="24"/>
                <w14:textFill>
                  <w14:solidFill>
                    <w14:schemeClr w14:val="tx1"/>
                  </w14:solidFill>
                </w14:textFill>
              </w:rPr>
              <w:t>0.926</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p>
          <w:p w14:paraId="613870EE">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对于未能收集喷漆废气则在车间内无组织排放，建设单位通过加强喷漆房密闭</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车间通风等措施进行抑制。本项目</w:t>
            </w:r>
            <w:r>
              <w:rPr>
                <w:rFonts w:hint="eastAsia"/>
                <w:color w:val="000000" w:themeColor="text1"/>
                <w:sz w:val="24"/>
                <w14:textFill>
                  <w14:solidFill>
                    <w14:schemeClr w14:val="tx1"/>
                  </w14:solidFill>
                </w14:textFill>
              </w:rPr>
              <w:t>未收集</w:t>
            </w:r>
            <w:r>
              <w:rPr>
                <w:color w:val="000000" w:themeColor="text1"/>
                <w:sz w:val="24"/>
                <w14:textFill>
                  <w14:solidFill>
                    <w14:schemeClr w14:val="tx1"/>
                  </w14:solidFill>
                </w14:textFill>
              </w:rPr>
              <w:t>喷漆废气</w:t>
            </w:r>
            <w:r>
              <w:rPr>
                <w:rFonts w:hint="eastAsia"/>
                <w:color w:val="000000" w:themeColor="text1"/>
                <w:sz w:val="24"/>
                <w14:textFill>
                  <w14:solidFill>
                    <w14:schemeClr w14:val="tx1"/>
                  </w14:solidFill>
                </w14:textFill>
              </w:rPr>
              <w:t>颗粒物</w:t>
            </w:r>
            <w:r>
              <w:rPr>
                <w:color w:val="000000" w:themeColor="text1"/>
                <w:sz w:val="24"/>
                <w14:textFill>
                  <w14:solidFill>
                    <w14:schemeClr w14:val="tx1"/>
                  </w14:solidFill>
                </w14:textFill>
              </w:rPr>
              <w:t>无组织排放量为0.</w:t>
            </w:r>
            <w:r>
              <w:rPr>
                <w:rFonts w:hint="eastAsia"/>
                <w:color w:val="000000" w:themeColor="text1"/>
                <w:sz w:val="24"/>
                <w14:textFill>
                  <w14:solidFill>
                    <w14:schemeClr w14:val="tx1"/>
                  </w14:solidFill>
                </w14:textFill>
              </w:rPr>
              <w:t>069</w:t>
            </w:r>
            <w:r>
              <w:rPr>
                <w:color w:val="000000" w:themeColor="text1"/>
                <w:sz w:val="24"/>
                <w14:textFill>
                  <w14:solidFill>
                    <w14:schemeClr w14:val="tx1"/>
                  </w14:solidFill>
                </w14:textFill>
              </w:rPr>
              <w:t>t/a（0.0</w:t>
            </w:r>
            <w:r>
              <w:rPr>
                <w:rFonts w:hint="eastAsia"/>
                <w:color w:val="000000" w:themeColor="text1"/>
                <w:sz w:val="24"/>
                <w14:textFill>
                  <w14:solidFill>
                    <w14:schemeClr w14:val="tx1"/>
                  </w14:solidFill>
                </w14:textFill>
              </w:rPr>
              <w:t>38</w:t>
            </w:r>
            <w:r>
              <w:rPr>
                <w:color w:val="000000" w:themeColor="text1"/>
                <w:sz w:val="24"/>
                <w14:textFill>
                  <w14:solidFill>
                    <w14:schemeClr w14:val="tx1"/>
                  </w14:solidFill>
                </w14:textFill>
              </w:rPr>
              <w:t>kg/h）。</w:t>
            </w:r>
          </w:p>
          <w:p w14:paraId="7A4229C4">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非甲烷总烃</w:t>
            </w:r>
          </w:p>
          <w:p w14:paraId="5749415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项目在调漆、喷漆、烘干过程中会产生一定量的挥发性有机物（以非甲烷总烃计）。</w:t>
            </w:r>
          </w:p>
          <w:p w14:paraId="305C40E8">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根据前述分析，本</w:t>
            </w: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油漆年使用量约3.</w:t>
            </w:r>
            <w:r>
              <w:rPr>
                <w:rFonts w:hint="eastAsia"/>
                <w:color w:val="000000" w:themeColor="text1"/>
                <w:sz w:val="24"/>
                <w14:textFill>
                  <w14:solidFill>
                    <w14:schemeClr w14:val="tx1"/>
                  </w14:solidFill>
                </w14:textFill>
              </w:rPr>
              <w:t>127</w:t>
            </w:r>
            <w:r>
              <w:rPr>
                <w:color w:val="000000" w:themeColor="text1"/>
                <w:sz w:val="24"/>
                <w14:textFill>
                  <w14:solidFill>
                    <w14:schemeClr w14:val="tx1"/>
                  </w14:solidFill>
                </w14:textFill>
              </w:rPr>
              <w:t>t/a，稀释剂使用量约1</w:t>
            </w:r>
            <w:r>
              <w:rPr>
                <w:rFonts w:hint="eastAsia"/>
                <w:color w:val="000000" w:themeColor="text1"/>
                <w:sz w:val="24"/>
                <w14:textFill>
                  <w14:solidFill>
                    <w14:schemeClr w14:val="tx1"/>
                  </w14:solidFill>
                </w14:textFill>
              </w:rPr>
              <w:t>.042</w:t>
            </w:r>
            <w:r>
              <w:rPr>
                <w:color w:val="000000" w:themeColor="text1"/>
                <w:sz w:val="24"/>
                <w14:textFill>
                  <w14:solidFill>
                    <w14:schemeClr w14:val="tx1"/>
                  </w14:solidFill>
                </w14:textFill>
              </w:rPr>
              <w:t>t/a。根据油漆及稀释剂的MSDS，油漆中挥发性有机物含量合计为</w:t>
            </w:r>
            <w:r>
              <w:rPr>
                <w:rFonts w:hint="eastAsia"/>
                <w:color w:val="000000" w:themeColor="text1"/>
                <w:sz w:val="24"/>
                <w14:textFill>
                  <w14:solidFill>
                    <w14:schemeClr w14:val="tx1"/>
                  </w14:solidFill>
                </w14:textFill>
              </w:rPr>
              <w:t>45</w:t>
            </w:r>
            <w:r>
              <w:rPr>
                <w:color w:val="000000" w:themeColor="text1"/>
                <w:sz w:val="24"/>
                <w14:textFill>
                  <w14:solidFill>
                    <w14:schemeClr w14:val="tx1"/>
                  </w14:solidFill>
                </w14:textFill>
              </w:rPr>
              <w:t>%，稀释剂有机溶剂含量为100%。则油漆、稀释剂中挥发性有机物总含量约</w:t>
            </w:r>
            <w:r>
              <w:rPr>
                <w:rFonts w:hint="eastAsia"/>
                <w:color w:val="000000" w:themeColor="text1"/>
                <w:sz w:val="24"/>
                <w14:textFill>
                  <w14:solidFill>
                    <w14:schemeClr w14:val="tx1"/>
                  </w14:solidFill>
                </w14:textFill>
              </w:rPr>
              <w:t>2.449</w:t>
            </w:r>
            <w:r>
              <w:rPr>
                <w:color w:val="000000" w:themeColor="text1"/>
                <w:sz w:val="24"/>
                <w14:textFill>
                  <w14:solidFill>
                    <w14:schemeClr w14:val="tx1"/>
                  </w14:solidFill>
                </w14:textFill>
              </w:rPr>
              <w:t>t/a，按最不理想计算，即100%挥发进入大气，则油漆、稀释剂形成有机废气（以非甲烷总烃计）合计约为</w:t>
            </w:r>
            <w:r>
              <w:rPr>
                <w:rFonts w:hint="eastAsia"/>
                <w:color w:val="000000" w:themeColor="text1"/>
                <w:sz w:val="24"/>
                <w14:textFill>
                  <w14:solidFill>
                    <w14:schemeClr w14:val="tx1"/>
                  </w14:solidFill>
                </w14:textFill>
              </w:rPr>
              <w:t>2.449</w:t>
            </w:r>
            <w:r>
              <w:rPr>
                <w:color w:val="000000" w:themeColor="text1"/>
                <w:sz w:val="24"/>
                <w14:textFill>
                  <w14:solidFill>
                    <w14:schemeClr w14:val="tx1"/>
                  </w14:solidFill>
                </w14:textFill>
              </w:rPr>
              <w:t>t/a。</w:t>
            </w:r>
          </w:p>
          <w:p w14:paraId="5E32D4C1">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单位生产经验，项目每天调漆时长约1h，喷漆时长约6h，烘干时长约4h，则年调漆时长300h，年喷漆时长1800h，年烘干时长1200h。挥发性有机物约5%在调漆过程中挥发，25%在喷漆过程中挥发，70%在烘干过程中挥发，则调漆过程中有机废气（以非甲烷总烃计）产生量约0.123t/a，喷漆过程中有机废气（以非甲烷总烃计）产生量约0.612t/a，烘干过程中有机废气（以非甲烷总烃计）产生量约1.714t/a。在第一批球拍进行烘干时，会同步进行第二批球拍的调漆、喷漆工序。</w:t>
            </w:r>
          </w:p>
          <w:p w14:paraId="4803469F">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本项目喷漆房</w:t>
            </w:r>
            <w:r>
              <w:rPr>
                <w:rFonts w:hint="eastAsia"/>
                <w:color w:val="000000" w:themeColor="text1"/>
                <w:sz w:val="24"/>
                <w14:textFill>
                  <w14:solidFill>
                    <w14:schemeClr w14:val="tx1"/>
                  </w14:solidFill>
                </w14:textFill>
              </w:rPr>
              <w:t>、烘干房</w:t>
            </w:r>
            <w:r>
              <w:rPr>
                <w:color w:val="000000" w:themeColor="text1"/>
                <w:sz w:val="24"/>
                <w14:textFill>
                  <w14:solidFill>
                    <w14:schemeClr w14:val="tx1"/>
                  </w14:solidFill>
                </w14:textFill>
              </w:rPr>
              <w:t>为密闭式操作空间，</w:t>
            </w:r>
            <w:r>
              <w:rPr>
                <w:rFonts w:hint="eastAsia"/>
                <w:color w:val="000000" w:themeColor="text1"/>
                <w:sz w:val="24"/>
                <w14:textFill>
                  <w14:solidFill>
                    <w14:schemeClr w14:val="tx1"/>
                  </w14:solidFill>
                </w14:textFill>
              </w:rPr>
              <w:t>调漆、</w:t>
            </w:r>
            <w:r>
              <w:rPr>
                <w:rFonts w:hint="eastAsia" w:eastAsiaTheme="minorEastAsia"/>
                <w:color w:val="000000" w:themeColor="text1"/>
                <w:sz w:val="24"/>
                <w14:textFill>
                  <w14:solidFill>
                    <w14:schemeClr w14:val="tx1"/>
                  </w14:solidFill>
                </w14:textFill>
              </w:rPr>
              <w:t>喷漆废气密闭负压收集后经“水帘柜+过滤棉”预处理后与密闭负压收集的烘干废气一并经“活性炭吸附脱附+小型催化燃烧装置”处理</w:t>
            </w:r>
            <w:r>
              <w:rPr>
                <w:color w:val="000000" w:themeColor="text1"/>
                <w:sz w:val="24"/>
                <w14:textFill>
                  <w14:solidFill>
                    <w14:schemeClr w14:val="tx1"/>
                  </w14:solidFill>
                </w14:textFill>
              </w:rPr>
              <w:t>，处理后通过1根15m高排气筒（DA001）排放。密闭负压收集效率为90%，活性炭吸附</w:t>
            </w:r>
            <w:r>
              <w:rPr>
                <w:rFonts w:hint="eastAsia"/>
                <w:color w:val="000000" w:themeColor="text1"/>
                <w:sz w:val="24"/>
                <w14:textFill>
                  <w14:solidFill>
                    <w14:schemeClr w14:val="tx1"/>
                  </w14:solidFill>
                </w14:textFill>
              </w:rPr>
              <w:t>脱附+小型催化燃烧装置</w:t>
            </w:r>
            <w:r>
              <w:rPr>
                <w:color w:val="000000" w:themeColor="text1"/>
                <w:sz w:val="24"/>
                <w14:textFill>
                  <w14:solidFill>
                    <w14:schemeClr w14:val="tx1"/>
                  </w14:solidFill>
                </w14:textFill>
              </w:rPr>
              <w:t>对非甲烷总烃处理效率为</w:t>
            </w:r>
            <w:r>
              <w:rPr>
                <w:rFonts w:hint="eastAsia"/>
                <w:color w:val="000000" w:themeColor="text1"/>
                <w:sz w:val="24"/>
                <w14:textFill>
                  <w14:solidFill>
                    <w14:schemeClr w14:val="tx1"/>
                  </w14:solidFill>
                </w14:textFill>
              </w:rPr>
              <w:t>60</w:t>
            </w:r>
            <w:r>
              <w:rPr>
                <w:color w:val="000000" w:themeColor="text1"/>
                <w:sz w:val="24"/>
                <w14:textFill>
                  <w14:solidFill>
                    <w14:schemeClr w14:val="tx1"/>
                  </w14:solidFill>
                </w14:textFill>
              </w:rPr>
              <w:t>%（参照《主要污染物总量减排核算技术指南》（2022年修订）表2-3  VOC</w:t>
            </w:r>
            <w:r>
              <w:rPr>
                <w:color w:val="000000" w:themeColor="text1"/>
                <w:sz w:val="24"/>
                <w:vertAlign w:val="subscript"/>
                <w14:textFill>
                  <w14:solidFill>
                    <w14:schemeClr w14:val="tx1"/>
                  </w14:solidFill>
                </w14:textFill>
              </w:rPr>
              <w:t>S</w:t>
            </w:r>
            <w:r>
              <w:rPr>
                <w:color w:val="000000" w:themeColor="text1"/>
                <w:sz w:val="24"/>
                <w14:textFill>
                  <w14:solidFill>
                    <w14:schemeClr w14:val="tx1"/>
                  </w14:solidFill>
                </w14:textFill>
              </w:rPr>
              <w:t>废气收集率和治理设施去除率通用系数），风机</w:t>
            </w:r>
            <w:r>
              <w:rPr>
                <w:rFonts w:hint="eastAsia"/>
                <w:color w:val="000000" w:themeColor="text1"/>
                <w:sz w:val="24"/>
                <w14:textFill>
                  <w14:solidFill>
                    <w14:schemeClr w14:val="tx1"/>
                  </w14:solidFill>
                </w14:textFill>
              </w:rPr>
              <w:t>总</w:t>
            </w:r>
            <w:r>
              <w:rPr>
                <w:color w:val="000000" w:themeColor="text1"/>
                <w:sz w:val="24"/>
                <w14:textFill>
                  <w14:solidFill>
                    <w14:schemeClr w14:val="tx1"/>
                  </w14:solidFill>
                </w14:textFill>
              </w:rPr>
              <w:t>风量</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p>
          <w:p w14:paraId="40B90DD0">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经计算，本项目</w:t>
            </w:r>
            <w:r>
              <w:rPr>
                <w:rFonts w:hint="eastAsia"/>
                <w:color w:val="000000" w:themeColor="text1"/>
                <w:sz w:val="24"/>
                <w14:textFill>
                  <w14:solidFill>
                    <w14:schemeClr w14:val="tx1"/>
                  </w14:solidFill>
                </w14:textFill>
              </w:rPr>
              <w:t>调漆</w:t>
            </w:r>
            <w:r>
              <w:rPr>
                <w:color w:val="000000" w:themeColor="text1"/>
                <w:sz w:val="24"/>
                <w14:textFill>
                  <w14:solidFill>
                    <w14:schemeClr w14:val="tx1"/>
                  </w14:solidFill>
                </w14:textFill>
              </w:rPr>
              <w:t>废气非甲烷总烃有组织收集量为</w:t>
            </w:r>
            <w:r>
              <w:rPr>
                <w:rFonts w:hint="eastAsia"/>
                <w:color w:val="000000" w:themeColor="text1"/>
                <w:sz w:val="24"/>
                <w14:textFill>
                  <w14:solidFill>
                    <w14:schemeClr w14:val="tx1"/>
                  </w14:solidFill>
                </w14:textFill>
              </w:rPr>
              <w:t>0.110</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367</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24.444</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废气非甲烷总烃有组织收集量为</w:t>
            </w:r>
            <w:r>
              <w:rPr>
                <w:rFonts w:hint="eastAsia"/>
                <w:color w:val="000000" w:themeColor="text1"/>
                <w:sz w:val="24"/>
                <w14:textFill>
                  <w14:solidFill>
                    <w14:schemeClr w14:val="tx1"/>
                  </w14:solidFill>
                </w14:textFill>
              </w:rPr>
              <w:t>0.551</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306</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20.407</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烘干</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非甲烷总烃</w:t>
            </w:r>
            <w:r>
              <w:rPr>
                <w:color w:val="000000" w:themeColor="text1"/>
                <w:sz w:val="24"/>
                <w14:textFill>
                  <w14:solidFill>
                    <w14:schemeClr w14:val="tx1"/>
                  </w14:solidFill>
                </w14:textFill>
              </w:rPr>
              <w:t>有组织收集量为</w:t>
            </w:r>
            <w:r>
              <w:rPr>
                <w:rFonts w:hint="eastAsia"/>
                <w:color w:val="000000" w:themeColor="text1"/>
                <w:sz w:val="24"/>
                <w14:textFill>
                  <w14:solidFill>
                    <w14:schemeClr w14:val="tx1"/>
                  </w14:solidFill>
                </w14:textFill>
              </w:rPr>
              <w:t>1.543</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1.286</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85.722</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，喷漆房废气非甲烷总烃有组织收集量合计为2.204t/a（最大产生速率为1.959kg/h），最大产生浓度为130.573</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。调漆、喷漆废气经“水帘柜+过滤棉”预处理后与密闭负压收集的烘干废气一并经“活性炭吸附脱附+小型催化燃烧装置”处理</w:t>
            </w:r>
            <w:r>
              <w:rPr>
                <w:color w:val="000000" w:themeColor="text1"/>
                <w:sz w:val="24"/>
                <w14:textFill>
                  <w14:solidFill>
                    <w14:schemeClr w14:val="tx1"/>
                  </w14:solidFill>
                </w14:textFill>
              </w:rPr>
              <w:t>，经计算，处理后本项目</w:t>
            </w:r>
            <w:r>
              <w:rPr>
                <w:rFonts w:hint="eastAsia"/>
                <w:color w:val="000000" w:themeColor="text1"/>
                <w:sz w:val="24"/>
                <w14:textFill>
                  <w14:solidFill>
                    <w14:schemeClr w14:val="tx1"/>
                  </w14:solidFill>
                </w14:textFill>
              </w:rPr>
              <w:t>调漆</w:t>
            </w:r>
            <w:r>
              <w:rPr>
                <w:color w:val="000000" w:themeColor="text1"/>
                <w:sz w:val="24"/>
                <w14:textFill>
                  <w14:solidFill>
                    <w14:schemeClr w14:val="tx1"/>
                  </w14:solidFill>
                </w14:textFill>
              </w:rPr>
              <w:t>废气非甲烷总烃有组织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0.044</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147</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9.778</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废气非甲烷总烃有组织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0.221</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123</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8.185</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烘干</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非甲烷总烃</w:t>
            </w:r>
            <w:r>
              <w:rPr>
                <w:color w:val="000000" w:themeColor="text1"/>
                <w:sz w:val="24"/>
                <w14:textFill>
                  <w14:solidFill>
                    <w14:schemeClr w14:val="tx1"/>
                  </w14:solidFill>
                </w14:textFill>
              </w:rPr>
              <w:t>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0.617</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0.514</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34.278</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，喷漆房废气非甲烷总烃有组织排放量合计为0.882t/a（最大排放速率为0.784kg/h），最大排放浓度为52.241</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p>
          <w:p w14:paraId="305947C3">
            <w:pPr>
              <w:pStyle w:val="2"/>
              <w:ind w:firstLine="480"/>
              <w:rPr>
                <w:b w:val="0"/>
                <w:bCs/>
                <w:color w:val="000000" w:themeColor="text1"/>
                <w:lang w:val="en-US"/>
                <w14:textFill>
                  <w14:solidFill>
                    <w14:schemeClr w14:val="tx1"/>
                  </w14:solidFill>
                </w14:textFill>
              </w:rPr>
            </w:pPr>
            <w:r>
              <w:rPr>
                <w:b w:val="0"/>
                <w:bCs/>
                <w:color w:val="000000" w:themeColor="text1"/>
                <w14:textFill>
                  <w14:solidFill>
                    <w14:schemeClr w14:val="tx1"/>
                  </w14:solidFill>
                </w14:textFill>
              </w:rPr>
              <w:t>对于未能收集喷漆</w:t>
            </w:r>
            <w:r>
              <w:rPr>
                <w:rFonts w:hint="eastAsia"/>
                <w:b w:val="0"/>
                <w:bCs/>
                <w:color w:val="000000" w:themeColor="text1"/>
                <w14:textFill>
                  <w14:solidFill>
                    <w14:schemeClr w14:val="tx1"/>
                  </w14:solidFill>
                </w14:textFill>
              </w:rPr>
              <w:t>房</w:t>
            </w:r>
            <w:r>
              <w:rPr>
                <w:b w:val="0"/>
                <w:bCs/>
                <w:color w:val="000000" w:themeColor="text1"/>
                <w14:textFill>
                  <w14:solidFill>
                    <w14:schemeClr w14:val="tx1"/>
                  </w14:solidFill>
                </w14:textFill>
              </w:rPr>
              <w:t>废气则在车间内无组织排放，建设单位通过加强喷漆房密闭</w:t>
            </w:r>
            <w:r>
              <w:rPr>
                <w:rFonts w:hint="eastAsia"/>
                <w:b w:val="0"/>
                <w:bCs/>
                <w:color w:val="000000" w:themeColor="text1"/>
                <w14:textFill>
                  <w14:solidFill>
                    <w14:schemeClr w14:val="tx1"/>
                  </w14:solidFill>
                </w14:textFill>
              </w:rPr>
              <w:t>、烘干房密闭</w:t>
            </w:r>
            <w:r>
              <w:rPr>
                <w:b w:val="0"/>
                <w:bCs/>
                <w:color w:val="000000" w:themeColor="text1"/>
                <w14:textFill>
                  <w14:solidFill>
                    <w14:schemeClr w14:val="tx1"/>
                  </w14:solidFill>
                </w14:textFill>
              </w:rPr>
              <w:t>、车间通风等措施进行抑制。本项目</w:t>
            </w:r>
            <w:r>
              <w:rPr>
                <w:rFonts w:hint="eastAsia"/>
                <w:b w:val="0"/>
                <w:bCs/>
                <w:color w:val="000000" w:themeColor="text1"/>
                <w14:textFill>
                  <w14:solidFill>
                    <w14:schemeClr w14:val="tx1"/>
                  </w14:solidFill>
                </w14:textFill>
              </w:rPr>
              <w:t>调漆</w:t>
            </w:r>
            <w:r>
              <w:rPr>
                <w:b w:val="0"/>
                <w:bCs/>
                <w:color w:val="000000" w:themeColor="text1"/>
                <w14:textFill>
                  <w14:solidFill>
                    <w14:schemeClr w14:val="tx1"/>
                  </w14:solidFill>
                </w14:textFill>
              </w:rPr>
              <w:t>废气非甲烷总烃</w:t>
            </w:r>
            <w:r>
              <w:rPr>
                <w:rFonts w:hint="eastAsia"/>
                <w:b w:val="0"/>
                <w:bCs/>
                <w:color w:val="000000" w:themeColor="text1"/>
                <w14:textFill>
                  <w14:solidFill>
                    <w14:schemeClr w14:val="tx1"/>
                  </w14:solidFill>
                </w14:textFill>
              </w:rPr>
              <w:t>无</w:t>
            </w:r>
            <w:r>
              <w:rPr>
                <w:b w:val="0"/>
                <w:bCs/>
                <w:color w:val="000000" w:themeColor="text1"/>
                <w14:textFill>
                  <w14:solidFill>
                    <w14:schemeClr w14:val="tx1"/>
                  </w14:solidFill>
                </w14:textFill>
              </w:rPr>
              <w:t>组织</w:t>
            </w:r>
            <w:r>
              <w:rPr>
                <w:rFonts w:hint="eastAsia"/>
                <w:b w:val="0"/>
                <w:bCs/>
                <w:color w:val="000000" w:themeColor="text1"/>
                <w14:textFill>
                  <w14:solidFill>
                    <w14:schemeClr w14:val="tx1"/>
                  </w14:solidFill>
                </w14:textFill>
              </w:rPr>
              <w:t>排放</w:t>
            </w:r>
            <w:r>
              <w:rPr>
                <w:b w:val="0"/>
                <w:bCs/>
                <w:color w:val="000000" w:themeColor="text1"/>
                <w14:textFill>
                  <w14:solidFill>
                    <w14:schemeClr w14:val="tx1"/>
                  </w14:solidFill>
                </w14:textFill>
              </w:rPr>
              <w:t>量为</w:t>
            </w:r>
            <w:r>
              <w:rPr>
                <w:rFonts w:hint="eastAsia"/>
                <w:b w:val="0"/>
                <w:bCs/>
                <w:color w:val="000000" w:themeColor="text1"/>
                <w14:textFill>
                  <w14:solidFill>
                    <w14:schemeClr w14:val="tx1"/>
                  </w14:solidFill>
                </w14:textFill>
              </w:rPr>
              <w:t>0.013</w:t>
            </w:r>
            <w:r>
              <w:rPr>
                <w:b w:val="0"/>
                <w:bCs/>
                <w:color w:val="000000" w:themeColor="text1"/>
                <w14:textFill>
                  <w14:solidFill>
                    <w14:schemeClr w14:val="tx1"/>
                  </w14:solidFill>
                </w14:textFill>
              </w:rPr>
              <w:t>t/a（0.</w:t>
            </w:r>
            <w:r>
              <w:rPr>
                <w:rFonts w:hint="eastAsia"/>
                <w:b w:val="0"/>
                <w:bCs/>
                <w:color w:val="000000" w:themeColor="text1"/>
                <w14:textFill>
                  <w14:solidFill>
                    <w14:schemeClr w14:val="tx1"/>
                  </w14:solidFill>
                </w14:textFill>
              </w:rPr>
              <w:t>043</w:t>
            </w:r>
            <w:r>
              <w:rPr>
                <w:b w:val="0"/>
                <w:bCs/>
                <w:color w:val="000000" w:themeColor="text1"/>
                <w14:textFill>
                  <w14:solidFill>
                    <w14:schemeClr w14:val="tx1"/>
                  </w14:solidFill>
                </w14:textFill>
              </w:rPr>
              <w:t>kg/h），</w:t>
            </w:r>
            <w:r>
              <w:rPr>
                <w:rFonts w:hint="eastAsia"/>
                <w:b w:val="0"/>
                <w:bCs/>
                <w:color w:val="000000" w:themeColor="text1"/>
                <w14:textFill>
                  <w14:solidFill>
                    <w14:schemeClr w14:val="tx1"/>
                  </w14:solidFill>
                </w14:textFill>
              </w:rPr>
              <w:t>喷漆</w:t>
            </w:r>
            <w:r>
              <w:rPr>
                <w:b w:val="0"/>
                <w:bCs/>
                <w:color w:val="000000" w:themeColor="text1"/>
                <w14:textFill>
                  <w14:solidFill>
                    <w14:schemeClr w14:val="tx1"/>
                  </w14:solidFill>
                </w14:textFill>
              </w:rPr>
              <w:t>废气非甲烷总烃</w:t>
            </w:r>
            <w:r>
              <w:rPr>
                <w:rFonts w:hint="eastAsia"/>
                <w:b w:val="0"/>
                <w:bCs/>
                <w:color w:val="000000" w:themeColor="text1"/>
                <w14:textFill>
                  <w14:solidFill>
                    <w14:schemeClr w14:val="tx1"/>
                  </w14:solidFill>
                </w14:textFill>
              </w:rPr>
              <w:t>无</w:t>
            </w:r>
            <w:r>
              <w:rPr>
                <w:b w:val="0"/>
                <w:bCs/>
                <w:color w:val="000000" w:themeColor="text1"/>
                <w14:textFill>
                  <w14:solidFill>
                    <w14:schemeClr w14:val="tx1"/>
                  </w14:solidFill>
                </w14:textFill>
              </w:rPr>
              <w:t>组织</w:t>
            </w:r>
            <w:r>
              <w:rPr>
                <w:rFonts w:hint="eastAsia"/>
                <w:b w:val="0"/>
                <w:bCs/>
                <w:color w:val="000000" w:themeColor="text1"/>
                <w14:textFill>
                  <w14:solidFill>
                    <w14:schemeClr w14:val="tx1"/>
                  </w14:solidFill>
                </w14:textFill>
              </w:rPr>
              <w:t>排放</w:t>
            </w:r>
            <w:r>
              <w:rPr>
                <w:b w:val="0"/>
                <w:bCs/>
                <w:color w:val="000000" w:themeColor="text1"/>
                <w14:textFill>
                  <w14:solidFill>
                    <w14:schemeClr w14:val="tx1"/>
                  </w14:solidFill>
                </w14:textFill>
              </w:rPr>
              <w:t>量为</w:t>
            </w:r>
            <w:r>
              <w:rPr>
                <w:rFonts w:hint="eastAsia"/>
                <w:b w:val="0"/>
                <w:bCs/>
                <w:color w:val="000000" w:themeColor="text1"/>
                <w14:textFill>
                  <w14:solidFill>
                    <w14:schemeClr w14:val="tx1"/>
                  </w14:solidFill>
                </w14:textFill>
              </w:rPr>
              <w:t>0.061</w:t>
            </w:r>
            <w:r>
              <w:rPr>
                <w:b w:val="0"/>
                <w:bCs/>
                <w:color w:val="000000" w:themeColor="text1"/>
                <w14:textFill>
                  <w14:solidFill>
                    <w14:schemeClr w14:val="tx1"/>
                  </w14:solidFill>
                </w14:textFill>
              </w:rPr>
              <w:t>t/a（</w:t>
            </w:r>
            <w:r>
              <w:rPr>
                <w:rFonts w:hint="eastAsia"/>
                <w:b w:val="0"/>
                <w:bCs/>
                <w:color w:val="000000" w:themeColor="text1"/>
                <w14:textFill>
                  <w14:solidFill>
                    <w14:schemeClr w14:val="tx1"/>
                  </w14:solidFill>
                </w14:textFill>
              </w:rPr>
              <w:t>0.034</w:t>
            </w:r>
            <w:r>
              <w:rPr>
                <w:b w:val="0"/>
                <w:bCs/>
                <w:color w:val="000000" w:themeColor="text1"/>
                <w14:textFill>
                  <w14:solidFill>
                    <w14:schemeClr w14:val="tx1"/>
                  </w14:solidFill>
                </w14:textFill>
              </w:rPr>
              <w:t>kg/h），</w:t>
            </w:r>
            <w:r>
              <w:rPr>
                <w:rFonts w:hint="eastAsia"/>
                <w:b w:val="0"/>
                <w:bCs/>
                <w:color w:val="000000" w:themeColor="text1"/>
                <w14:textFill>
                  <w14:solidFill>
                    <w14:schemeClr w14:val="tx1"/>
                  </w14:solidFill>
                </w14:textFill>
              </w:rPr>
              <w:t>烘干</w:t>
            </w:r>
            <w:r>
              <w:rPr>
                <w:b w:val="0"/>
                <w:bCs/>
                <w:color w:val="000000" w:themeColor="text1"/>
                <w14:textFill>
                  <w14:solidFill>
                    <w14:schemeClr w14:val="tx1"/>
                  </w14:solidFill>
                </w14:textFill>
              </w:rPr>
              <w:t>废气</w:t>
            </w:r>
            <w:r>
              <w:rPr>
                <w:rFonts w:hint="eastAsia"/>
                <w:b w:val="0"/>
                <w:bCs/>
                <w:color w:val="000000" w:themeColor="text1"/>
                <w14:textFill>
                  <w14:solidFill>
                    <w14:schemeClr w14:val="tx1"/>
                  </w14:solidFill>
                </w14:textFill>
              </w:rPr>
              <w:t>非甲烷总烃无</w:t>
            </w:r>
            <w:r>
              <w:rPr>
                <w:b w:val="0"/>
                <w:bCs/>
                <w:color w:val="000000" w:themeColor="text1"/>
                <w14:textFill>
                  <w14:solidFill>
                    <w14:schemeClr w14:val="tx1"/>
                  </w14:solidFill>
                </w14:textFill>
              </w:rPr>
              <w:t>组织</w:t>
            </w:r>
            <w:r>
              <w:rPr>
                <w:rFonts w:hint="eastAsia"/>
                <w:b w:val="0"/>
                <w:bCs/>
                <w:color w:val="000000" w:themeColor="text1"/>
                <w14:textFill>
                  <w14:solidFill>
                    <w14:schemeClr w14:val="tx1"/>
                  </w14:solidFill>
                </w14:textFill>
              </w:rPr>
              <w:t>排放</w:t>
            </w:r>
            <w:r>
              <w:rPr>
                <w:b w:val="0"/>
                <w:bCs/>
                <w:color w:val="000000" w:themeColor="text1"/>
                <w14:textFill>
                  <w14:solidFill>
                    <w14:schemeClr w14:val="tx1"/>
                  </w14:solidFill>
                </w14:textFill>
              </w:rPr>
              <w:t>量为</w:t>
            </w:r>
            <w:r>
              <w:rPr>
                <w:rFonts w:hint="eastAsia"/>
                <w:b w:val="0"/>
                <w:bCs/>
                <w:color w:val="000000" w:themeColor="text1"/>
                <w14:textFill>
                  <w14:solidFill>
                    <w14:schemeClr w14:val="tx1"/>
                  </w14:solidFill>
                </w14:textFill>
              </w:rPr>
              <w:t>0.171</w:t>
            </w:r>
            <w:r>
              <w:rPr>
                <w:b w:val="0"/>
                <w:bCs/>
                <w:color w:val="000000" w:themeColor="text1"/>
                <w14:textFill>
                  <w14:solidFill>
                    <w14:schemeClr w14:val="tx1"/>
                  </w14:solidFill>
                </w14:textFill>
              </w:rPr>
              <w:t>t/a（</w:t>
            </w:r>
            <w:r>
              <w:rPr>
                <w:rFonts w:hint="eastAsia"/>
                <w:b w:val="0"/>
                <w:bCs/>
                <w:color w:val="000000" w:themeColor="text1"/>
                <w14:textFill>
                  <w14:solidFill>
                    <w14:schemeClr w14:val="tx1"/>
                  </w14:solidFill>
                </w14:textFill>
              </w:rPr>
              <w:t>0.143</w:t>
            </w:r>
            <w:r>
              <w:rPr>
                <w:b w:val="0"/>
                <w:bCs/>
                <w:color w:val="000000" w:themeColor="text1"/>
                <w14:textFill>
                  <w14:solidFill>
                    <w14:schemeClr w14:val="tx1"/>
                  </w14:solidFill>
                </w14:textFill>
              </w:rPr>
              <w:t>kg/h），</w:t>
            </w:r>
            <w:r>
              <w:rPr>
                <w:rFonts w:hint="eastAsia"/>
                <w:b w:val="0"/>
                <w:bCs/>
                <w:color w:val="000000" w:themeColor="text1"/>
                <w14:textFill>
                  <w14:solidFill>
                    <w14:schemeClr w14:val="tx1"/>
                  </w14:solidFill>
                </w14:textFill>
              </w:rPr>
              <w:t>喷漆房废气非甲烷总烃无组织排放量合计为0.245t/a（最大排放速率为0.22kg/h）</w:t>
            </w:r>
            <w:r>
              <w:rPr>
                <w:b w:val="0"/>
                <w:bCs/>
                <w:color w:val="000000" w:themeColor="text1"/>
                <w14:textFill>
                  <w14:solidFill>
                    <w14:schemeClr w14:val="tx1"/>
                  </w14:solidFill>
                </w14:textFill>
              </w:rPr>
              <w:t>。</w:t>
            </w:r>
          </w:p>
          <w:p w14:paraId="5F18CD19">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3）二甲苯</w:t>
            </w:r>
          </w:p>
          <w:p w14:paraId="558121E1">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根据建设单位提供资料，项目稀释剂中含有一定量的二甲苯（稀释剂二甲苯含量约</w:t>
            </w:r>
            <w:r>
              <w:rPr>
                <w:rFonts w:hint="eastAsia"/>
                <w:color w:val="000000" w:themeColor="text1"/>
                <w:sz w:val="24"/>
                <w14:textFill>
                  <w14:solidFill>
                    <w14:schemeClr w14:val="tx1"/>
                  </w14:solidFill>
                </w14:textFill>
              </w:rPr>
              <w:t>23</w:t>
            </w:r>
            <w:r>
              <w:rPr>
                <w:color w:val="000000" w:themeColor="text1"/>
                <w:sz w:val="24"/>
                <w14:textFill>
                  <w14:solidFill>
                    <w14:schemeClr w14:val="tx1"/>
                  </w14:solidFill>
                </w14:textFill>
              </w:rPr>
              <w:t>%）。污染物二甲苯按最不理想计，即100%挥发进入大气，则项目废气污染物二甲苯产生量约为0.</w:t>
            </w:r>
            <w:r>
              <w:rPr>
                <w:rFonts w:hint="eastAsia"/>
                <w:color w:val="000000" w:themeColor="text1"/>
                <w:sz w:val="24"/>
                <w14:textFill>
                  <w14:solidFill>
                    <w14:schemeClr w14:val="tx1"/>
                  </w14:solidFill>
                </w14:textFill>
              </w:rPr>
              <w:t>324</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根据前述分析，挥发性有机物约5%在调漆过程中挥发，25%在喷漆过程中挥发，70%在烘干过程中挥发，则调漆过程中二甲苯产生量约0.016t/a，喷漆过程中二甲苯产生量约0.081t/a，烘干过程中二甲苯产生量约0.227t/a。</w:t>
            </w:r>
          </w:p>
          <w:p w14:paraId="55FDA0DC">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本项目喷漆房</w:t>
            </w:r>
            <w:r>
              <w:rPr>
                <w:rFonts w:hint="eastAsia"/>
                <w:color w:val="000000" w:themeColor="text1"/>
                <w:sz w:val="24"/>
                <w14:textFill>
                  <w14:solidFill>
                    <w14:schemeClr w14:val="tx1"/>
                  </w14:solidFill>
                </w14:textFill>
              </w:rPr>
              <w:t>、烘干房</w:t>
            </w:r>
            <w:r>
              <w:rPr>
                <w:color w:val="000000" w:themeColor="text1"/>
                <w:sz w:val="24"/>
                <w14:textFill>
                  <w14:solidFill>
                    <w14:schemeClr w14:val="tx1"/>
                  </w14:solidFill>
                </w14:textFill>
              </w:rPr>
              <w:t>为密闭式操作空间，</w:t>
            </w:r>
            <w:r>
              <w:rPr>
                <w:rFonts w:hint="eastAsia"/>
                <w:color w:val="000000" w:themeColor="text1"/>
                <w:sz w:val="24"/>
                <w14:textFill>
                  <w14:solidFill>
                    <w14:schemeClr w14:val="tx1"/>
                  </w14:solidFill>
                </w14:textFill>
              </w:rPr>
              <w:t>调漆、</w:t>
            </w:r>
            <w:r>
              <w:rPr>
                <w:rFonts w:hint="eastAsia" w:eastAsiaTheme="minorEastAsia"/>
                <w:color w:val="000000" w:themeColor="text1"/>
                <w:sz w:val="24"/>
                <w14:textFill>
                  <w14:solidFill>
                    <w14:schemeClr w14:val="tx1"/>
                  </w14:solidFill>
                </w14:textFill>
              </w:rPr>
              <w:t>喷漆废气密闭负压收集后经“水帘柜+过滤棉”预处理后与密闭负压收集的烘干废气一并经“活性炭吸附脱附+小型催化燃烧装置”处理</w:t>
            </w:r>
            <w:r>
              <w:rPr>
                <w:color w:val="000000" w:themeColor="text1"/>
                <w:sz w:val="24"/>
                <w14:textFill>
                  <w14:solidFill>
                    <w14:schemeClr w14:val="tx1"/>
                  </w14:solidFill>
                </w14:textFill>
              </w:rPr>
              <w:t>，处理后通过1根15m高排气筒（DA001）排放。密闭负压收集效率为90%，活性炭吸附</w:t>
            </w:r>
            <w:r>
              <w:rPr>
                <w:rFonts w:hint="eastAsia"/>
                <w:color w:val="000000" w:themeColor="text1"/>
                <w:sz w:val="24"/>
                <w14:textFill>
                  <w14:solidFill>
                    <w14:schemeClr w14:val="tx1"/>
                  </w14:solidFill>
                </w14:textFill>
              </w:rPr>
              <w:t>脱附+小型催化燃烧装置</w:t>
            </w:r>
            <w:r>
              <w:rPr>
                <w:color w:val="000000" w:themeColor="text1"/>
                <w:sz w:val="24"/>
                <w14:textFill>
                  <w14:solidFill>
                    <w14:schemeClr w14:val="tx1"/>
                  </w14:solidFill>
                </w14:textFill>
              </w:rPr>
              <w:t>对二甲苯处理效率为</w:t>
            </w:r>
            <w:r>
              <w:rPr>
                <w:rFonts w:hint="eastAsia"/>
                <w:color w:val="000000" w:themeColor="text1"/>
                <w:sz w:val="24"/>
                <w14:textFill>
                  <w14:solidFill>
                    <w14:schemeClr w14:val="tx1"/>
                  </w14:solidFill>
                </w14:textFill>
              </w:rPr>
              <w:t>60</w:t>
            </w:r>
            <w:r>
              <w:rPr>
                <w:color w:val="000000" w:themeColor="text1"/>
                <w:sz w:val="24"/>
                <w14:textFill>
                  <w14:solidFill>
                    <w14:schemeClr w14:val="tx1"/>
                  </w14:solidFill>
                </w14:textFill>
              </w:rPr>
              <w:t>%（参照《主要污染物总量减排核算技术指南》（2022年修订）表2-3  VOC</w:t>
            </w:r>
            <w:r>
              <w:rPr>
                <w:color w:val="000000" w:themeColor="text1"/>
                <w:sz w:val="24"/>
                <w:vertAlign w:val="subscript"/>
                <w14:textFill>
                  <w14:solidFill>
                    <w14:schemeClr w14:val="tx1"/>
                  </w14:solidFill>
                </w14:textFill>
              </w:rPr>
              <w:t>S</w:t>
            </w:r>
            <w:r>
              <w:rPr>
                <w:color w:val="000000" w:themeColor="text1"/>
                <w:sz w:val="24"/>
                <w14:textFill>
                  <w14:solidFill>
                    <w14:schemeClr w14:val="tx1"/>
                  </w14:solidFill>
                </w14:textFill>
              </w:rPr>
              <w:t>废气收集率和治理设施去除率通用系数），风机</w:t>
            </w:r>
            <w:r>
              <w:rPr>
                <w:rFonts w:hint="eastAsia"/>
                <w:color w:val="000000" w:themeColor="text1"/>
                <w:sz w:val="24"/>
                <w14:textFill>
                  <w14:solidFill>
                    <w14:schemeClr w14:val="tx1"/>
                  </w14:solidFill>
                </w14:textFill>
              </w:rPr>
              <w:t>总</w:t>
            </w:r>
            <w:r>
              <w:rPr>
                <w:color w:val="000000" w:themeColor="text1"/>
                <w:sz w:val="24"/>
                <w14:textFill>
                  <w14:solidFill>
                    <w14:schemeClr w14:val="tx1"/>
                  </w14:solidFill>
                </w14:textFill>
              </w:rPr>
              <w:t>风量</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p>
          <w:p w14:paraId="59166C33">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经计算，本项目</w:t>
            </w:r>
            <w:r>
              <w:rPr>
                <w:rFonts w:hint="eastAsia"/>
                <w:color w:val="000000" w:themeColor="text1"/>
                <w:sz w:val="24"/>
                <w14:textFill>
                  <w14:solidFill>
                    <w14:schemeClr w14:val="tx1"/>
                  </w14:solidFill>
                </w14:textFill>
              </w:rPr>
              <w:t>调漆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有组织收集量为</w:t>
            </w:r>
            <w:r>
              <w:rPr>
                <w:rFonts w:hint="eastAsia"/>
                <w:color w:val="000000" w:themeColor="text1"/>
                <w:sz w:val="24"/>
                <w14:textFill>
                  <w14:solidFill>
                    <w14:schemeClr w14:val="tx1"/>
                  </w14:solidFill>
                </w14:textFill>
              </w:rPr>
              <w:t>0.015</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0.05</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3.333</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有组织收集量为</w:t>
            </w:r>
            <w:r>
              <w:rPr>
                <w:rFonts w:hint="eastAsia"/>
                <w:color w:val="000000" w:themeColor="text1"/>
                <w:sz w:val="24"/>
                <w14:textFill>
                  <w14:solidFill>
                    <w14:schemeClr w14:val="tx1"/>
                  </w14:solidFill>
                </w14:textFill>
              </w:rPr>
              <w:t>0.073</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041</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2.704</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烘干</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有组织收集量为</w:t>
            </w:r>
            <w:r>
              <w:rPr>
                <w:rFonts w:hint="eastAsia"/>
                <w:color w:val="000000" w:themeColor="text1"/>
                <w:sz w:val="24"/>
                <w14:textFill>
                  <w14:solidFill>
                    <w14:schemeClr w14:val="tx1"/>
                  </w14:solidFill>
                </w14:textFill>
              </w:rPr>
              <w:t>0.204</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0.17</w:t>
            </w:r>
            <w:r>
              <w:rPr>
                <w:color w:val="000000" w:themeColor="text1"/>
                <w:sz w:val="24"/>
                <w14:textFill>
                  <w14:solidFill>
                    <w14:schemeClr w14:val="tx1"/>
                  </w14:solidFill>
                </w14:textFill>
              </w:rPr>
              <w:t>kg/h），产生浓度</w:t>
            </w:r>
            <w:r>
              <w:rPr>
                <w:rFonts w:hint="eastAsia"/>
                <w:color w:val="000000" w:themeColor="text1"/>
                <w:sz w:val="24"/>
                <w14:textFill>
                  <w14:solidFill>
                    <w14:schemeClr w14:val="tx1"/>
                  </w14:solidFill>
                </w14:textFill>
              </w:rPr>
              <w:t>11.333</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，喷漆房废气二甲苯有组织收集量合计为0.292t/a（最大产生速率为0.261kg/h），最大产生浓度为17.37</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。调漆、喷漆废气经“水帘柜+过滤棉”预处理后与密闭负压收集的烘干废气一并经“活性炭吸附脱附+小型催化燃烧装置”处理</w:t>
            </w:r>
            <w:r>
              <w:rPr>
                <w:color w:val="000000" w:themeColor="text1"/>
                <w:sz w:val="24"/>
                <w14:textFill>
                  <w14:solidFill>
                    <w14:schemeClr w14:val="tx1"/>
                  </w14:solidFill>
                </w14:textFill>
              </w:rPr>
              <w:t>，经计算，处理后本项目</w:t>
            </w:r>
            <w:r>
              <w:rPr>
                <w:rFonts w:hint="eastAsia"/>
                <w:color w:val="000000" w:themeColor="text1"/>
                <w:sz w:val="24"/>
                <w14:textFill>
                  <w14:solidFill>
                    <w14:schemeClr w14:val="tx1"/>
                  </w14:solidFill>
                </w14:textFill>
              </w:rPr>
              <w:t>调漆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0.006</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02</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1.333</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0.029</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016</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1.074</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烘干</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w:t>
            </w:r>
            <w:r>
              <w:rPr>
                <w:color w:val="000000" w:themeColor="text1"/>
                <w:sz w:val="24"/>
                <w14:textFill>
                  <w14:solidFill>
                    <w14:schemeClr w14:val="tx1"/>
                  </w14:solidFill>
                </w14:textFill>
              </w:rPr>
              <w:t>有组织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0.082</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0.068</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浓度</w:t>
            </w:r>
            <w:r>
              <w:rPr>
                <w:rFonts w:hint="eastAsia"/>
                <w:color w:val="000000" w:themeColor="text1"/>
                <w:sz w:val="24"/>
                <w14:textFill>
                  <w14:solidFill>
                    <w14:schemeClr w14:val="tx1"/>
                  </w14:solidFill>
                </w14:textFill>
              </w:rPr>
              <w:t>4.556</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，喷漆房废气二甲苯有组织排放量合计为0.117t/a（最大排放速率为0.104kg/h），最大排放浓度为6.963</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p>
          <w:p w14:paraId="6BB5B06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对于未能收集喷漆</w:t>
            </w:r>
            <w:r>
              <w:rPr>
                <w:rFonts w:hint="eastAsia"/>
                <w:color w:val="000000" w:themeColor="text1"/>
                <w:sz w:val="24"/>
                <w14:textFill>
                  <w14:solidFill>
                    <w14:schemeClr w14:val="tx1"/>
                  </w14:solidFill>
                </w14:textFill>
              </w:rPr>
              <w:t>房</w:t>
            </w:r>
            <w:r>
              <w:rPr>
                <w:color w:val="000000" w:themeColor="text1"/>
                <w:sz w:val="24"/>
                <w14:textFill>
                  <w14:solidFill>
                    <w14:schemeClr w14:val="tx1"/>
                  </w14:solidFill>
                </w14:textFill>
              </w:rPr>
              <w:t>废气则在车间内无组织排放，建设单位通过加强喷漆房密闭</w:t>
            </w:r>
            <w:r>
              <w:rPr>
                <w:rFonts w:hint="eastAsia"/>
                <w:color w:val="000000" w:themeColor="text1"/>
                <w:sz w:val="24"/>
                <w14:textFill>
                  <w14:solidFill>
                    <w14:schemeClr w14:val="tx1"/>
                  </w14:solidFill>
                </w14:textFill>
              </w:rPr>
              <w:t>、烘干房密闭</w:t>
            </w:r>
            <w:r>
              <w:rPr>
                <w:color w:val="000000" w:themeColor="text1"/>
                <w:sz w:val="24"/>
                <w14:textFill>
                  <w14:solidFill>
                    <w14:schemeClr w14:val="tx1"/>
                  </w14:solidFill>
                </w14:textFill>
              </w:rPr>
              <w:t>、车间通风等措施进行抑制。本项目</w:t>
            </w:r>
            <w:r>
              <w:rPr>
                <w:rFonts w:hint="eastAsia"/>
                <w:color w:val="000000" w:themeColor="text1"/>
                <w:sz w:val="24"/>
                <w14:textFill>
                  <w14:solidFill>
                    <w14:schemeClr w14:val="tx1"/>
                  </w14:solidFill>
                </w14:textFill>
              </w:rPr>
              <w:t>调漆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二甲苯无</w:t>
            </w:r>
            <w:r>
              <w:rPr>
                <w:color w:val="000000" w:themeColor="text1"/>
                <w:sz w:val="24"/>
                <w14:textFill>
                  <w14:solidFill>
                    <w14:schemeClr w14:val="tx1"/>
                  </w14:solidFill>
                </w14:textFill>
              </w:rPr>
              <w:t>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0.001</w:t>
            </w:r>
            <w:r>
              <w:rPr>
                <w:color w:val="000000" w:themeColor="text1"/>
                <w:sz w:val="24"/>
                <w14:textFill>
                  <w14:solidFill>
                    <w14:schemeClr w14:val="tx1"/>
                  </w14:solidFill>
                </w14:textFill>
              </w:rPr>
              <w:t>t/a（0.</w:t>
            </w:r>
            <w:r>
              <w:rPr>
                <w:rFonts w:hint="eastAsia"/>
                <w:color w:val="000000" w:themeColor="text1"/>
                <w:sz w:val="24"/>
                <w14:textFill>
                  <w14:solidFill>
                    <w14:schemeClr w14:val="tx1"/>
                  </w14:solidFill>
                </w14:textFill>
              </w:rPr>
              <w:t>003</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二甲苯无</w:t>
            </w:r>
            <w:r>
              <w:rPr>
                <w:color w:val="000000" w:themeColor="text1"/>
                <w:sz w:val="24"/>
                <w14:textFill>
                  <w14:solidFill>
                    <w14:schemeClr w14:val="tx1"/>
                  </w14:solidFill>
                </w14:textFill>
              </w:rPr>
              <w:t>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0.008</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0.004</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烘干</w:t>
            </w:r>
            <w:r>
              <w:rPr>
                <w:color w:val="000000" w:themeColor="text1"/>
                <w:sz w:val="24"/>
                <w14:textFill>
                  <w14:solidFill>
                    <w14:schemeClr w14:val="tx1"/>
                  </w14:solidFill>
                </w14:textFill>
              </w:rPr>
              <w:t>废气</w:t>
            </w:r>
            <w:r>
              <w:rPr>
                <w:rFonts w:hint="eastAsia"/>
                <w:color w:val="000000" w:themeColor="text1"/>
                <w:sz w:val="24"/>
                <w14:textFill>
                  <w14:solidFill>
                    <w14:schemeClr w14:val="tx1"/>
                  </w14:solidFill>
                </w14:textFill>
              </w:rPr>
              <w:t>二甲苯无</w:t>
            </w:r>
            <w:r>
              <w:rPr>
                <w:color w:val="000000" w:themeColor="text1"/>
                <w:sz w:val="24"/>
                <w14:textFill>
                  <w14:solidFill>
                    <w14:schemeClr w14:val="tx1"/>
                  </w14:solidFill>
                </w14:textFill>
              </w:rPr>
              <w:t>组织</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量为</w:t>
            </w:r>
            <w:r>
              <w:rPr>
                <w:rFonts w:hint="eastAsia"/>
                <w:color w:val="000000" w:themeColor="text1"/>
                <w:sz w:val="24"/>
                <w14:textFill>
                  <w14:solidFill>
                    <w14:schemeClr w14:val="tx1"/>
                  </w14:solidFill>
                </w14:textFill>
              </w:rPr>
              <w:t>0.023</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0.019</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喷漆房废气二甲苯无组织排放量合计为0.032t/a（最大排放速率为0.026kg/h）</w:t>
            </w:r>
            <w:r>
              <w:rPr>
                <w:color w:val="000000" w:themeColor="text1"/>
                <w:sz w:val="24"/>
                <w14:textFill>
                  <w14:solidFill>
                    <w14:schemeClr w14:val="tx1"/>
                  </w14:solidFill>
                </w14:textFill>
              </w:rPr>
              <w:t>。</w:t>
            </w:r>
          </w:p>
          <w:p w14:paraId="3D09B0ED">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综上，本项目废气产生排放情况汇总如下，见下表：</w:t>
            </w:r>
          </w:p>
          <w:p w14:paraId="37D541B9">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-2</w:t>
            </w:r>
            <w:r>
              <w:rPr>
                <w:rFonts w:eastAsiaTheme="minorEastAsia"/>
                <w:color w:val="000000" w:themeColor="text1"/>
                <w14:textFill>
                  <w14:solidFill>
                    <w14:schemeClr w14:val="tx1"/>
                  </w14:solidFill>
                </w14:textFill>
              </w:rPr>
              <w:t xml:space="preserve">  项目废气产生排放情况汇总表</w:t>
            </w:r>
          </w:p>
          <w:tbl>
            <w:tblPr>
              <w:tblStyle w:val="44"/>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888"/>
              <w:gridCol w:w="1085"/>
              <w:gridCol w:w="818"/>
              <w:gridCol w:w="818"/>
              <w:gridCol w:w="1521"/>
              <w:gridCol w:w="983"/>
              <w:gridCol w:w="818"/>
              <w:gridCol w:w="824"/>
              <w:gridCol w:w="920"/>
            </w:tblGrid>
            <w:tr w14:paraId="3589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vAlign w:val="center"/>
                </w:tcPr>
                <w:p w14:paraId="0B4736F1">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污染源</w:t>
                  </w:r>
                </w:p>
              </w:tc>
              <w:tc>
                <w:tcPr>
                  <w:tcW w:w="950" w:type="dxa"/>
                  <w:vAlign w:val="center"/>
                </w:tcPr>
                <w:p w14:paraId="46138222">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污染物</w:t>
                  </w:r>
                </w:p>
              </w:tc>
              <w:tc>
                <w:tcPr>
                  <w:tcW w:w="846" w:type="dxa"/>
                  <w:vAlign w:val="center"/>
                </w:tcPr>
                <w:p w14:paraId="7574303C">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产生浓度mg/m</w:t>
                  </w:r>
                  <w:r>
                    <w:rPr>
                      <w:b/>
                      <w:bCs/>
                      <w:color w:val="000000" w:themeColor="text1"/>
                      <w:kern w:val="0"/>
                      <w:szCs w:val="21"/>
                      <w:vertAlign w:val="superscript"/>
                      <w14:textFill>
                        <w14:solidFill>
                          <w14:schemeClr w14:val="tx1"/>
                        </w14:solidFill>
                      </w14:textFill>
                    </w:rPr>
                    <w:t>3</w:t>
                  </w:r>
                </w:p>
              </w:tc>
              <w:tc>
                <w:tcPr>
                  <w:tcW w:w="707" w:type="dxa"/>
                  <w:vAlign w:val="center"/>
                </w:tcPr>
                <w:p w14:paraId="056B5E7E">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产生速率kg/h</w:t>
                  </w:r>
                </w:p>
              </w:tc>
              <w:tc>
                <w:tcPr>
                  <w:tcW w:w="707" w:type="dxa"/>
                  <w:vAlign w:val="center"/>
                </w:tcPr>
                <w:p w14:paraId="0314C272">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产生量t/a</w:t>
                  </w:r>
                </w:p>
              </w:tc>
              <w:tc>
                <w:tcPr>
                  <w:tcW w:w="1609" w:type="dxa"/>
                  <w:vAlign w:val="center"/>
                </w:tcPr>
                <w:p w14:paraId="4E744B82">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处理方式</w:t>
                  </w:r>
                </w:p>
              </w:tc>
              <w:tc>
                <w:tcPr>
                  <w:tcW w:w="800" w:type="dxa"/>
                  <w:vAlign w:val="center"/>
                </w:tcPr>
                <w:p w14:paraId="5E8187A1">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排放浓度mg/m</w:t>
                  </w:r>
                  <w:r>
                    <w:rPr>
                      <w:b/>
                      <w:bCs/>
                      <w:color w:val="000000" w:themeColor="text1"/>
                      <w:kern w:val="0"/>
                      <w:szCs w:val="21"/>
                      <w:vertAlign w:val="superscript"/>
                      <w14:textFill>
                        <w14:solidFill>
                          <w14:schemeClr w14:val="tx1"/>
                        </w14:solidFill>
                      </w14:textFill>
                    </w:rPr>
                    <w:t>3</w:t>
                  </w:r>
                </w:p>
              </w:tc>
              <w:tc>
                <w:tcPr>
                  <w:tcW w:w="812" w:type="dxa"/>
                  <w:vAlign w:val="center"/>
                </w:tcPr>
                <w:p w14:paraId="2A3D0E52">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排放速率kg/h</w:t>
                  </w:r>
                </w:p>
              </w:tc>
              <w:tc>
                <w:tcPr>
                  <w:tcW w:w="825" w:type="dxa"/>
                  <w:vAlign w:val="center"/>
                </w:tcPr>
                <w:p w14:paraId="035B29AC">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排放量t/a</w:t>
                  </w:r>
                </w:p>
              </w:tc>
              <w:tc>
                <w:tcPr>
                  <w:tcW w:w="835" w:type="dxa"/>
                  <w:vAlign w:val="center"/>
                </w:tcPr>
                <w:p w14:paraId="5B5A62B5">
                  <w:pPr>
                    <w:jc w:val="center"/>
                    <w:rPr>
                      <w:rFonts w:eastAsiaTheme="minorEastAsia"/>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排放方式</w:t>
                  </w:r>
                </w:p>
              </w:tc>
            </w:tr>
            <w:tr w14:paraId="33EAF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975" w:type="dxa"/>
                  <w:vMerge w:val="restart"/>
                  <w:vAlign w:val="center"/>
                </w:tcPr>
                <w:p w14:paraId="792F688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排气筒DA001（喷漆房废气）</w:t>
                  </w:r>
                </w:p>
              </w:tc>
              <w:tc>
                <w:tcPr>
                  <w:tcW w:w="950" w:type="dxa"/>
                  <w:vAlign w:val="center"/>
                </w:tcPr>
                <w:p w14:paraId="2ACAF08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846" w:type="dxa"/>
                  <w:vAlign w:val="center"/>
                </w:tcPr>
                <w:p w14:paraId="467AE022">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22.926</w:t>
                  </w:r>
                </w:p>
              </w:tc>
              <w:tc>
                <w:tcPr>
                  <w:tcW w:w="707" w:type="dxa"/>
                  <w:vAlign w:val="center"/>
                </w:tcPr>
                <w:p w14:paraId="72F557CF">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0.344</w:t>
                  </w:r>
                </w:p>
              </w:tc>
              <w:tc>
                <w:tcPr>
                  <w:tcW w:w="707" w:type="dxa"/>
                  <w:vAlign w:val="center"/>
                </w:tcPr>
                <w:p w14:paraId="493689C6">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0.619</w:t>
                  </w:r>
                </w:p>
              </w:tc>
              <w:tc>
                <w:tcPr>
                  <w:tcW w:w="1609" w:type="dxa"/>
                  <w:vMerge w:val="restart"/>
                  <w:vAlign w:val="center"/>
                </w:tcPr>
                <w:p w14:paraId="4C504839">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调漆、喷漆废气密闭负压经“水帘柜+过滤棉”预处理后与密闭负压收集的烘干废气一并经“活性炭吸附脱附+小型催化燃烧装置”处理</w:t>
                  </w:r>
                  <w:r>
                    <w:rPr>
                      <w:rFonts w:eastAsiaTheme="minorEastAsia"/>
                      <w:color w:val="000000" w:themeColor="text1"/>
                      <w:szCs w:val="21"/>
                      <w14:textFill>
                        <w14:solidFill>
                          <w14:schemeClr w14:val="tx1"/>
                        </w14:solidFill>
                      </w14:textFill>
                    </w:rPr>
                    <w:t>+15m高排气筒</w:t>
                  </w:r>
                </w:p>
              </w:tc>
              <w:tc>
                <w:tcPr>
                  <w:tcW w:w="800" w:type="dxa"/>
                  <w:vAlign w:val="center"/>
                </w:tcPr>
                <w:p w14:paraId="3EEF7DA3">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0.926</w:t>
                  </w:r>
                </w:p>
              </w:tc>
              <w:tc>
                <w:tcPr>
                  <w:tcW w:w="812" w:type="dxa"/>
                  <w:vAlign w:val="center"/>
                </w:tcPr>
                <w:p w14:paraId="04B3A245">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0.014</w:t>
                  </w:r>
                </w:p>
              </w:tc>
              <w:tc>
                <w:tcPr>
                  <w:tcW w:w="825" w:type="dxa"/>
                  <w:vAlign w:val="center"/>
                </w:tcPr>
                <w:p w14:paraId="7A64F28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0.025</w:t>
                  </w:r>
                </w:p>
              </w:tc>
              <w:tc>
                <w:tcPr>
                  <w:tcW w:w="835" w:type="dxa"/>
                  <w:vMerge w:val="restart"/>
                  <w:vAlign w:val="center"/>
                </w:tcPr>
                <w:p w14:paraId="0DBA01F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15m高排气筒DA001</w:t>
                  </w:r>
                </w:p>
              </w:tc>
            </w:tr>
            <w:tr w14:paraId="2C62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975" w:type="dxa"/>
                  <w:vMerge w:val="continue"/>
                  <w:vAlign w:val="center"/>
                </w:tcPr>
                <w:p w14:paraId="5804C01A">
                  <w:pPr>
                    <w:jc w:val="center"/>
                    <w:rPr>
                      <w:rFonts w:eastAsiaTheme="minorEastAsia"/>
                      <w:color w:val="000000" w:themeColor="text1"/>
                      <w:szCs w:val="21"/>
                      <w14:textFill>
                        <w14:solidFill>
                          <w14:schemeClr w14:val="tx1"/>
                        </w14:solidFill>
                      </w14:textFill>
                    </w:rPr>
                  </w:pPr>
                </w:p>
              </w:tc>
              <w:tc>
                <w:tcPr>
                  <w:tcW w:w="950" w:type="dxa"/>
                  <w:vAlign w:val="center"/>
                </w:tcPr>
                <w:p w14:paraId="494A8D12">
                  <w:pPr>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846" w:type="dxa"/>
                  <w:vAlign w:val="center"/>
                </w:tcPr>
                <w:p w14:paraId="4C12CD65">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130.573</w:t>
                  </w:r>
                </w:p>
              </w:tc>
              <w:tc>
                <w:tcPr>
                  <w:tcW w:w="707" w:type="dxa"/>
                  <w:vAlign w:val="center"/>
                </w:tcPr>
                <w:p w14:paraId="085E7E13">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1.959</w:t>
                  </w:r>
                </w:p>
              </w:tc>
              <w:tc>
                <w:tcPr>
                  <w:tcW w:w="707" w:type="dxa"/>
                  <w:vAlign w:val="center"/>
                </w:tcPr>
                <w:p w14:paraId="2C176556">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2.204</w:t>
                  </w:r>
                </w:p>
              </w:tc>
              <w:tc>
                <w:tcPr>
                  <w:tcW w:w="1609" w:type="dxa"/>
                  <w:vMerge w:val="continue"/>
                  <w:vAlign w:val="center"/>
                </w:tcPr>
                <w:p w14:paraId="18976432">
                  <w:pPr>
                    <w:jc w:val="center"/>
                    <w:rPr>
                      <w:rFonts w:eastAsiaTheme="minorEastAsia"/>
                      <w:color w:val="000000" w:themeColor="text1"/>
                      <w:szCs w:val="21"/>
                      <w14:textFill>
                        <w14:solidFill>
                          <w14:schemeClr w14:val="tx1"/>
                        </w14:solidFill>
                      </w14:textFill>
                    </w:rPr>
                  </w:pPr>
                </w:p>
              </w:tc>
              <w:tc>
                <w:tcPr>
                  <w:tcW w:w="800" w:type="dxa"/>
                  <w:vAlign w:val="center"/>
                </w:tcPr>
                <w:p w14:paraId="02EB7E60">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52.241</w:t>
                  </w:r>
                </w:p>
              </w:tc>
              <w:tc>
                <w:tcPr>
                  <w:tcW w:w="812" w:type="dxa"/>
                  <w:vAlign w:val="center"/>
                </w:tcPr>
                <w:p w14:paraId="1F5BE2CC">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0.784</w:t>
                  </w:r>
                </w:p>
              </w:tc>
              <w:tc>
                <w:tcPr>
                  <w:tcW w:w="825" w:type="dxa"/>
                  <w:vAlign w:val="center"/>
                </w:tcPr>
                <w:p w14:paraId="23186F40">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0.882</w:t>
                  </w:r>
                </w:p>
              </w:tc>
              <w:tc>
                <w:tcPr>
                  <w:tcW w:w="835" w:type="dxa"/>
                  <w:vMerge w:val="continue"/>
                  <w:vAlign w:val="center"/>
                </w:tcPr>
                <w:p w14:paraId="7B70AB22">
                  <w:pPr>
                    <w:jc w:val="center"/>
                    <w:rPr>
                      <w:rFonts w:eastAsiaTheme="minorEastAsia"/>
                      <w:color w:val="000000" w:themeColor="text1"/>
                      <w:szCs w:val="21"/>
                      <w14:textFill>
                        <w14:solidFill>
                          <w14:schemeClr w14:val="tx1"/>
                        </w14:solidFill>
                      </w14:textFill>
                    </w:rPr>
                  </w:pPr>
                </w:p>
              </w:tc>
            </w:tr>
            <w:tr w14:paraId="26191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975" w:type="dxa"/>
                  <w:vMerge w:val="continue"/>
                  <w:vAlign w:val="center"/>
                </w:tcPr>
                <w:p w14:paraId="50B4C06A">
                  <w:pPr>
                    <w:jc w:val="center"/>
                    <w:rPr>
                      <w:rFonts w:eastAsiaTheme="minorEastAsia"/>
                      <w:color w:val="000000" w:themeColor="text1"/>
                      <w:szCs w:val="21"/>
                      <w14:textFill>
                        <w14:solidFill>
                          <w14:schemeClr w14:val="tx1"/>
                        </w14:solidFill>
                      </w14:textFill>
                    </w:rPr>
                  </w:pPr>
                </w:p>
              </w:tc>
              <w:tc>
                <w:tcPr>
                  <w:tcW w:w="950" w:type="dxa"/>
                  <w:vAlign w:val="center"/>
                </w:tcPr>
                <w:p w14:paraId="41469466">
                  <w:pPr>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二甲苯</w:t>
                  </w:r>
                </w:p>
              </w:tc>
              <w:tc>
                <w:tcPr>
                  <w:tcW w:w="846" w:type="dxa"/>
                  <w:vAlign w:val="center"/>
                </w:tcPr>
                <w:p w14:paraId="4BB7EA7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17.37</w:t>
                  </w:r>
                </w:p>
              </w:tc>
              <w:tc>
                <w:tcPr>
                  <w:tcW w:w="707" w:type="dxa"/>
                  <w:vAlign w:val="center"/>
                </w:tcPr>
                <w:p w14:paraId="69ABAAA7">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0.261</w:t>
                  </w:r>
                </w:p>
              </w:tc>
              <w:tc>
                <w:tcPr>
                  <w:tcW w:w="707" w:type="dxa"/>
                  <w:vAlign w:val="center"/>
                </w:tcPr>
                <w:p w14:paraId="79BEC26C">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0.292</w:t>
                  </w:r>
                </w:p>
              </w:tc>
              <w:tc>
                <w:tcPr>
                  <w:tcW w:w="1609" w:type="dxa"/>
                  <w:vMerge w:val="continue"/>
                  <w:vAlign w:val="center"/>
                </w:tcPr>
                <w:p w14:paraId="2635AFCF">
                  <w:pPr>
                    <w:jc w:val="center"/>
                    <w:rPr>
                      <w:rFonts w:eastAsiaTheme="minorEastAsia"/>
                      <w:color w:val="000000" w:themeColor="text1"/>
                      <w:szCs w:val="21"/>
                      <w14:textFill>
                        <w14:solidFill>
                          <w14:schemeClr w14:val="tx1"/>
                        </w14:solidFill>
                      </w14:textFill>
                    </w:rPr>
                  </w:pPr>
                </w:p>
              </w:tc>
              <w:tc>
                <w:tcPr>
                  <w:tcW w:w="800" w:type="dxa"/>
                  <w:vAlign w:val="center"/>
                </w:tcPr>
                <w:p w14:paraId="74A6545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6.963</w:t>
                  </w:r>
                </w:p>
              </w:tc>
              <w:tc>
                <w:tcPr>
                  <w:tcW w:w="812" w:type="dxa"/>
                  <w:vAlign w:val="center"/>
                </w:tcPr>
                <w:p w14:paraId="2BFF6E85">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0.104</w:t>
                  </w:r>
                </w:p>
              </w:tc>
              <w:tc>
                <w:tcPr>
                  <w:tcW w:w="825" w:type="dxa"/>
                  <w:vAlign w:val="center"/>
                </w:tcPr>
                <w:p w14:paraId="013FAC2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0.117</w:t>
                  </w:r>
                </w:p>
              </w:tc>
              <w:tc>
                <w:tcPr>
                  <w:tcW w:w="835" w:type="dxa"/>
                  <w:vMerge w:val="continue"/>
                  <w:vAlign w:val="center"/>
                </w:tcPr>
                <w:p w14:paraId="02BCF53F">
                  <w:pPr>
                    <w:jc w:val="center"/>
                    <w:rPr>
                      <w:rFonts w:eastAsiaTheme="minorEastAsia"/>
                      <w:color w:val="000000" w:themeColor="text1"/>
                      <w:szCs w:val="21"/>
                      <w14:textFill>
                        <w14:solidFill>
                          <w14:schemeClr w14:val="tx1"/>
                        </w14:solidFill>
                      </w14:textFill>
                    </w:rPr>
                  </w:pPr>
                </w:p>
              </w:tc>
            </w:tr>
            <w:tr w14:paraId="4554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vMerge w:val="restart"/>
                  <w:vAlign w:val="center"/>
                </w:tcPr>
                <w:p w14:paraId="2C680D3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生产车间（未收集喷漆房废气）</w:t>
                  </w:r>
                </w:p>
              </w:tc>
              <w:tc>
                <w:tcPr>
                  <w:tcW w:w="950" w:type="dxa"/>
                  <w:vAlign w:val="center"/>
                </w:tcPr>
                <w:p w14:paraId="2ECFE1F1">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846" w:type="dxa"/>
                  <w:vAlign w:val="center"/>
                </w:tcPr>
                <w:p w14:paraId="781BAC6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707" w:type="dxa"/>
                  <w:vAlign w:val="center"/>
                </w:tcPr>
                <w:p w14:paraId="58B20FC6">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0.038</w:t>
                  </w:r>
                </w:p>
              </w:tc>
              <w:tc>
                <w:tcPr>
                  <w:tcW w:w="707" w:type="dxa"/>
                  <w:vAlign w:val="center"/>
                </w:tcPr>
                <w:p w14:paraId="4213F612">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0.069</w:t>
                  </w:r>
                </w:p>
              </w:tc>
              <w:tc>
                <w:tcPr>
                  <w:tcW w:w="1609" w:type="dxa"/>
                  <w:vMerge w:val="restart"/>
                  <w:vAlign w:val="center"/>
                </w:tcPr>
                <w:p w14:paraId="12D3F3E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加强喷漆房</w:t>
                  </w:r>
                  <w:r>
                    <w:rPr>
                      <w:rFonts w:hint="eastAsia" w:eastAsiaTheme="minorEastAsia"/>
                      <w:color w:val="000000" w:themeColor="text1"/>
                      <w:szCs w:val="21"/>
                      <w14:textFill>
                        <w14:solidFill>
                          <w14:schemeClr w14:val="tx1"/>
                        </w14:solidFill>
                      </w14:textFill>
                    </w:rPr>
                    <w:t>、烘干房</w:t>
                  </w:r>
                  <w:r>
                    <w:rPr>
                      <w:rFonts w:eastAsiaTheme="minorEastAsia"/>
                      <w:color w:val="000000" w:themeColor="text1"/>
                      <w:szCs w:val="21"/>
                      <w14:textFill>
                        <w14:solidFill>
                          <w14:schemeClr w14:val="tx1"/>
                        </w14:solidFill>
                      </w14:textFill>
                    </w:rPr>
                    <w:t>密闭、车间通风</w:t>
                  </w:r>
                </w:p>
              </w:tc>
              <w:tc>
                <w:tcPr>
                  <w:tcW w:w="800" w:type="dxa"/>
                  <w:vAlign w:val="center"/>
                </w:tcPr>
                <w:p w14:paraId="68406C7C">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812" w:type="dxa"/>
                  <w:vAlign w:val="center"/>
                </w:tcPr>
                <w:p w14:paraId="0A8EB827">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0.038</w:t>
                  </w:r>
                </w:p>
              </w:tc>
              <w:tc>
                <w:tcPr>
                  <w:tcW w:w="825" w:type="dxa"/>
                  <w:vAlign w:val="center"/>
                </w:tcPr>
                <w:p w14:paraId="203B6140">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0.069</w:t>
                  </w:r>
                </w:p>
              </w:tc>
              <w:tc>
                <w:tcPr>
                  <w:tcW w:w="835" w:type="dxa"/>
                  <w:vMerge w:val="restart"/>
                  <w:vAlign w:val="center"/>
                </w:tcPr>
                <w:p w14:paraId="210E86C1">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无组织排放</w:t>
                  </w:r>
                </w:p>
              </w:tc>
            </w:tr>
            <w:tr w14:paraId="2184F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vMerge w:val="continue"/>
                  <w:vAlign w:val="center"/>
                </w:tcPr>
                <w:p w14:paraId="50A40F55">
                  <w:pPr>
                    <w:jc w:val="center"/>
                    <w:rPr>
                      <w:rFonts w:eastAsiaTheme="minorEastAsia"/>
                      <w:color w:val="000000" w:themeColor="text1"/>
                      <w:szCs w:val="21"/>
                      <w14:textFill>
                        <w14:solidFill>
                          <w14:schemeClr w14:val="tx1"/>
                        </w14:solidFill>
                      </w14:textFill>
                    </w:rPr>
                  </w:pPr>
                </w:p>
              </w:tc>
              <w:tc>
                <w:tcPr>
                  <w:tcW w:w="950" w:type="dxa"/>
                  <w:vAlign w:val="center"/>
                </w:tcPr>
                <w:p w14:paraId="40ED1F99">
                  <w:pPr>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846" w:type="dxa"/>
                  <w:vAlign w:val="center"/>
                </w:tcPr>
                <w:p w14:paraId="63E203C0">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707" w:type="dxa"/>
                  <w:vAlign w:val="center"/>
                </w:tcPr>
                <w:p w14:paraId="70B6CE6A">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0.22</w:t>
                  </w:r>
                </w:p>
              </w:tc>
              <w:tc>
                <w:tcPr>
                  <w:tcW w:w="707" w:type="dxa"/>
                  <w:vAlign w:val="center"/>
                </w:tcPr>
                <w:p w14:paraId="3019A767">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0.245</w:t>
                  </w:r>
                </w:p>
              </w:tc>
              <w:tc>
                <w:tcPr>
                  <w:tcW w:w="1609" w:type="dxa"/>
                  <w:vMerge w:val="continue"/>
                  <w:vAlign w:val="center"/>
                </w:tcPr>
                <w:p w14:paraId="6337EDA9">
                  <w:pPr>
                    <w:jc w:val="center"/>
                    <w:rPr>
                      <w:rFonts w:eastAsiaTheme="minorEastAsia"/>
                      <w:color w:val="000000" w:themeColor="text1"/>
                      <w:szCs w:val="21"/>
                      <w14:textFill>
                        <w14:solidFill>
                          <w14:schemeClr w14:val="tx1"/>
                        </w14:solidFill>
                      </w14:textFill>
                    </w:rPr>
                  </w:pPr>
                </w:p>
              </w:tc>
              <w:tc>
                <w:tcPr>
                  <w:tcW w:w="800" w:type="dxa"/>
                  <w:vAlign w:val="center"/>
                </w:tcPr>
                <w:p w14:paraId="73A56507">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812" w:type="dxa"/>
                  <w:vAlign w:val="center"/>
                </w:tcPr>
                <w:p w14:paraId="2B21A851">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0.22</w:t>
                  </w:r>
                </w:p>
              </w:tc>
              <w:tc>
                <w:tcPr>
                  <w:tcW w:w="825" w:type="dxa"/>
                  <w:vAlign w:val="center"/>
                </w:tcPr>
                <w:p w14:paraId="4542FF1F">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0.245</w:t>
                  </w:r>
                </w:p>
              </w:tc>
              <w:tc>
                <w:tcPr>
                  <w:tcW w:w="835" w:type="dxa"/>
                  <w:vMerge w:val="continue"/>
                  <w:vAlign w:val="center"/>
                </w:tcPr>
                <w:p w14:paraId="36421DFB">
                  <w:pPr>
                    <w:jc w:val="center"/>
                    <w:rPr>
                      <w:rFonts w:eastAsiaTheme="minorEastAsia"/>
                      <w:color w:val="000000" w:themeColor="text1"/>
                      <w:szCs w:val="21"/>
                      <w14:textFill>
                        <w14:solidFill>
                          <w14:schemeClr w14:val="tx1"/>
                        </w14:solidFill>
                      </w14:textFill>
                    </w:rPr>
                  </w:pPr>
                </w:p>
              </w:tc>
            </w:tr>
            <w:tr w14:paraId="14DCD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vMerge w:val="continue"/>
                  <w:vAlign w:val="center"/>
                </w:tcPr>
                <w:p w14:paraId="0533C54E">
                  <w:pPr>
                    <w:jc w:val="center"/>
                    <w:rPr>
                      <w:rFonts w:eastAsiaTheme="minorEastAsia"/>
                      <w:color w:val="000000" w:themeColor="text1"/>
                      <w:szCs w:val="21"/>
                      <w14:textFill>
                        <w14:solidFill>
                          <w14:schemeClr w14:val="tx1"/>
                        </w14:solidFill>
                      </w14:textFill>
                    </w:rPr>
                  </w:pPr>
                </w:p>
              </w:tc>
              <w:tc>
                <w:tcPr>
                  <w:tcW w:w="950" w:type="dxa"/>
                  <w:vAlign w:val="center"/>
                </w:tcPr>
                <w:p w14:paraId="2E24FAF5">
                  <w:pPr>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二甲苯</w:t>
                  </w:r>
                </w:p>
              </w:tc>
              <w:tc>
                <w:tcPr>
                  <w:tcW w:w="846" w:type="dxa"/>
                  <w:vAlign w:val="center"/>
                </w:tcPr>
                <w:p w14:paraId="5BBC56A1">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707" w:type="dxa"/>
                  <w:vAlign w:val="center"/>
                </w:tcPr>
                <w:p w14:paraId="63543F38">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0.026</w:t>
                  </w:r>
                </w:p>
              </w:tc>
              <w:tc>
                <w:tcPr>
                  <w:tcW w:w="707" w:type="dxa"/>
                  <w:vAlign w:val="center"/>
                </w:tcPr>
                <w:p w14:paraId="320A344A">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0.032</w:t>
                  </w:r>
                </w:p>
              </w:tc>
              <w:tc>
                <w:tcPr>
                  <w:tcW w:w="1609" w:type="dxa"/>
                  <w:vMerge w:val="continue"/>
                  <w:vAlign w:val="center"/>
                </w:tcPr>
                <w:p w14:paraId="4C84D8C4">
                  <w:pPr>
                    <w:jc w:val="center"/>
                    <w:rPr>
                      <w:rFonts w:eastAsiaTheme="minorEastAsia"/>
                      <w:color w:val="000000" w:themeColor="text1"/>
                      <w:szCs w:val="21"/>
                      <w14:textFill>
                        <w14:solidFill>
                          <w14:schemeClr w14:val="tx1"/>
                        </w14:solidFill>
                      </w14:textFill>
                    </w:rPr>
                  </w:pPr>
                </w:p>
              </w:tc>
              <w:tc>
                <w:tcPr>
                  <w:tcW w:w="800" w:type="dxa"/>
                  <w:vAlign w:val="center"/>
                </w:tcPr>
                <w:p w14:paraId="1F7CC7E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812" w:type="dxa"/>
                  <w:vAlign w:val="center"/>
                </w:tcPr>
                <w:p w14:paraId="110D7D3A">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0.026</w:t>
                  </w:r>
                </w:p>
              </w:tc>
              <w:tc>
                <w:tcPr>
                  <w:tcW w:w="825" w:type="dxa"/>
                  <w:vAlign w:val="center"/>
                </w:tcPr>
                <w:p w14:paraId="4D89D62A">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0.032</w:t>
                  </w:r>
                </w:p>
              </w:tc>
              <w:tc>
                <w:tcPr>
                  <w:tcW w:w="835" w:type="dxa"/>
                  <w:vMerge w:val="continue"/>
                  <w:vAlign w:val="center"/>
                </w:tcPr>
                <w:p w14:paraId="3BE9D6A9">
                  <w:pPr>
                    <w:jc w:val="center"/>
                    <w:rPr>
                      <w:rFonts w:eastAsiaTheme="minorEastAsia"/>
                      <w:color w:val="000000" w:themeColor="text1"/>
                      <w:szCs w:val="21"/>
                      <w14:textFill>
                        <w14:solidFill>
                          <w14:schemeClr w14:val="tx1"/>
                        </w14:solidFill>
                      </w14:textFill>
                    </w:rPr>
                  </w:pPr>
                </w:p>
              </w:tc>
            </w:tr>
          </w:tbl>
          <w:p w14:paraId="1F5E1721">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-3</w:t>
            </w:r>
            <w:r>
              <w:rPr>
                <w:rFonts w:eastAsiaTheme="minorEastAsia"/>
                <w:color w:val="000000" w:themeColor="text1"/>
                <w14:textFill>
                  <w14:solidFill>
                    <w14:schemeClr w14:val="tx1"/>
                  </w14:solidFill>
                </w14:textFill>
              </w:rPr>
              <w:t xml:space="preserve">  </w:t>
            </w:r>
            <w:r>
              <w:rPr>
                <w:rFonts w:hint="eastAsia" w:eastAsiaTheme="minorEastAsia"/>
                <w:color w:val="000000" w:themeColor="text1"/>
                <w14:textFill>
                  <w14:solidFill>
                    <w14:schemeClr w14:val="tx1"/>
                  </w14:solidFill>
                </w14:textFill>
              </w:rPr>
              <w:t>排气筒参数表</w:t>
            </w:r>
          </w:p>
          <w:tbl>
            <w:tblPr>
              <w:tblStyle w:val="44"/>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2193"/>
              <w:gridCol w:w="1190"/>
              <w:gridCol w:w="1190"/>
              <w:gridCol w:w="1344"/>
              <w:gridCol w:w="1346"/>
              <w:gridCol w:w="1343"/>
            </w:tblGrid>
            <w:tr w14:paraId="17959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53" w:type="pct"/>
                  <w:vAlign w:val="center"/>
                </w:tcPr>
                <w:p w14:paraId="5B65E7EA">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名称</w:t>
                  </w:r>
                </w:p>
              </w:tc>
              <w:tc>
                <w:tcPr>
                  <w:tcW w:w="1046" w:type="pct"/>
                  <w:vAlign w:val="center"/>
                </w:tcPr>
                <w:p w14:paraId="6F7ED40C">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坐标</w:t>
                  </w:r>
                </w:p>
              </w:tc>
              <w:tc>
                <w:tcPr>
                  <w:tcW w:w="632" w:type="pct"/>
                  <w:vAlign w:val="center"/>
                </w:tcPr>
                <w:p w14:paraId="6F99BA9B">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高度（m）</w:t>
                  </w:r>
                </w:p>
              </w:tc>
              <w:tc>
                <w:tcPr>
                  <w:tcW w:w="632" w:type="pct"/>
                  <w:vAlign w:val="center"/>
                </w:tcPr>
                <w:p w14:paraId="7798BC06">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内径（m）</w:t>
                  </w:r>
                </w:p>
              </w:tc>
              <w:tc>
                <w:tcPr>
                  <w:tcW w:w="712" w:type="pct"/>
                  <w:vAlign w:val="center"/>
                </w:tcPr>
                <w:p w14:paraId="39722BCA">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烟气流速（m/s）</w:t>
                  </w:r>
                </w:p>
              </w:tc>
              <w:tc>
                <w:tcPr>
                  <w:tcW w:w="713" w:type="pct"/>
                  <w:vAlign w:val="center"/>
                </w:tcPr>
                <w:p w14:paraId="6C06B6BA">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风量（</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color w:val="000000" w:themeColor="text1"/>
                      <w:kern w:val="0"/>
                      <w:szCs w:val="21"/>
                      <w14:textFill>
                        <w14:solidFill>
                          <w14:schemeClr w14:val="tx1"/>
                        </w14:solidFill>
                      </w14:textFill>
                    </w:rPr>
                    <w:t>）</w:t>
                  </w:r>
                </w:p>
              </w:tc>
              <w:tc>
                <w:tcPr>
                  <w:tcW w:w="711" w:type="pct"/>
                  <w:vAlign w:val="center"/>
                </w:tcPr>
                <w:p w14:paraId="589CEF4F">
                  <w:pPr>
                    <w:jc w:val="center"/>
                    <w:rPr>
                      <w:rFonts w:eastAsiaTheme="minorEastAsia"/>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烟气温度（℃）</w:t>
                  </w:r>
                </w:p>
              </w:tc>
            </w:tr>
            <w:tr w14:paraId="0007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53" w:type="pct"/>
                  <w:vAlign w:val="center"/>
                </w:tcPr>
                <w:p w14:paraId="621CE62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排气筒DA001</w:t>
                  </w:r>
                </w:p>
              </w:tc>
              <w:tc>
                <w:tcPr>
                  <w:tcW w:w="1046" w:type="pct"/>
                  <w:vAlign w:val="center"/>
                </w:tcPr>
                <w:p w14:paraId="6AD4D29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E115°17′55.397″</w:t>
                  </w:r>
                  <w:r>
                    <w:rPr>
                      <w:rFonts w:hint="eastAsia" w:eastAsiaTheme="minorEastAsia"/>
                      <w:color w:val="000000" w:themeColor="text1"/>
                      <w:szCs w:val="21"/>
                      <w14:textFill>
                        <w14:solidFill>
                          <w14:schemeClr w14:val="tx1"/>
                        </w14:solidFill>
                      </w14:textFill>
                    </w:rPr>
                    <w:t>，</w:t>
                  </w:r>
                </w:p>
                <w:p w14:paraId="09B73D1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N28°24′0.653″</w:t>
                  </w:r>
                </w:p>
              </w:tc>
              <w:tc>
                <w:tcPr>
                  <w:tcW w:w="632" w:type="pct"/>
                  <w:vAlign w:val="center"/>
                </w:tcPr>
                <w:p w14:paraId="55B06989">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15</w:t>
                  </w:r>
                </w:p>
              </w:tc>
              <w:tc>
                <w:tcPr>
                  <w:tcW w:w="632" w:type="pct"/>
                  <w:vAlign w:val="center"/>
                </w:tcPr>
                <w:p w14:paraId="6BCD8B1A">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7</w:t>
                  </w:r>
                </w:p>
              </w:tc>
              <w:tc>
                <w:tcPr>
                  <w:tcW w:w="712" w:type="pct"/>
                  <w:vAlign w:val="center"/>
                </w:tcPr>
                <w:p w14:paraId="475E589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r>
                    <w:rPr>
                      <w:rFonts w:hint="eastAsia" w:eastAsiaTheme="minorEastAsia"/>
                      <w:color w:val="000000" w:themeColor="text1"/>
                      <w:szCs w:val="21"/>
                      <w14:textFill>
                        <w14:solidFill>
                          <w14:schemeClr w14:val="tx1"/>
                        </w14:solidFill>
                      </w14:textFill>
                    </w:rPr>
                    <w:t>1</w:t>
                  </w:r>
                </w:p>
              </w:tc>
              <w:tc>
                <w:tcPr>
                  <w:tcW w:w="713" w:type="pct"/>
                  <w:vAlign w:val="center"/>
                </w:tcPr>
                <w:p w14:paraId="09793AF4">
                  <w:pPr>
                    <w:jc w:val="center"/>
                    <w:rPr>
                      <w:rFonts w:eastAsiaTheme="minor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000</w:t>
                  </w:r>
                </w:p>
              </w:tc>
              <w:tc>
                <w:tcPr>
                  <w:tcW w:w="711" w:type="pct"/>
                  <w:vAlign w:val="center"/>
                </w:tcPr>
                <w:p w14:paraId="0AD7488F">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常温</w:t>
                  </w:r>
                </w:p>
              </w:tc>
            </w:tr>
          </w:tbl>
          <w:p w14:paraId="781FA6A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2</w:t>
            </w:r>
            <w:r>
              <w:rPr>
                <w:rFonts w:cs="Times New Roman"/>
                <w:color w:val="000000" w:themeColor="text1"/>
                <w14:textFill>
                  <w14:solidFill>
                    <w14:schemeClr w14:val="tx1"/>
                  </w14:solidFill>
                </w14:textFill>
              </w:rPr>
              <w:t>）非正常工况下</w:t>
            </w:r>
          </w:p>
          <w:p w14:paraId="7149316D">
            <w:pPr>
              <w:pStyle w:val="206"/>
              <w:spacing w:line="360" w:lineRule="auto"/>
              <w:ind w:firstLine="480"/>
              <w:rPr>
                <w:rFonts w:cs="Times New Roman"/>
                <w:color w:val="000000" w:themeColor="text1"/>
                <w:kern w:val="0"/>
                <w:szCs w:val="21"/>
                <w14:textFill>
                  <w14:solidFill>
                    <w14:schemeClr w14:val="tx1"/>
                  </w14:solidFill>
                </w14:textFill>
              </w:rPr>
            </w:pPr>
            <w:r>
              <w:rPr>
                <w:rFonts w:cs="Times New Roman"/>
                <w:color w:val="000000" w:themeColor="text1"/>
                <w14:textFill>
                  <w14:solidFill>
                    <w14:schemeClr w14:val="tx1"/>
                  </w14:solidFill>
                </w14:textFill>
              </w:rPr>
              <w:t>本项目异常工况下的废气污染物排放主要是废气处理装置出现故障，处理效率降低。这里考虑</w:t>
            </w:r>
            <w:r>
              <w:rPr>
                <w:rFonts w:hint="eastAsia" w:cs="Times New Roman"/>
                <w:color w:val="000000" w:themeColor="text1"/>
                <w14:textFill>
                  <w14:solidFill>
                    <w14:schemeClr w14:val="tx1"/>
                  </w14:solidFill>
                </w14:textFill>
              </w:rPr>
              <w:t>废气处理装置</w:t>
            </w:r>
            <w:r>
              <w:rPr>
                <w:rFonts w:cs="Times New Roman"/>
                <w:color w:val="000000" w:themeColor="text1"/>
                <w:kern w:val="0"/>
                <w:szCs w:val="21"/>
                <w14:textFill>
                  <w14:solidFill>
                    <w14:schemeClr w14:val="tx1"/>
                  </w14:solidFill>
                </w14:textFill>
              </w:rPr>
              <w:t>发生故障，处理效率为0%的状态进行估算</w:t>
            </w:r>
            <w:r>
              <w:rPr>
                <w:rFonts w:cs="Times New Roman"/>
                <w:color w:val="000000" w:themeColor="text1"/>
                <w14:textFill>
                  <w14:solidFill>
                    <w14:schemeClr w14:val="tx1"/>
                  </w14:solidFill>
                </w14:textFill>
              </w:rPr>
              <w:t>。</w:t>
            </w:r>
          </w:p>
          <w:p w14:paraId="1FFA1E02">
            <w:pPr>
              <w:pStyle w:val="206"/>
              <w:spacing w:line="360" w:lineRule="auto"/>
              <w:ind w:firstLine="480"/>
              <w:rPr>
                <w:rFonts w:cs="Times New Roman"/>
                <w:color w:val="000000" w:themeColor="text1"/>
                <w:kern w:val="0"/>
                <w:szCs w:val="21"/>
                <w14:textFill>
                  <w14:solidFill>
                    <w14:schemeClr w14:val="tx1"/>
                  </w14:solidFill>
                </w14:textFill>
              </w:rPr>
            </w:pPr>
            <w:r>
              <w:rPr>
                <w:rFonts w:cs="Times New Roman"/>
                <w:color w:val="000000" w:themeColor="text1"/>
                <w:kern w:val="0"/>
                <w:szCs w:val="21"/>
                <w14:textFill>
                  <w14:solidFill>
                    <w14:schemeClr w14:val="tx1"/>
                  </w14:solidFill>
                </w14:textFill>
              </w:rPr>
              <w:t>废气非正常工况源强情况见下表。</w:t>
            </w:r>
          </w:p>
          <w:p w14:paraId="595DEC7F">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4</w:t>
            </w:r>
            <w:r>
              <w:rPr>
                <w:rFonts w:eastAsiaTheme="minorEastAsia"/>
                <w:color w:val="000000" w:themeColor="text1"/>
                <w14:textFill>
                  <w14:solidFill>
                    <w14:schemeClr w14:val="tx1"/>
                  </w14:solidFill>
                </w14:textFill>
              </w:rPr>
              <w:t xml:space="preserve">  非正常工况下废气产生排放情况汇总表</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1142"/>
              <w:gridCol w:w="1362"/>
              <w:gridCol w:w="1399"/>
              <w:gridCol w:w="1433"/>
              <w:gridCol w:w="854"/>
              <w:gridCol w:w="850"/>
              <w:gridCol w:w="994"/>
            </w:tblGrid>
            <w:tr w14:paraId="47A3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2" w:type="dxa"/>
                  <w:vAlign w:val="center"/>
                </w:tcPr>
                <w:p w14:paraId="03469FB4">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污染源</w:t>
                  </w:r>
                </w:p>
              </w:tc>
              <w:tc>
                <w:tcPr>
                  <w:tcW w:w="1142" w:type="dxa"/>
                  <w:vAlign w:val="center"/>
                </w:tcPr>
                <w:p w14:paraId="47696E84">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非正常排放原因</w:t>
                  </w:r>
                </w:p>
              </w:tc>
              <w:tc>
                <w:tcPr>
                  <w:tcW w:w="1362" w:type="dxa"/>
                  <w:vAlign w:val="center"/>
                </w:tcPr>
                <w:p w14:paraId="32C1ABA7">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污染物</w:t>
                  </w:r>
                </w:p>
              </w:tc>
              <w:tc>
                <w:tcPr>
                  <w:tcW w:w="1399" w:type="dxa"/>
                  <w:vAlign w:val="center"/>
                </w:tcPr>
                <w:p w14:paraId="4AE2ED26">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非正常排放浓度（mg/m</w:t>
                  </w:r>
                  <w:r>
                    <w:rPr>
                      <w:b w:val="0"/>
                      <w:color w:val="000000" w:themeColor="text1"/>
                      <w:sz w:val="21"/>
                      <w:vertAlign w:val="superscript"/>
                      <w14:textFill>
                        <w14:solidFill>
                          <w14:schemeClr w14:val="tx1"/>
                        </w14:solidFill>
                      </w14:textFill>
                    </w:rPr>
                    <w:t>3</w:t>
                  </w:r>
                  <w:r>
                    <w:rPr>
                      <w:b w:val="0"/>
                      <w:color w:val="000000" w:themeColor="text1"/>
                      <w:sz w:val="21"/>
                      <w14:textFill>
                        <w14:solidFill>
                          <w14:schemeClr w14:val="tx1"/>
                        </w14:solidFill>
                      </w14:textFill>
                    </w:rPr>
                    <w:t>）</w:t>
                  </w:r>
                </w:p>
              </w:tc>
              <w:tc>
                <w:tcPr>
                  <w:tcW w:w="1433" w:type="dxa"/>
                  <w:vAlign w:val="center"/>
                </w:tcPr>
                <w:p w14:paraId="7EB0AF94">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非正常排放速率（kg/h）</w:t>
                  </w:r>
                </w:p>
              </w:tc>
              <w:tc>
                <w:tcPr>
                  <w:tcW w:w="854" w:type="dxa"/>
                  <w:vAlign w:val="center"/>
                </w:tcPr>
                <w:p w14:paraId="5B4CCCBB">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单次持续时间/h</w:t>
                  </w:r>
                </w:p>
              </w:tc>
              <w:tc>
                <w:tcPr>
                  <w:tcW w:w="850" w:type="dxa"/>
                  <w:vAlign w:val="center"/>
                </w:tcPr>
                <w:p w14:paraId="2C570777">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年发生频次/次</w:t>
                  </w:r>
                </w:p>
              </w:tc>
              <w:tc>
                <w:tcPr>
                  <w:tcW w:w="994" w:type="dxa"/>
                  <w:vAlign w:val="center"/>
                </w:tcPr>
                <w:p w14:paraId="21C6186E">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应对措施</w:t>
                  </w:r>
                </w:p>
              </w:tc>
            </w:tr>
            <w:tr w14:paraId="72C5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32" w:type="dxa"/>
                  <w:vMerge w:val="restart"/>
                  <w:vAlign w:val="center"/>
                </w:tcPr>
                <w:p w14:paraId="7745B619">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排气筒DA001</w:t>
                  </w:r>
                </w:p>
              </w:tc>
              <w:tc>
                <w:tcPr>
                  <w:tcW w:w="1142" w:type="dxa"/>
                  <w:vMerge w:val="restart"/>
                  <w:vAlign w:val="center"/>
                </w:tcPr>
                <w:p w14:paraId="4867C2E9">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废气处理设施故障，处理效率为0%</w:t>
                  </w:r>
                </w:p>
              </w:tc>
              <w:tc>
                <w:tcPr>
                  <w:tcW w:w="1362" w:type="dxa"/>
                  <w:vAlign w:val="center"/>
                </w:tcPr>
                <w:p w14:paraId="4FAD38CA">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颗粒物</w:t>
                  </w:r>
                </w:p>
              </w:tc>
              <w:tc>
                <w:tcPr>
                  <w:tcW w:w="1399" w:type="dxa"/>
                  <w:vAlign w:val="center"/>
                </w:tcPr>
                <w:p w14:paraId="4368768C">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22.926</w:t>
                  </w:r>
                </w:p>
              </w:tc>
              <w:tc>
                <w:tcPr>
                  <w:tcW w:w="1433" w:type="dxa"/>
                  <w:vAlign w:val="center"/>
                </w:tcPr>
                <w:p w14:paraId="1998B88C">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0.344</w:t>
                  </w:r>
                </w:p>
              </w:tc>
              <w:tc>
                <w:tcPr>
                  <w:tcW w:w="854" w:type="dxa"/>
                  <w:vMerge w:val="restart"/>
                  <w:vAlign w:val="center"/>
                </w:tcPr>
                <w:p w14:paraId="12EC849D">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1</w:t>
                  </w:r>
                </w:p>
              </w:tc>
              <w:tc>
                <w:tcPr>
                  <w:tcW w:w="850" w:type="dxa"/>
                  <w:vMerge w:val="restart"/>
                  <w:vAlign w:val="center"/>
                </w:tcPr>
                <w:p w14:paraId="16A845E4">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1</w:t>
                  </w:r>
                </w:p>
              </w:tc>
              <w:tc>
                <w:tcPr>
                  <w:tcW w:w="994" w:type="dxa"/>
                  <w:vMerge w:val="restart"/>
                  <w:vAlign w:val="center"/>
                </w:tcPr>
                <w:p w14:paraId="508E00E9">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r>
                    <w:rPr>
                      <w:b w:val="0"/>
                      <w:color w:val="000000" w:themeColor="text1"/>
                      <w:sz w:val="21"/>
                      <w14:textFill>
                        <w14:solidFill>
                          <w14:schemeClr w14:val="tx1"/>
                        </w14:solidFill>
                      </w14:textFill>
                    </w:rPr>
                    <w:t>立即停止生产，查明原因</w:t>
                  </w:r>
                </w:p>
              </w:tc>
            </w:tr>
            <w:tr w14:paraId="7C15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32" w:type="dxa"/>
                  <w:vMerge w:val="continue"/>
                  <w:vAlign w:val="center"/>
                </w:tcPr>
                <w:p w14:paraId="2AC73B6C">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1142" w:type="dxa"/>
                  <w:vMerge w:val="continue"/>
                  <w:vAlign w:val="center"/>
                </w:tcPr>
                <w:p w14:paraId="383F77C6">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1362" w:type="dxa"/>
                  <w:vAlign w:val="center"/>
                </w:tcPr>
                <w:p w14:paraId="75E2C317">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b w:val="0"/>
                      <w:bCs/>
                      <w:color w:val="000000" w:themeColor="text1"/>
                      <w:sz w:val="21"/>
                      <w14:textFill>
                        <w14:solidFill>
                          <w14:schemeClr w14:val="tx1"/>
                        </w14:solidFill>
                      </w14:textFill>
                    </w:rPr>
                    <w:t>非甲烷总烃</w:t>
                  </w:r>
                </w:p>
              </w:tc>
              <w:tc>
                <w:tcPr>
                  <w:tcW w:w="1399" w:type="dxa"/>
                  <w:vAlign w:val="center"/>
                </w:tcPr>
                <w:p w14:paraId="1763333B">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130.573</w:t>
                  </w:r>
                </w:p>
              </w:tc>
              <w:tc>
                <w:tcPr>
                  <w:tcW w:w="1433" w:type="dxa"/>
                  <w:vAlign w:val="center"/>
                </w:tcPr>
                <w:p w14:paraId="53B12B3C">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1.959</w:t>
                  </w:r>
                </w:p>
              </w:tc>
              <w:tc>
                <w:tcPr>
                  <w:tcW w:w="854" w:type="dxa"/>
                  <w:vMerge w:val="continue"/>
                  <w:vAlign w:val="center"/>
                </w:tcPr>
                <w:p w14:paraId="4ED47D9B">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850" w:type="dxa"/>
                  <w:vMerge w:val="continue"/>
                  <w:vAlign w:val="center"/>
                </w:tcPr>
                <w:p w14:paraId="48E370DC">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994" w:type="dxa"/>
                  <w:vMerge w:val="continue"/>
                  <w:vAlign w:val="center"/>
                </w:tcPr>
                <w:p w14:paraId="586D81AF">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r>
            <w:tr w14:paraId="5D4E4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32" w:type="dxa"/>
                  <w:vMerge w:val="continue"/>
                  <w:vAlign w:val="center"/>
                </w:tcPr>
                <w:p w14:paraId="4DD2FC17">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1142" w:type="dxa"/>
                  <w:vMerge w:val="continue"/>
                  <w:vAlign w:val="center"/>
                </w:tcPr>
                <w:p w14:paraId="321DCC35">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1362" w:type="dxa"/>
                  <w:vAlign w:val="center"/>
                </w:tcPr>
                <w:p w14:paraId="3C2FDC87">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b w:val="0"/>
                      <w:bCs/>
                      <w:color w:val="000000" w:themeColor="text1"/>
                      <w:sz w:val="21"/>
                      <w14:textFill>
                        <w14:solidFill>
                          <w14:schemeClr w14:val="tx1"/>
                        </w14:solidFill>
                      </w14:textFill>
                    </w:rPr>
                    <w:t>二甲苯</w:t>
                  </w:r>
                </w:p>
              </w:tc>
              <w:tc>
                <w:tcPr>
                  <w:tcW w:w="1399" w:type="dxa"/>
                  <w:vAlign w:val="center"/>
                </w:tcPr>
                <w:p w14:paraId="132C07A1">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17.37</w:t>
                  </w:r>
                </w:p>
              </w:tc>
              <w:tc>
                <w:tcPr>
                  <w:tcW w:w="1433" w:type="dxa"/>
                  <w:vAlign w:val="center"/>
                </w:tcPr>
                <w:p w14:paraId="1B2D6423">
                  <w:pPr>
                    <w:pStyle w:val="97"/>
                    <w:framePr w:hSpace="0" w:wrap="auto" w:vAnchor="margin" w:hAnchor="text" w:xAlign="left" w:yAlign="inline"/>
                    <w:spacing w:line="240" w:lineRule="auto"/>
                    <w:ind w:firstLine="0" w:firstLineChars="0"/>
                    <w:jc w:val="center"/>
                    <w:rPr>
                      <w:b w:val="0"/>
                      <w:bCs/>
                      <w:color w:val="000000" w:themeColor="text1"/>
                      <w:sz w:val="21"/>
                      <w14:textFill>
                        <w14:solidFill>
                          <w14:schemeClr w14:val="tx1"/>
                        </w14:solidFill>
                      </w14:textFill>
                    </w:rPr>
                  </w:pPr>
                  <w:r>
                    <w:rPr>
                      <w:rFonts w:hint="eastAsia" w:eastAsiaTheme="minorEastAsia"/>
                      <w:b w:val="0"/>
                      <w:bCs/>
                      <w:color w:val="000000" w:themeColor="text1"/>
                      <w:sz w:val="21"/>
                      <w14:textFill>
                        <w14:solidFill>
                          <w14:schemeClr w14:val="tx1"/>
                        </w14:solidFill>
                      </w14:textFill>
                    </w:rPr>
                    <w:t>0.261</w:t>
                  </w:r>
                </w:p>
              </w:tc>
              <w:tc>
                <w:tcPr>
                  <w:tcW w:w="854" w:type="dxa"/>
                  <w:vMerge w:val="continue"/>
                  <w:vAlign w:val="center"/>
                </w:tcPr>
                <w:p w14:paraId="3767527B">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850" w:type="dxa"/>
                  <w:vMerge w:val="continue"/>
                  <w:vAlign w:val="center"/>
                </w:tcPr>
                <w:p w14:paraId="11D40244">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c>
                <w:tcPr>
                  <w:tcW w:w="994" w:type="dxa"/>
                  <w:vMerge w:val="continue"/>
                  <w:vAlign w:val="center"/>
                </w:tcPr>
                <w:p w14:paraId="0D67AC6B">
                  <w:pPr>
                    <w:pStyle w:val="97"/>
                    <w:framePr w:hSpace="0" w:wrap="auto" w:vAnchor="margin" w:hAnchor="text" w:xAlign="left" w:yAlign="inline"/>
                    <w:spacing w:line="240" w:lineRule="auto"/>
                    <w:ind w:firstLine="0" w:firstLineChars="0"/>
                    <w:jc w:val="center"/>
                    <w:rPr>
                      <w:b w:val="0"/>
                      <w:color w:val="000000" w:themeColor="text1"/>
                      <w:sz w:val="21"/>
                      <w14:textFill>
                        <w14:solidFill>
                          <w14:schemeClr w14:val="tx1"/>
                        </w14:solidFill>
                      </w14:textFill>
                    </w:rPr>
                  </w:pPr>
                </w:p>
              </w:tc>
            </w:tr>
          </w:tbl>
          <w:p w14:paraId="1E8C4C38">
            <w:pPr>
              <w:pStyle w:val="206"/>
              <w:spacing w:line="360" w:lineRule="auto"/>
              <w:ind w:firstLine="480"/>
              <w:rPr>
                <w:rFonts w:cs="Times New Roman"/>
                <w:b/>
                <w:color w:val="000000" w:themeColor="text1"/>
                <w:kern w:val="0"/>
                <w:szCs w:val="21"/>
                <w14:textFill>
                  <w14:solidFill>
                    <w14:schemeClr w14:val="tx1"/>
                  </w14:solidFill>
                </w14:textFill>
              </w:rPr>
            </w:pPr>
            <w:r>
              <w:rPr>
                <w:rFonts w:cs="Times New Roman"/>
                <w:bCs/>
                <w:color w:val="000000" w:themeColor="text1"/>
                <w:szCs w:val="21"/>
                <w14:textFill>
                  <w14:solidFill>
                    <w14:schemeClr w14:val="tx1"/>
                  </w14:solidFill>
                </w14:textFill>
              </w:rPr>
              <w:t>由上表可知，非正常工况下，项目废气</w:t>
            </w:r>
            <w:r>
              <w:rPr>
                <w:rFonts w:hint="eastAsia" w:cs="Times New Roman"/>
                <w:bCs/>
                <w:color w:val="000000" w:themeColor="text1"/>
                <w:szCs w:val="21"/>
                <w14:textFill>
                  <w14:solidFill>
                    <w14:schemeClr w14:val="tx1"/>
                  </w14:solidFill>
                </w14:textFill>
              </w:rPr>
              <w:t>事故排放</w:t>
            </w:r>
            <w:r>
              <w:rPr>
                <w:rFonts w:cs="Times New Roman"/>
                <w:bCs/>
                <w:color w:val="000000" w:themeColor="text1"/>
                <w:szCs w:val="21"/>
                <w14:textFill>
                  <w14:solidFill>
                    <w14:schemeClr w14:val="tx1"/>
                  </w14:solidFill>
                </w14:textFill>
              </w:rPr>
              <w:t>对环境造成</w:t>
            </w:r>
            <w:r>
              <w:rPr>
                <w:rFonts w:hint="eastAsia" w:cs="Times New Roman"/>
                <w:bCs/>
                <w:color w:val="000000" w:themeColor="text1"/>
                <w:szCs w:val="21"/>
                <w14:textFill>
                  <w14:solidFill>
                    <w14:schemeClr w14:val="tx1"/>
                  </w14:solidFill>
                </w14:textFill>
              </w:rPr>
              <w:t>的影响加深</w:t>
            </w:r>
            <w:r>
              <w:rPr>
                <w:rFonts w:cs="Times New Roman"/>
                <w:bCs/>
                <w:color w:val="000000" w:themeColor="text1"/>
                <w:szCs w:val="21"/>
                <w14:textFill>
                  <w14:solidFill>
                    <w14:schemeClr w14:val="tx1"/>
                  </w14:solidFill>
                </w14:textFill>
              </w:rPr>
              <w:t>。对于废气处理系统，一般情况下是开设备时先运行废气处理系统，停设备时废气处理系统最后停止运行，因此，在开停废气处理系统时一般情况下不存在工艺尾气事故排放。对于上述极端情况，如果突然断电，要立即关掉设备废气排放阀门，尽量减少废气直接进入大气环境。日常加强管理并定期维护，若发生故障，车间立即停产进行维修，确保维修完毕后才能恢复生产。同时按要求对非正常工况的起始时刻、恢复时间、时间原因、应对措施、涉及生产设施等信息进行记录。</w:t>
            </w:r>
          </w:p>
          <w:p w14:paraId="0754C907">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2、废气排放达标性分析</w:t>
            </w:r>
          </w:p>
          <w:p w14:paraId="0851B539">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kern w:val="0"/>
                <w:szCs w:val="21"/>
                <w14:textFill>
                  <w14:solidFill>
                    <w14:schemeClr w14:val="tx1"/>
                  </w14:solidFill>
                </w14:textFill>
              </w:rPr>
              <w:t>本项目产生的大气污染物主要为调漆、喷漆、烘干时产生的废气非甲烷总烃、二甲苯，喷漆时产生的漆雾颗粒。在正常情况下，各项废气经处理后均能达标排放，对周边环境影响较小。</w:t>
            </w:r>
          </w:p>
          <w:p w14:paraId="41A204E1">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3、措施可行性分析</w:t>
            </w:r>
          </w:p>
          <w:p w14:paraId="21EB3CF1">
            <w:pPr>
              <w:pStyle w:val="206"/>
              <w:spacing w:line="360" w:lineRule="auto"/>
              <w:ind w:firstLine="480"/>
              <w:rPr>
                <w:rFonts w:cs="Times New Roman"/>
                <w:color w:val="000000" w:themeColor="text1"/>
                <w:szCs w:val="24"/>
                <w:lang w:val="en-US"/>
                <w14:textFill>
                  <w14:solidFill>
                    <w14:schemeClr w14:val="tx1"/>
                  </w14:solidFill>
                </w14:textFill>
              </w:rPr>
            </w:pPr>
            <w:r>
              <w:rPr>
                <w:rFonts w:cs="Times New Roman"/>
                <w:color w:val="000000" w:themeColor="text1"/>
                <w:szCs w:val="24"/>
                <w:lang w:val="en-US"/>
                <w14:textFill>
                  <w14:solidFill>
                    <w14:schemeClr w14:val="tx1"/>
                  </w14:solidFill>
                </w14:textFill>
              </w:rPr>
              <w:t>（1）风机风量</w:t>
            </w:r>
          </w:p>
          <w:p w14:paraId="4983B624">
            <w:pPr>
              <w:pStyle w:val="206"/>
              <w:spacing w:line="360" w:lineRule="auto"/>
              <w:ind w:firstLine="480"/>
              <w:rPr>
                <w:color w:val="000000" w:themeColor="text1"/>
                <w14:textFill>
                  <w14:solidFill>
                    <w14:schemeClr w14:val="tx1"/>
                  </w14:solidFill>
                </w14:textFill>
              </w:rPr>
            </w:pPr>
            <w:r>
              <w:rPr>
                <w:rFonts w:ascii="Cambria Math" w:hAnsi="Cambria Math" w:cs="Cambria Math"/>
                <w:color w:val="000000" w:themeColor="text1"/>
                <w:szCs w:val="24"/>
                <w:lang w:val="en-US"/>
                <w14:textFill>
                  <w14:solidFill>
                    <w14:schemeClr w14:val="tx1"/>
                  </w14:solidFill>
                </w14:textFill>
              </w:rPr>
              <w:t>①</w:t>
            </w:r>
            <w:r>
              <w:rPr>
                <w:rFonts w:hint="eastAsia"/>
                <w:color w:val="000000" w:themeColor="text1"/>
                <w14:textFill>
                  <w14:solidFill>
                    <w14:schemeClr w14:val="tx1"/>
                  </w14:solidFill>
                </w14:textFill>
              </w:rPr>
              <w:t>喷漆房</w:t>
            </w:r>
            <w:r>
              <w:rPr>
                <w:color w:val="000000" w:themeColor="text1"/>
                <w14:textFill>
                  <w14:solidFill>
                    <w14:schemeClr w14:val="tx1"/>
                  </w14:solidFill>
                </w14:textFill>
              </w:rPr>
              <w:t>所需风量</w:t>
            </w:r>
          </w:p>
          <w:p w14:paraId="5CEF5A4B">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项目调漆、喷漆工序在密闭的喷漆房中进行，</w:t>
            </w:r>
            <w:r>
              <w:rPr>
                <w:color w:val="000000" w:themeColor="text1"/>
                <w:sz w:val="24"/>
                <w14:textFill>
                  <w14:solidFill>
                    <w14:schemeClr w14:val="tx1"/>
                  </w14:solidFill>
                </w14:textFill>
              </w:rPr>
              <w:t>废气在密闭</w:t>
            </w:r>
            <w:r>
              <w:rPr>
                <w:rFonts w:hint="eastAsia"/>
                <w:color w:val="000000" w:themeColor="text1"/>
                <w:sz w:val="24"/>
                <w14:textFill>
                  <w14:solidFill>
                    <w14:schemeClr w14:val="tx1"/>
                  </w14:solidFill>
                </w14:textFill>
              </w:rPr>
              <w:t>的喷漆房</w:t>
            </w:r>
            <w:r>
              <w:rPr>
                <w:color w:val="000000" w:themeColor="text1"/>
                <w:sz w:val="24"/>
                <w14:textFill>
                  <w14:solidFill>
                    <w14:schemeClr w14:val="tx1"/>
                  </w14:solidFill>
                </w14:textFill>
              </w:rPr>
              <w:t>通过密闭负压进行收集，</w:t>
            </w:r>
            <w:r>
              <w:rPr>
                <w:rFonts w:hint="eastAsia"/>
                <w:color w:val="000000" w:themeColor="text1"/>
                <w:sz w:val="24"/>
                <w14:textFill>
                  <w14:solidFill>
                    <w14:schemeClr w14:val="tx1"/>
                  </w14:solidFill>
                </w14:textFill>
              </w:rPr>
              <w:t>喷漆房</w:t>
            </w:r>
            <w:r>
              <w:rPr>
                <w:color w:val="000000" w:themeColor="text1"/>
                <w:sz w:val="24"/>
                <w14:textFill>
                  <w14:solidFill>
                    <w14:schemeClr w14:val="tx1"/>
                  </w14:solidFill>
                </w14:textFill>
              </w:rPr>
              <w:t>尺寸为</w:t>
            </w:r>
            <w:r>
              <w:rPr>
                <w:rFonts w:hint="eastAsia"/>
                <w:color w:val="000000" w:themeColor="text1"/>
                <w:sz w:val="24"/>
                <w14:textFill>
                  <w14:solidFill>
                    <w14:schemeClr w14:val="tx1"/>
                  </w14:solidFill>
                </w14:textFill>
              </w:rPr>
              <w:t>150</w:t>
            </w:r>
            <w:r>
              <w:rPr>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m=</w:t>
            </w:r>
            <w:r>
              <w:rPr>
                <w:rFonts w:hint="eastAsia"/>
                <w:color w:val="000000" w:themeColor="text1"/>
                <w:sz w:val="24"/>
                <w14:textFill>
                  <w14:solidFill>
                    <w14:schemeClr w14:val="tx1"/>
                  </w14:solidFill>
                </w14:textFill>
              </w:rPr>
              <w:t>45</w:t>
            </w:r>
            <w:r>
              <w:rPr>
                <w:color w:val="000000" w:themeColor="text1"/>
                <w:sz w:val="24"/>
                <w14:textFill>
                  <w14:solidFill>
                    <w14:schemeClr w14:val="tx1"/>
                  </w14:solidFill>
                </w14:textFill>
              </w:rPr>
              <w:t>0m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（喷漆房150m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为扣除内部烘干房的面积）</w:t>
            </w:r>
            <w:r>
              <w:rPr>
                <w:color w:val="000000" w:themeColor="text1"/>
                <w:sz w:val="24"/>
                <w14:textFill>
                  <w14:solidFill>
                    <w14:schemeClr w14:val="tx1"/>
                  </w14:solidFill>
                </w14:textFill>
              </w:rPr>
              <w:t>，单个密闭房间所需风机风量计算公式为：风量=室体体积×换气常数（取</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0次/小时）=</w:t>
            </w:r>
            <w:r>
              <w:rPr>
                <w:rFonts w:hint="eastAsia"/>
                <w:color w:val="000000" w:themeColor="text1"/>
                <w:sz w:val="24"/>
                <w14:textFill>
                  <w14:solidFill>
                    <w14:schemeClr w14:val="tx1"/>
                  </w14:solidFill>
                </w14:textFill>
              </w:rPr>
              <w:t>45</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000</w:t>
            </w:r>
            <w:r>
              <w:rPr>
                <w:color w:val="000000" w:themeColor="text1"/>
                <w:kern w:val="0"/>
                <w:sz w:val="24"/>
                <w14:textFill>
                  <w14:solidFill>
                    <w14:schemeClr w14:val="tx1"/>
                  </w14:solidFill>
                </w14:textFill>
              </w:rPr>
              <w:t>m</w:t>
            </w:r>
            <w:r>
              <w:rPr>
                <w:color w:val="000000" w:themeColor="text1"/>
                <w:kern w:val="0"/>
                <w:sz w:val="24"/>
                <w:vertAlign w:val="superscript"/>
                <w14:textFill>
                  <w14:solidFill>
                    <w14:schemeClr w14:val="tx1"/>
                  </w14:solidFill>
                </w14:textFill>
              </w:rPr>
              <w:t>3</w:t>
            </w:r>
            <w:r>
              <w:rPr>
                <w:color w:val="000000" w:themeColor="text1"/>
                <w:kern w:val="0"/>
                <w:sz w:val="24"/>
                <w14:textFill>
                  <w14:solidFill>
                    <w14:schemeClr w14:val="tx1"/>
                  </w14:solidFill>
                </w14:textFill>
              </w:rPr>
              <w:t>/h。</w:t>
            </w:r>
          </w:p>
          <w:p w14:paraId="5CB0AFA4">
            <w:pPr>
              <w:pStyle w:val="2"/>
              <w:ind w:firstLine="480"/>
              <w:rPr>
                <w:b w:val="0"/>
                <w:color w:val="000000" w:themeColor="text1"/>
                <w:lang w:val="en-US"/>
                <w14:textFill>
                  <w14:solidFill>
                    <w14:schemeClr w14:val="tx1"/>
                  </w14:solidFill>
                </w14:textFill>
              </w:rPr>
            </w:pPr>
            <w:r>
              <w:rPr>
                <w:rFonts w:hint="eastAsia"/>
                <w:b w:val="0"/>
                <w:color w:val="000000" w:themeColor="text1"/>
                <w:lang w:val="en-US"/>
                <w14:textFill>
                  <w14:solidFill>
                    <w14:schemeClr w14:val="tx1"/>
                  </w14:solidFill>
                </w14:textFill>
              </w:rPr>
              <w:t>②烘干房所需风量</w:t>
            </w:r>
          </w:p>
          <w:p w14:paraId="0C7A48BB">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项目烘干工序在密闭的喷漆房内部的烘干房中进行，烘干</w:t>
            </w:r>
            <w:r>
              <w:rPr>
                <w:color w:val="000000" w:themeColor="text1"/>
                <w:sz w:val="24"/>
                <w14:textFill>
                  <w14:solidFill>
                    <w14:schemeClr w14:val="tx1"/>
                  </w14:solidFill>
                </w14:textFill>
              </w:rPr>
              <w:t>废气在密闭</w:t>
            </w:r>
            <w:r>
              <w:rPr>
                <w:rFonts w:hint="eastAsia"/>
                <w:color w:val="000000" w:themeColor="text1"/>
                <w:sz w:val="24"/>
                <w14:textFill>
                  <w14:solidFill>
                    <w14:schemeClr w14:val="tx1"/>
                  </w14:solidFill>
                </w14:textFill>
              </w:rPr>
              <w:t>的烘干房</w:t>
            </w:r>
            <w:r>
              <w:rPr>
                <w:color w:val="000000" w:themeColor="text1"/>
                <w:sz w:val="24"/>
                <w14:textFill>
                  <w14:solidFill>
                    <w14:schemeClr w14:val="tx1"/>
                  </w14:solidFill>
                </w14:textFill>
              </w:rPr>
              <w:t>通过密闭负压进行收集，</w:t>
            </w:r>
            <w:r>
              <w:rPr>
                <w:rFonts w:hint="eastAsia"/>
                <w:color w:val="000000" w:themeColor="text1"/>
                <w:sz w:val="24"/>
                <w14:textFill>
                  <w14:solidFill>
                    <w14:schemeClr w14:val="tx1"/>
                  </w14:solidFill>
                </w14:textFill>
              </w:rPr>
              <w:t>烘干房</w:t>
            </w:r>
            <w:r>
              <w:rPr>
                <w:color w:val="000000" w:themeColor="text1"/>
                <w:sz w:val="24"/>
                <w14:textFill>
                  <w14:solidFill>
                    <w14:schemeClr w14:val="tx1"/>
                  </w14:solidFill>
                </w14:textFill>
              </w:rPr>
              <w:t>尺寸为</w:t>
            </w:r>
            <w:r>
              <w:rPr>
                <w:rFonts w:hint="eastAsia"/>
                <w:color w:val="000000" w:themeColor="text1"/>
                <w:sz w:val="24"/>
                <w14:textFill>
                  <w14:solidFill>
                    <w14:schemeClr w14:val="tx1"/>
                  </w14:solidFill>
                </w14:textFill>
              </w:rPr>
              <w:t>50</w:t>
            </w:r>
            <w:r>
              <w:rPr>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m=</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，单个密闭房间所需风机风量计算公式为：风量=室体体积×换气常数（取</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0次/小时）=</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3000</w:t>
            </w:r>
            <w:r>
              <w:rPr>
                <w:color w:val="000000" w:themeColor="text1"/>
                <w:kern w:val="0"/>
                <w:sz w:val="24"/>
                <w14:textFill>
                  <w14:solidFill>
                    <w14:schemeClr w14:val="tx1"/>
                  </w14:solidFill>
                </w14:textFill>
              </w:rPr>
              <w:t>m</w:t>
            </w:r>
            <w:r>
              <w:rPr>
                <w:color w:val="000000" w:themeColor="text1"/>
                <w:kern w:val="0"/>
                <w:sz w:val="24"/>
                <w:vertAlign w:val="superscript"/>
                <w14:textFill>
                  <w14:solidFill>
                    <w14:schemeClr w14:val="tx1"/>
                  </w14:solidFill>
                </w14:textFill>
              </w:rPr>
              <w:t>3</w:t>
            </w:r>
            <w:r>
              <w:rPr>
                <w:color w:val="000000" w:themeColor="text1"/>
                <w:kern w:val="0"/>
                <w:sz w:val="24"/>
                <w14:textFill>
                  <w14:solidFill>
                    <w14:schemeClr w14:val="tx1"/>
                  </w14:solidFill>
                </w14:textFill>
              </w:rPr>
              <w:t>/h。</w:t>
            </w:r>
          </w:p>
          <w:p w14:paraId="6567D99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喷漆房</w:t>
            </w:r>
            <w:r>
              <w:rPr>
                <w:color w:val="000000" w:themeColor="text1"/>
                <w:sz w:val="24"/>
                <w14:textFill>
                  <w14:solidFill>
                    <w14:schemeClr w14:val="tx1"/>
                  </w14:solidFill>
                </w14:textFill>
              </w:rPr>
              <w:t>与</w:t>
            </w:r>
            <w:r>
              <w:rPr>
                <w:rFonts w:hint="eastAsia"/>
                <w:color w:val="000000" w:themeColor="text1"/>
                <w:sz w:val="24"/>
                <w14:textFill>
                  <w14:solidFill>
                    <w14:schemeClr w14:val="tx1"/>
                  </w14:solidFill>
                </w14:textFill>
              </w:rPr>
              <w:t>烘干房</w:t>
            </w:r>
            <w:r>
              <w:rPr>
                <w:color w:val="000000" w:themeColor="text1"/>
                <w:sz w:val="24"/>
                <w14:textFill>
                  <w14:solidFill>
                    <w14:schemeClr w14:val="tx1"/>
                  </w14:solidFill>
                </w14:textFill>
              </w:rPr>
              <w:t>密闭负压所需风量合计不小于</w:t>
            </w:r>
            <w:r>
              <w:rPr>
                <w:rFonts w:hint="eastAsia"/>
                <w:color w:val="000000" w:themeColor="text1"/>
                <w:sz w:val="24"/>
                <w14:textFill>
                  <w14:solidFill>
                    <w14:schemeClr w14:val="tx1"/>
                  </w14:solidFill>
                </w14:textFill>
              </w:rPr>
              <w:t>12000</w:t>
            </w:r>
            <w:r>
              <w:rPr>
                <w:color w:val="000000" w:themeColor="text1"/>
                <w:kern w:val="0"/>
                <w:sz w:val="24"/>
                <w14:textFill>
                  <w14:solidFill>
                    <w14:schemeClr w14:val="tx1"/>
                  </w14:solidFill>
                </w14:textFill>
              </w:rPr>
              <w:t>m</w:t>
            </w:r>
            <w:r>
              <w:rPr>
                <w:color w:val="000000" w:themeColor="text1"/>
                <w:kern w:val="0"/>
                <w:sz w:val="24"/>
                <w:vertAlign w:val="superscript"/>
                <w14:textFill>
                  <w14:solidFill>
                    <w14:schemeClr w14:val="tx1"/>
                  </w14:solidFill>
                </w14:textFill>
              </w:rPr>
              <w:t>3</w:t>
            </w:r>
            <w:r>
              <w:rPr>
                <w:color w:val="000000" w:themeColor="text1"/>
                <w:kern w:val="0"/>
                <w:sz w:val="24"/>
                <w14:textFill>
                  <w14:solidFill>
                    <w14:schemeClr w14:val="tx1"/>
                  </w14:solidFill>
                </w14:textFill>
              </w:rPr>
              <w:t>/h</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温度校正系数取</w:t>
            </w:r>
            <w:r>
              <w:rPr>
                <w:color w:val="000000" w:themeColor="text1"/>
                <w:sz w:val="24"/>
                <w14:textFill>
                  <w14:solidFill>
                    <w14:schemeClr w14:val="tx1"/>
                  </w14:solidFill>
                </w14:textFill>
              </w:rPr>
              <w:t>(35+273.15)/(20+273.15)=308.15/293.15≈1.051</w:t>
            </w:r>
            <w:r>
              <w:rPr>
                <w:rFonts w:hint="eastAsia"/>
                <w:color w:val="000000" w:themeColor="text1"/>
                <w:sz w:val="24"/>
                <w14:textFill>
                  <w14:solidFill>
                    <w14:schemeClr w14:val="tx1"/>
                  </w14:solidFill>
                </w14:textFill>
              </w:rPr>
              <w:t>，漏风量为10%，根据公式</w:t>
            </w:r>
            <w:r>
              <w:rPr>
                <w:color w:val="000000" w:themeColor="text1"/>
                <w:sz w:val="24"/>
                <w14:textFill>
                  <w14:solidFill>
                    <w14:schemeClr w14:val="tx1"/>
                  </w14:solidFill>
                </w14:textFill>
              </w:rPr>
              <w:t>Q=Q</w:t>
            </w:r>
            <w:r>
              <w:rPr>
                <w:color w:val="000000" w:themeColor="text1"/>
                <w:sz w:val="24"/>
                <w:vertAlign w:val="subscript"/>
                <w14:textFill>
                  <w14:solidFill>
                    <w14:schemeClr w14:val="tx1"/>
                  </w14:solidFill>
                </w14:textFill>
              </w:rPr>
              <w:t>base</w:t>
            </w:r>
            <w:r>
              <w:rPr>
                <w:color w:val="000000" w:themeColor="text1"/>
                <w:sz w:val="24"/>
                <w14:textFill>
                  <w14:solidFill>
                    <w14:schemeClr w14:val="tx1"/>
                  </w14:solidFill>
                </w14:textFill>
              </w:rPr>
              <w:t>×(1+L)×Ct</w:t>
            </w:r>
            <w:r>
              <w:rPr>
                <w:rFonts w:hint="eastAsia"/>
                <w:color w:val="000000" w:themeColor="text1"/>
                <w:sz w:val="24"/>
                <w14:textFill>
                  <w14:solidFill>
                    <w14:schemeClr w14:val="tx1"/>
                  </w14:solidFill>
                </w14:textFill>
              </w:rPr>
              <w:t>=12000×（1+0.1）×1.051=14983.056</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r>
              <w:rPr>
                <w:rFonts w:hint="eastAsia"/>
                <w:color w:val="000000" w:themeColor="text1"/>
                <w:sz w:val="24"/>
                <w14:textFill>
                  <w14:solidFill>
                    <w14:schemeClr w14:val="tx1"/>
                  </w14:solidFill>
                </w14:textFill>
              </w:rPr>
              <w:t>，则为确保废气收集效率，</w:t>
            </w:r>
            <w:r>
              <w:rPr>
                <w:color w:val="000000" w:themeColor="text1"/>
                <w:sz w:val="24"/>
                <w14:textFill>
                  <w14:solidFill>
                    <w14:schemeClr w14:val="tx1"/>
                  </w14:solidFill>
                </w14:textFill>
              </w:rPr>
              <w:t>项目设置的风机总风量为</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p>
          <w:p w14:paraId="62599663">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（2）废气处理设施</w:t>
            </w:r>
          </w:p>
          <w:p w14:paraId="7FA1F5EA">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w:t>
            </w:r>
            <w:r>
              <w:rPr>
                <w:rFonts w:hint="eastAsia"/>
                <w:color w:val="000000" w:themeColor="text1"/>
                <w:kern w:val="0"/>
                <w:sz w:val="24"/>
                <w14:textFill>
                  <w14:solidFill>
                    <w14:schemeClr w14:val="tx1"/>
                  </w14:solidFill>
                </w14:textFill>
              </w:rPr>
              <w:t>调漆、</w:t>
            </w:r>
            <w:r>
              <w:rPr>
                <w:rFonts w:hint="eastAsia" w:eastAsiaTheme="minorEastAsia"/>
                <w:color w:val="000000" w:themeColor="text1"/>
                <w:sz w:val="24"/>
                <w14:textFill>
                  <w14:solidFill>
                    <w14:schemeClr w14:val="tx1"/>
                  </w14:solidFill>
                </w14:textFill>
              </w:rPr>
              <w:t>喷漆废气密闭负压收集后经“水帘柜+过滤棉”预处理后与密闭负压收集的烘干废气一并经“活性炭吸附脱附+小型催化燃烧装置”处理</w:t>
            </w:r>
            <w:r>
              <w:rPr>
                <w:color w:val="000000" w:themeColor="text1"/>
                <w:kern w:val="0"/>
                <w:sz w:val="24"/>
                <w14:textFill>
                  <w14:solidFill>
                    <w14:schemeClr w14:val="tx1"/>
                  </w14:solidFill>
                </w14:textFill>
              </w:rPr>
              <w:t>，达标后经1根15m高排气筒排放。根据《排污许可证申请与核发技术规范</w:t>
            </w:r>
            <w:r>
              <w:rPr>
                <w:rFonts w:hint="eastAsia"/>
                <w:color w:val="000000" w:themeColor="text1"/>
                <w:kern w:val="0"/>
                <w:sz w:val="24"/>
                <w14:textFill>
                  <w14:solidFill>
                    <w14:schemeClr w14:val="tx1"/>
                  </w14:solidFill>
                </w14:textFill>
              </w:rPr>
              <w:t xml:space="preserve"> </w:t>
            </w:r>
            <w:r>
              <w:rPr>
                <w:color w:val="000000" w:themeColor="text1"/>
                <w:kern w:val="0"/>
                <w:sz w:val="24"/>
                <w14:textFill>
                  <w14:solidFill>
                    <w14:schemeClr w14:val="tx1"/>
                  </w14:solidFill>
                </w14:textFill>
              </w:rPr>
              <w:t>铁路、船舶、航空航天和其他运输设备制造业》（表A.6表面处理（涂装）排污单位废气污染防治推荐可行技术），</w:t>
            </w:r>
            <w:r>
              <w:rPr>
                <w:rFonts w:hint="eastAsia"/>
                <w:color w:val="000000" w:themeColor="text1"/>
                <w:kern w:val="0"/>
                <w:sz w:val="24"/>
                <w14:textFill>
                  <w14:solidFill>
                    <w14:schemeClr w14:val="tx1"/>
                  </w14:solidFill>
                </w14:textFill>
              </w:rPr>
              <w:t>水帘柜及</w:t>
            </w:r>
            <w:r>
              <w:rPr>
                <w:color w:val="000000" w:themeColor="text1"/>
                <w:kern w:val="0"/>
                <w:sz w:val="24"/>
                <w14:textFill>
                  <w14:solidFill>
                    <w14:schemeClr w14:val="tx1"/>
                  </w14:solidFill>
                </w14:textFill>
              </w:rPr>
              <w:t>化学纤维过滤处理喷漆漆雾属于可行技术，过滤棉属于一种化学纤维过滤的方式，因此喷漆房废气中的颗粒物采用</w:t>
            </w:r>
            <w:r>
              <w:rPr>
                <w:rFonts w:hint="eastAsia"/>
                <w:color w:val="000000" w:themeColor="text1"/>
                <w:kern w:val="0"/>
                <w:sz w:val="24"/>
                <w14:textFill>
                  <w14:solidFill>
                    <w14:schemeClr w14:val="tx1"/>
                  </w14:solidFill>
                </w14:textFill>
              </w:rPr>
              <w:t>水帘柜+</w:t>
            </w:r>
            <w:r>
              <w:rPr>
                <w:color w:val="000000" w:themeColor="text1"/>
                <w:kern w:val="0"/>
                <w:sz w:val="24"/>
                <w14:textFill>
                  <w14:solidFill>
                    <w14:schemeClr w14:val="tx1"/>
                  </w14:solidFill>
                </w14:textFill>
              </w:rPr>
              <w:t>过滤棉处理是可行的。吸附+催化氧化处理喷漆</w:t>
            </w:r>
            <w:r>
              <w:rPr>
                <w:rFonts w:hint="eastAsia"/>
                <w:color w:val="000000" w:themeColor="text1"/>
                <w:kern w:val="0"/>
                <w:sz w:val="24"/>
                <w14:textFill>
                  <w14:solidFill>
                    <w14:schemeClr w14:val="tx1"/>
                  </w14:solidFill>
                </w14:textFill>
              </w:rPr>
              <w:t>烘干</w:t>
            </w:r>
            <w:r>
              <w:rPr>
                <w:color w:val="000000" w:themeColor="text1"/>
                <w:kern w:val="0"/>
                <w:sz w:val="24"/>
                <w14:textFill>
                  <w14:solidFill>
                    <w14:schemeClr w14:val="tx1"/>
                  </w14:solidFill>
                </w14:textFill>
              </w:rPr>
              <w:t>有机废气属于可行技术</w:t>
            </w:r>
            <w:r>
              <w:rPr>
                <w:rFonts w:hint="eastAsia"/>
                <w:color w:val="000000" w:themeColor="text1"/>
                <w:kern w:val="0"/>
                <w:sz w:val="24"/>
                <w14:textFill>
                  <w14:solidFill>
                    <w14:schemeClr w14:val="tx1"/>
                  </w14:solidFill>
                </w14:textFill>
              </w:rPr>
              <w:t>，因此喷漆房废气中的非甲烷总烃、二甲苯采用活性炭吸附脱附+小型催化燃烧装置处理是可行的。</w:t>
            </w:r>
          </w:p>
          <w:p w14:paraId="40645CFC">
            <w:pPr>
              <w:pStyle w:val="206"/>
              <w:spacing w:line="360" w:lineRule="auto"/>
              <w:ind w:firstLine="480"/>
              <w:rPr>
                <w:rFonts w:cs="Times New Roman"/>
                <w:color w:val="000000" w:themeColor="text1"/>
                <w14:textFill>
                  <w14:solidFill>
                    <w14:schemeClr w14:val="tx1"/>
                  </w14:solidFill>
                </w14:textFill>
              </w:rPr>
            </w:pPr>
            <w:r>
              <w:rPr>
                <w:rFonts w:cs="Times New Roman" w:eastAsiaTheme="minorEastAsia"/>
                <w:color w:val="000000" w:themeColor="text1"/>
                <w:szCs w:val="21"/>
                <w14:textFill>
                  <w14:solidFill>
                    <w14:schemeClr w14:val="tx1"/>
                  </w14:solidFill>
                </w14:textFill>
              </w:rPr>
              <w:t>未收集喷漆房废气通过加强喷漆房</w:t>
            </w:r>
            <w:r>
              <w:rPr>
                <w:rFonts w:hint="eastAsia" w:cs="Times New Roman" w:eastAsiaTheme="minorEastAsia"/>
                <w:color w:val="000000" w:themeColor="text1"/>
                <w:szCs w:val="21"/>
                <w14:textFill>
                  <w14:solidFill>
                    <w14:schemeClr w14:val="tx1"/>
                  </w14:solidFill>
                </w14:textFill>
              </w:rPr>
              <w:t>、烘干房</w:t>
            </w:r>
            <w:r>
              <w:rPr>
                <w:rFonts w:cs="Times New Roman" w:eastAsiaTheme="minorEastAsia"/>
                <w:color w:val="000000" w:themeColor="text1"/>
                <w:szCs w:val="21"/>
                <w14:textFill>
                  <w14:solidFill>
                    <w14:schemeClr w14:val="tx1"/>
                  </w14:solidFill>
                </w14:textFill>
              </w:rPr>
              <w:t>密闭、车间通风等措施进行抑制</w:t>
            </w:r>
            <w:r>
              <w:rPr>
                <w:rFonts w:cs="Times New Roman"/>
                <w:color w:val="000000" w:themeColor="text1"/>
                <w14:textFill>
                  <w14:solidFill>
                    <w14:schemeClr w14:val="tx1"/>
                  </w14:solidFill>
                </w14:textFill>
              </w:rPr>
              <w:t>；经采取上述针对性措施处理后，无组织废气排放量较小，对周边环境影响轻微，技术可行。</w:t>
            </w:r>
          </w:p>
          <w:p w14:paraId="654FFE4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综上，本项目废气治理措施技术可行。</w:t>
            </w:r>
          </w:p>
          <w:p w14:paraId="48DB7FC7">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4、卫生防护距离</w:t>
            </w:r>
          </w:p>
          <w:p w14:paraId="27C1CACA">
            <w:pPr>
              <w:pStyle w:val="159"/>
            </w:pPr>
            <w:r>
              <w:t>（1）等标排放量计算</w:t>
            </w:r>
          </w:p>
          <w:p w14:paraId="508D6486">
            <w:pPr>
              <w:pStyle w:val="159"/>
            </w:pPr>
            <w:r>
              <w:t>根据</w:t>
            </w:r>
            <w:r>
              <w:rPr>
                <w:kern w:val="0"/>
              </w:rPr>
              <w:t>《大气有害物质无组织排放卫生防护距离推导技术导则》（GB/T39499-2020）规定：当目标企业无组织排放存在多种有毒有害污染物时，基于单个污染物的等标排放量计算结果</w:t>
            </w:r>
            <w:r>
              <w:t>Qc/Cm</w:t>
            </w:r>
            <w:r>
              <w:rPr>
                <w:kern w:val="0"/>
              </w:rPr>
              <w:t>，优先选择等标排放量最大的污染物为企业无组织排放的主要特征大气有害物质。当前两种污染物的等标排放量相差在10%以内时，需要同时选择这两种特征大气有害物质分别计算卫生防护距离初值。</w:t>
            </w:r>
          </w:p>
          <w:p w14:paraId="5B564AE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lang w:val="en-US"/>
                <w14:textFill>
                  <w14:solidFill>
                    <w14:schemeClr w14:val="tx1"/>
                  </w14:solidFill>
                </w14:textFill>
              </w:rPr>
              <w:t>本项目无组织废气排放情况如下</w:t>
            </w:r>
            <w:r>
              <w:rPr>
                <w:rFonts w:cs="Times New Roman"/>
                <w:color w:val="000000" w:themeColor="text1"/>
                <w14:textFill>
                  <w14:solidFill>
                    <w14:schemeClr w14:val="tx1"/>
                  </w14:solidFill>
                </w14:textFill>
              </w:rPr>
              <w:t>：</w:t>
            </w:r>
            <w:r>
              <w:rPr>
                <w:color w:val="000000" w:themeColor="text1"/>
                <w14:textFill>
                  <w14:solidFill>
                    <w14:schemeClr w14:val="tx1"/>
                  </w14:solidFill>
                </w14:textFill>
              </w:rPr>
              <w:t>颗粒物0.</w:t>
            </w:r>
            <w:r>
              <w:rPr>
                <w:rFonts w:hint="eastAsia"/>
                <w:color w:val="000000" w:themeColor="text1"/>
                <w14:textFill>
                  <w14:solidFill>
                    <w14:schemeClr w14:val="tx1"/>
                  </w14:solidFill>
                </w14:textFill>
              </w:rPr>
              <w:t>069</w:t>
            </w:r>
            <w:r>
              <w:rPr>
                <w:color w:val="000000" w:themeColor="text1"/>
                <w14:textFill>
                  <w14:solidFill>
                    <w14:schemeClr w14:val="tx1"/>
                  </w14:solidFill>
                </w14:textFill>
              </w:rPr>
              <w:t>t/a（0.0</w:t>
            </w:r>
            <w:r>
              <w:rPr>
                <w:rFonts w:hint="eastAsia"/>
                <w:color w:val="000000" w:themeColor="text1"/>
                <w14:textFill>
                  <w14:solidFill>
                    <w14:schemeClr w14:val="tx1"/>
                  </w14:solidFill>
                </w14:textFill>
              </w:rPr>
              <w:t>38</w:t>
            </w:r>
            <w:r>
              <w:rPr>
                <w:color w:val="000000" w:themeColor="text1"/>
                <w14:textFill>
                  <w14:solidFill>
                    <w14:schemeClr w14:val="tx1"/>
                  </w14:solidFill>
                </w14:textFill>
              </w:rPr>
              <w:t>kg/h）、非甲烷总烃0.</w:t>
            </w:r>
            <w:r>
              <w:rPr>
                <w:rFonts w:hint="eastAsia"/>
                <w:color w:val="000000" w:themeColor="text1"/>
                <w14:textFill>
                  <w14:solidFill>
                    <w14:schemeClr w14:val="tx1"/>
                  </w14:solidFill>
                </w14:textFill>
              </w:rPr>
              <w:t>245</w:t>
            </w:r>
            <w:r>
              <w:rPr>
                <w:color w:val="000000" w:themeColor="text1"/>
                <w14:textFill>
                  <w14:solidFill>
                    <w14:schemeClr w14:val="tx1"/>
                  </w14:solidFill>
                </w14:textFill>
              </w:rPr>
              <w:t>t/a（0.</w:t>
            </w:r>
            <w:r>
              <w:rPr>
                <w:rFonts w:hint="eastAsia"/>
                <w:color w:val="000000" w:themeColor="text1"/>
                <w14:textFill>
                  <w14:solidFill>
                    <w14:schemeClr w14:val="tx1"/>
                  </w14:solidFill>
                </w14:textFill>
              </w:rPr>
              <w:t>207</w:t>
            </w:r>
            <w:r>
              <w:rPr>
                <w:color w:val="000000" w:themeColor="text1"/>
                <w14:textFill>
                  <w14:solidFill>
                    <w14:schemeClr w14:val="tx1"/>
                  </w14:solidFill>
                </w14:textFill>
              </w:rPr>
              <w:t>kg/h）、二甲苯0.0</w:t>
            </w:r>
            <w:r>
              <w:rPr>
                <w:rFonts w:hint="eastAsia"/>
                <w:color w:val="000000" w:themeColor="text1"/>
                <w14:textFill>
                  <w14:solidFill>
                    <w14:schemeClr w14:val="tx1"/>
                  </w14:solidFill>
                </w14:textFill>
              </w:rPr>
              <w:t>32</w:t>
            </w:r>
            <w:r>
              <w:rPr>
                <w:color w:val="000000" w:themeColor="text1"/>
                <w14:textFill>
                  <w14:solidFill>
                    <w14:schemeClr w14:val="tx1"/>
                  </w14:solidFill>
                </w14:textFill>
              </w:rPr>
              <w:t>t/a（0.0</w:t>
            </w:r>
            <w:r>
              <w:rPr>
                <w:rFonts w:hint="eastAsia"/>
                <w:color w:val="000000" w:themeColor="text1"/>
                <w14:textFill>
                  <w14:solidFill>
                    <w14:schemeClr w14:val="tx1"/>
                  </w14:solidFill>
                </w14:textFill>
              </w:rPr>
              <w:t>26</w:t>
            </w:r>
            <w:r>
              <w:rPr>
                <w:color w:val="000000" w:themeColor="text1"/>
                <w14:textFill>
                  <w14:solidFill>
                    <w14:schemeClr w14:val="tx1"/>
                  </w14:solidFill>
                </w14:textFill>
              </w:rPr>
              <w:t>kg/h）</w:t>
            </w:r>
            <w:r>
              <w:rPr>
                <w:rFonts w:cs="Times New Roman"/>
                <w:color w:val="000000" w:themeColor="text1"/>
                <w14:textFill>
                  <w14:solidFill>
                    <w14:schemeClr w14:val="tx1"/>
                  </w14:solidFill>
                </w14:textFill>
              </w:rPr>
              <w:t>。</w:t>
            </w:r>
          </w:p>
          <w:p w14:paraId="1884AB82">
            <w:pPr>
              <w:pStyle w:val="180"/>
              <w:spacing w:line="240" w:lineRule="auto"/>
              <w:rPr>
                <w:color w:val="000000" w:themeColor="text1"/>
                <w:lang w:bidi="ar"/>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14:textFill>
                  <w14:solidFill>
                    <w14:schemeClr w14:val="tx1"/>
                  </w14:solidFill>
                </w14:textFill>
              </w:rPr>
              <w:t xml:space="preserve">5 </w:t>
            </w:r>
            <w:r>
              <w:rPr>
                <w:color w:val="000000" w:themeColor="text1"/>
                <w14:textFill>
                  <w14:solidFill>
                    <w14:schemeClr w14:val="tx1"/>
                  </w14:solidFill>
                </w14:textFill>
              </w:rPr>
              <w:t xml:space="preserve"> 项目无组织废气等标排放量计算结果表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2111"/>
              <w:gridCol w:w="1507"/>
              <w:gridCol w:w="1809"/>
              <w:gridCol w:w="2836"/>
            </w:tblGrid>
            <w:tr w14:paraId="5CE6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98" w:type="dxa"/>
                  <w:vAlign w:val="center"/>
                </w:tcPr>
                <w:p w14:paraId="34B44C0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面源</w:t>
                  </w:r>
                </w:p>
              </w:tc>
              <w:tc>
                <w:tcPr>
                  <w:tcW w:w="1985" w:type="dxa"/>
                  <w:vAlign w:val="center"/>
                </w:tcPr>
                <w:p w14:paraId="03D686E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无组织废气污染物</w:t>
                  </w:r>
                </w:p>
              </w:tc>
              <w:tc>
                <w:tcPr>
                  <w:tcW w:w="1417" w:type="dxa"/>
                  <w:vAlign w:val="center"/>
                </w:tcPr>
                <w:p w14:paraId="5802599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Q（</w:t>
                  </w:r>
                  <w:r>
                    <w:rPr>
                      <w:color w:val="000000" w:themeColor="text1"/>
                      <w14:textFill>
                        <w14:solidFill>
                          <w14:schemeClr w14:val="tx1"/>
                        </w14:solidFill>
                      </w14:textFill>
                    </w:rPr>
                    <w:t>kg/h</w:t>
                  </w:r>
                  <w:r>
                    <w:rPr>
                      <w:color w:val="000000" w:themeColor="text1"/>
                      <w:kern w:val="0"/>
                      <w:szCs w:val="21"/>
                      <w14:textFill>
                        <w14:solidFill>
                          <w14:schemeClr w14:val="tx1"/>
                        </w14:solidFill>
                      </w14:textFill>
                    </w:rPr>
                    <w:t>）</w:t>
                  </w:r>
                </w:p>
              </w:tc>
              <w:tc>
                <w:tcPr>
                  <w:tcW w:w="1701" w:type="dxa"/>
                  <w:vAlign w:val="center"/>
                </w:tcPr>
                <w:p w14:paraId="6D347BA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Cm（μg/m</w:t>
                  </w:r>
                  <w:r>
                    <w:rPr>
                      <w:color w:val="000000" w:themeColor="text1"/>
                      <w:kern w:val="0"/>
                      <w:szCs w:val="21"/>
                      <w:vertAlign w:val="superscript"/>
                      <w14:textFill>
                        <w14:solidFill>
                          <w14:schemeClr w14:val="tx1"/>
                        </w14:solidFill>
                      </w14:textFill>
                    </w:rPr>
                    <w:t>3</w:t>
                  </w:r>
                  <w:r>
                    <w:rPr>
                      <w:color w:val="000000" w:themeColor="text1"/>
                      <w:kern w:val="0"/>
                      <w:szCs w:val="21"/>
                      <w14:textFill>
                        <w14:solidFill>
                          <w14:schemeClr w14:val="tx1"/>
                        </w14:solidFill>
                      </w14:textFill>
                    </w:rPr>
                    <w:t>）</w:t>
                  </w:r>
                </w:p>
              </w:tc>
              <w:tc>
                <w:tcPr>
                  <w:tcW w:w="2666" w:type="dxa"/>
                  <w:vAlign w:val="center"/>
                </w:tcPr>
                <w:p w14:paraId="1178A88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等标排放量（Q/Cm）</w:t>
                  </w:r>
                </w:p>
              </w:tc>
            </w:tr>
            <w:tr w14:paraId="5635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98" w:type="dxa"/>
                  <w:vMerge w:val="restart"/>
                  <w:vAlign w:val="center"/>
                </w:tcPr>
                <w:p w14:paraId="0B4F3B4D">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生产车间</w:t>
                  </w:r>
                </w:p>
              </w:tc>
              <w:tc>
                <w:tcPr>
                  <w:tcW w:w="1985" w:type="dxa"/>
                  <w:vAlign w:val="center"/>
                </w:tcPr>
                <w:p w14:paraId="79A2A6C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1417" w:type="dxa"/>
                  <w:vAlign w:val="center"/>
                </w:tcPr>
                <w:p w14:paraId="6FE41346">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38</w:t>
                  </w:r>
                </w:p>
              </w:tc>
              <w:tc>
                <w:tcPr>
                  <w:tcW w:w="1701" w:type="dxa"/>
                  <w:vAlign w:val="center"/>
                </w:tcPr>
                <w:p w14:paraId="1BC46AA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900</w:t>
                  </w:r>
                </w:p>
              </w:tc>
              <w:tc>
                <w:tcPr>
                  <w:tcW w:w="2666" w:type="dxa"/>
                  <w:vAlign w:val="center"/>
                </w:tcPr>
                <w:p w14:paraId="593B6240">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4.22</w:t>
                  </w:r>
                  <w:r>
                    <w:rPr>
                      <w:color w:val="000000" w:themeColor="text1"/>
                      <w:kern w:val="0"/>
                      <w:szCs w:val="21"/>
                      <w14:textFill>
                        <w14:solidFill>
                          <w14:schemeClr w14:val="tx1"/>
                        </w14:solidFill>
                      </w14:textFill>
                    </w:rPr>
                    <w:t>×10</w:t>
                  </w:r>
                  <w:r>
                    <w:rPr>
                      <w:color w:val="000000" w:themeColor="text1"/>
                      <w:kern w:val="0"/>
                      <w:szCs w:val="21"/>
                      <w:vertAlign w:val="superscript"/>
                      <w14:textFill>
                        <w14:solidFill>
                          <w14:schemeClr w14:val="tx1"/>
                        </w14:solidFill>
                      </w14:textFill>
                    </w:rPr>
                    <w:t>-5</w:t>
                  </w:r>
                </w:p>
              </w:tc>
            </w:tr>
            <w:tr w14:paraId="0A298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98" w:type="dxa"/>
                  <w:vMerge w:val="continue"/>
                  <w:vAlign w:val="center"/>
                </w:tcPr>
                <w:p w14:paraId="4F473CE0">
                  <w:pPr>
                    <w:jc w:val="center"/>
                    <w:rPr>
                      <w:color w:val="000000" w:themeColor="text1"/>
                      <w:kern w:val="0"/>
                      <w:szCs w:val="21"/>
                      <w14:textFill>
                        <w14:solidFill>
                          <w14:schemeClr w14:val="tx1"/>
                        </w14:solidFill>
                      </w14:textFill>
                    </w:rPr>
                  </w:pPr>
                </w:p>
              </w:tc>
              <w:tc>
                <w:tcPr>
                  <w:tcW w:w="1985" w:type="dxa"/>
                  <w:vAlign w:val="center"/>
                </w:tcPr>
                <w:p w14:paraId="7AF742A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p>
              </w:tc>
              <w:tc>
                <w:tcPr>
                  <w:tcW w:w="1417" w:type="dxa"/>
                  <w:vAlign w:val="center"/>
                </w:tcPr>
                <w:p w14:paraId="7AC5D6DD">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22</w:t>
                  </w:r>
                </w:p>
              </w:tc>
              <w:tc>
                <w:tcPr>
                  <w:tcW w:w="1701" w:type="dxa"/>
                  <w:vAlign w:val="center"/>
                </w:tcPr>
                <w:p w14:paraId="12D0CB6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2000</w:t>
                  </w:r>
                </w:p>
              </w:tc>
              <w:tc>
                <w:tcPr>
                  <w:tcW w:w="2666" w:type="dxa"/>
                  <w:vAlign w:val="center"/>
                </w:tcPr>
                <w:p w14:paraId="6F1816A4">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1.1</w:t>
                  </w:r>
                  <w:r>
                    <w:rPr>
                      <w:color w:val="000000" w:themeColor="text1"/>
                      <w:kern w:val="0"/>
                      <w:szCs w:val="21"/>
                      <w14:textFill>
                        <w14:solidFill>
                          <w14:schemeClr w14:val="tx1"/>
                        </w14:solidFill>
                      </w14:textFill>
                    </w:rPr>
                    <w:t>×10</w:t>
                  </w:r>
                  <w:r>
                    <w:rPr>
                      <w:color w:val="000000" w:themeColor="text1"/>
                      <w:kern w:val="0"/>
                      <w:szCs w:val="21"/>
                      <w:vertAlign w:val="superscript"/>
                      <w14:textFill>
                        <w14:solidFill>
                          <w14:schemeClr w14:val="tx1"/>
                        </w14:solidFill>
                      </w14:textFill>
                    </w:rPr>
                    <w:t>-</w:t>
                  </w:r>
                  <w:r>
                    <w:rPr>
                      <w:rFonts w:hint="eastAsia"/>
                      <w:color w:val="000000" w:themeColor="text1"/>
                      <w:kern w:val="0"/>
                      <w:szCs w:val="21"/>
                      <w:vertAlign w:val="superscript"/>
                      <w14:textFill>
                        <w14:solidFill>
                          <w14:schemeClr w14:val="tx1"/>
                        </w14:solidFill>
                      </w14:textFill>
                    </w:rPr>
                    <w:t>4</w:t>
                  </w:r>
                </w:p>
              </w:tc>
            </w:tr>
            <w:tr w14:paraId="779C1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98" w:type="dxa"/>
                  <w:vMerge w:val="continue"/>
                  <w:vAlign w:val="center"/>
                </w:tcPr>
                <w:p w14:paraId="75D92DD9">
                  <w:pPr>
                    <w:jc w:val="center"/>
                    <w:rPr>
                      <w:color w:val="000000" w:themeColor="text1"/>
                      <w:szCs w:val="21"/>
                      <w14:textFill>
                        <w14:solidFill>
                          <w14:schemeClr w14:val="tx1"/>
                        </w14:solidFill>
                      </w14:textFill>
                    </w:rPr>
                  </w:pPr>
                </w:p>
              </w:tc>
              <w:tc>
                <w:tcPr>
                  <w:tcW w:w="1985" w:type="dxa"/>
                  <w:vAlign w:val="center"/>
                </w:tcPr>
                <w:p w14:paraId="27C0DB90">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1417" w:type="dxa"/>
                  <w:vAlign w:val="center"/>
                </w:tcPr>
                <w:p w14:paraId="2CB3F55C">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26</w:t>
                  </w:r>
                </w:p>
              </w:tc>
              <w:tc>
                <w:tcPr>
                  <w:tcW w:w="1701" w:type="dxa"/>
                  <w:vAlign w:val="center"/>
                </w:tcPr>
                <w:p w14:paraId="0ED8A04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200</w:t>
                  </w:r>
                </w:p>
              </w:tc>
              <w:tc>
                <w:tcPr>
                  <w:tcW w:w="2666" w:type="dxa"/>
                  <w:vAlign w:val="center"/>
                </w:tcPr>
                <w:p w14:paraId="278A16DE">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1.3</w:t>
                  </w:r>
                  <w:r>
                    <w:rPr>
                      <w:color w:val="000000" w:themeColor="text1"/>
                      <w:kern w:val="0"/>
                      <w:szCs w:val="21"/>
                      <w14:textFill>
                        <w14:solidFill>
                          <w14:schemeClr w14:val="tx1"/>
                        </w14:solidFill>
                      </w14:textFill>
                    </w:rPr>
                    <w:t>×10</w:t>
                  </w:r>
                  <w:r>
                    <w:rPr>
                      <w:color w:val="000000" w:themeColor="text1"/>
                      <w:kern w:val="0"/>
                      <w:szCs w:val="21"/>
                      <w:vertAlign w:val="superscript"/>
                      <w14:textFill>
                        <w14:solidFill>
                          <w14:schemeClr w14:val="tx1"/>
                        </w14:solidFill>
                      </w14:textFill>
                    </w:rPr>
                    <w:t>-</w:t>
                  </w:r>
                  <w:r>
                    <w:rPr>
                      <w:rFonts w:hint="eastAsia"/>
                      <w:color w:val="000000" w:themeColor="text1"/>
                      <w:kern w:val="0"/>
                      <w:szCs w:val="21"/>
                      <w:vertAlign w:val="superscript"/>
                      <w14:textFill>
                        <w14:solidFill>
                          <w14:schemeClr w14:val="tx1"/>
                        </w14:solidFill>
                      </w14:textFill>
                    </w:rPr>
                    <w:t>4</w:t>
                  </w:r>
                </w:p>
              </w:tc>
            </w:tr>
          </w:tbl>
          <w:p w14:paraId="39292E2A">
            <w:pPr>
              <w:pStyle w:val="206"/>
              <w:spacing w:line="360" w:lineRule="auto"/>
              <w:ind w:firstLine="480"/>
              <w:rPr>
                <w:rFonts w:cs="Times New Roman"/>
                <w:color w:val="000000" w:themeColor="text1"/>
                <w:kern w:val="0"/>
                <w:szCs w:val="24"/>
                <w14:textFill>
                  <w14:solidFill>
                    <w14:schemeClr w14:val="tx1"/>
                  </w14:solidFill>
                </w14:textFill>
              </w:rPr>
            </w:pPr>
            <w:r>
              <w:rPr>
                <w:rFonts w:cs="Times New Roman"/>
                <w:color w:val="000000" w:themeColor="text1"/>
                <w:kern w:val="0"/>
                <w14:textFill>
                  <w14:solidFill>
                    <w14:schemeClr w14:val="tx1"/>
                  </w14:solidFill>
                </w14:textFill>
              </w:rPr>
              <w:t>生产</w:t>
            </w:r>
            <w:r>
              <w:rPr>
                <w:rFonts w:hint="eastAsia" w:cs="Times New Roman"/>
                <w:color w:val="000000" w:themeColor="text1"/>
                <w:kern w:val="0"/>
                <w14:textFill>
                  <w14:solidFill>
                    <w14:schemeClr w14:val="tx1"/>
                  </w14:solidFill>
                </w14:textFill>
              </w:rPr>
              <w:t>车间</w:t>
            </w:r>
            <w:r>
              <w:rPr>
                <w:rFonts w:cs="Times New Roman"/>
                <w:color w:val="000000" w:themeColor="text1"/>
                <w:kern w:val="0"/>
                <w14:textFill>
                  <w14:solidFill>
                    <w14:schemeClr w14:val="tx1"/>
                  </w14:solidFill>
                </w14:textFill>
              </w:rPr>
              <w:t>具有多种污染物，</w:t>
            </w:r>
            <w:r>
              <w:rPr>
                <w:rFonts w:cs="Times New Roman"/>
                <w:color w:val="000000" w:themeColor="text1"/>
                <w:kern w:val="0"/>
                <w:lang w:bidi="ar"/>
                <w14:textFill>
                  <w14:solidFill>
                    <w14:schemeClr w14:val="tx1"/>
                  </w14:solidFill>
                </w14:textFill>
              </w:rPr>
              <w:t>经计算等标排放量，计算结果最大值为</w:t>
            </w:r>
            <w:r>
              <w:rPr>
                <w:rFonts w:cs="Times New Roman"/>
                <w:color w:val="000000" w:themeColor="text1"/>
                <w:kern w:val="0"/>
                <w:lang w:val="en-US" w:bidi="ar"/>
                <w14:textFill>
                  <w14:solidFill>
                    <w14:schemeClr w14:val="tx1"/>
                  </w14:solidFill>
                </w14:textFill>
              </w:rPr>
              <w:t>二甲苯</w:t>
            </w:r>
            <w:r>
              <w:rPr>
                <w:rFonts w:cs="Times New Roman"/>
                <w:color w:val="000000" w:themeColor="text1"/>
                <w:kern w:val="0"/>
                <w:lang w:bidi="ar"/>
                <w14:textFill>
                  <w14:solidFill>
                    <w14:schemeClr w14:val="tx1"/>
                  </w14:solidFill>
                </w14:textFill>
              </w:rPr>
              <w:t>，且污染物间的等标排放量相差超过</w:t>
            </w:r>
            <w:r>
              <w:rPr>
                <w:rFonts w:cs="Times New Roman"/>
                <w:color w:val="000000" w:themeColor="text1"/>
                <w:kern w:val="0"/>
                <w14:textFill>
                  <w14:solidFill>
                    <w14:schemeClr w14:val="tx1"/>
                  </w14:solidFill>
                </w14:textFill>
              </w:rPr>
              <w:t>10%。最</w:t>
            </w:r>
            <w:r>
              <w:rPr>
                <w:rFonts w:cs="Times New Roman"/>
                <w:color w:val="000000" w:themeColor="text1"/>
                <w:kern w:val="0"/>
                <w:lang w:bidi="ar"/>
                <w14:textFill>
                  <w14:solidFill>
                    <w14:schemeClr w14:val="tx1"/>
                  </w14:solidFill>
                </w14:textFill>
              </w:rPr>
              <w:t>终确定本项目生产</w:t>
            </w:r>
            <w:r>
              <w:rPr>
                <w:rFonts w:hint="eastAsia" w:cs="Times New Roman"/>
                <w:color w:val="000000" w:themeColor="text1"/>
                <w:kern w:val="0"/>
                <w:lang w:bidi="ar"/>
                <w14:textFill>
                  <w14:solidFill>
                    <w14:schemeClr w14:val="tx1"/>
                  </w14:solidFill>
                </w14:textFill>
              </w:rPr>
              <w:t>车间</w:t>
            </w:r>
            <w:r>
              <w:rPr>
                <w:rFonts w:cs="Times New Roman"/>
                <w:color w:val="000000" w:themeColor="text1"/>
                <w:kern w:val="0"/>
                <w:lang w:bidi="ar"/>
                <w14:textFill>
                  <w14:solidFill>
                    <w14:schemeClr w14:val="tx1"/>
                  </w14:solidFill>
                </w14:textFill>
              </w:rPr>
              <w:t>主要特征大气有害物质为</w:t>
            </w:r>
            <w:r>
              <w:rPr>
                <w:rFonts w:cs="Times New Roman"/>
                <w:color w:val="000000" w:themeColor="text1"/>
                <w:kern w:val="0"/>
                <w:lang w:val="en-US" w:bidi="ar"/>
                <w14:textFill>
                  <w14:solidFill>
                    <w14:schemeClr w14:val="tx1"/>
                  </w14:solidFill>
                </w14:textFill>
              </w:rPr>
              <w:t>二甲苯</w:t>
            </w:r>
            <w:r>
              <w:rPr>
                <w:rFonts w:cs="Times New Roman"/>
                <w:color w:val="000000" w:themeColor="text1"/>
                <w:kern w:val="0"/>
                <w:lang w:bidi="ar"/>
                <w14:textFill>
                  <w14:solidFill>
                    <w14:schemeClr w14:val="tx1"/>
                  </w14:solidFill>
                </w14:textFill>
              </w:rPr>
              <w:t>。</w:t>
            </w:r>
          </w:p>
          <w:p w14:paraId="7BDCC7E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（2）卫生防护距离计算</w:t>
            </w:r>
          </w:p>
          <w:p w14:paraId="5FEE40D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卫生防护距离是指产生有害因素的部门（车间或工段）的边界至居住区边界的最小距离。根据《大气有害物质无组织排放卫生防护距离推导技术导则》（GB/T 39499—2020）中规定，本项目无组织排放废气的卫生防护距离可由下式计算：</w:t>
            </w:r>
          </w:p>
          <w:p w14:paraId="523B24A4">
            <w:pPr>
              <w:pStyle w:val="159"/>
              <w:spacing w:line="240" w:lineRule="auto"/>
              <w:ind w:firstLine="0" w:firstLineChars="0"/>
              <w:jc w:val="center"/>
            </w:pPr>
            <w:r>
              <w:rPr>
                <w:lang w:val="en-US"/>
              </w:rPr>
              <w:drawing>
                <wp:inline distT="0" distB="0" distL="0" distR="0">
                  <wp:extent cx="1968500" cy="476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969914" cy="476592"/>
                          </a:xfrm>
                          <a:prstGeom prst="rect">
                            <a:avLst/>
                          </a:prstGeom>
                          <a:noFill/>
                          <a:ln>
                            <a:noFill/>
                          </a:ln>
                        </pic:spPr>
                      </pic:pic>
                    </a:graphicData>
                  </a:graphic>
                </wp:inline>
              </w:drawing>
            </w:r>
          </w:p>
          <w:p w14:paraId="41F996E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式中：Cm——标准浓度限值（mg/m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w:t>
            </w:r>
          </w:p>
          <w:p w14:paraId="1F1FB26E">
            <w:pPr>
              <w:pStyle w:val="206"/>
              <w:spacing w:line="360" w:lineRule="auto"/>
              <w:ind w:firstLine="1200" w:firstLineChars="5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Qc——工业企业有害气体无组织排放量可以达到的控制水平（kg/h）；</w:t>
            </w:r>
          </w:p>
          <w:p w14:paraId="1E0CDF82">
            <w:pPr>
              <w:pStyle w:val="206"/>
              <w:spacing w:line="360" w:lineRule="auto"/>
              <w:ind w:firstLine="1200" w:firstLineChars="5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r——有害气体无组织排放源所在生产单元的等效半径（m）；</w:t>
            </w:r>
          </w:p>
          <w:p w14:paraId="6EE744E2">
            <w:pPr>
              <w:pStyle w:val="206"/>
              <w:spacing w:line="360" w:lineRule="auto"/>
              <w:ind w:firstLine="1200" w:firstLineChars="5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L——工业企业所需的卫生防护距离（m）；</w:t>
            </w:r>
          </w:p>
          <w:p w14:paraId="394A76F5">
            <w:pPr>
              <w:pStyle w:val="206"/>
              <w:spacing w:line="360" w:lineRule="auto"/>
              <w:ind w:firstLine="1200" w:firstLineChars="5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A、B、C、D——卫生防护距离计算系数，见</w:t>
            </w:r>
            <w:r>
              <w:rPr>
                <w:rFonts w:hint="eastAsia" w:cs="Times New Roman"/>
                <w:color w:val="000000" w:themeColor="text1"/>
                <w14:textFill>
                  <w14:solidFill>
                    <w14:schemeClr w14:val="tx1"/>
                  </w14:solidFill>
                </w14:textFill>
              </w:rPr>
              <w:t>下</w:t>
            </w:r>
            <w:r>
              <w:rPr>
                <w:rFonts w:cs="Times New Roman"/>
                <w:color w:val="000000" w:themeColor="text1"/>
                <w14:textFill>
                  <w14:solidFill>
                    <w14:schemeClr w14:val="tx1"/>
                  </w14:solidFill>
                </w14:textFill>
              </w:rPr>
              <w:t>表。</w:t>
            </w:r>
          </w:p>
          <w:p w14:paraId="78C25B5C">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 xml:space="preserve">  卫生防护距离计算系数</w:t>
            </w:r>
          </w:p>
          <w:tbl>
            <w:tblPr>
              <w:tblStyle w:val="43"/>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2063"/>
              <w:gridCol w:w="715"/>
              <w:gridCol w:w="716"/>
              <w:gridCol w:w="717"/>
              <w:gridCol w:w="716"/>
              <w:gridCol w:w="716"/>
              <w:gridCol w:w="717"/>
              <w:gridCol w:w="716"/>
              <w:gridCol w:w="716"/>
              <w:gridCol w:w="716"/>
            </w:tblGrid>
            <w:tr w14:paraId="19DB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restart"/>
                  <w:vAlign w:val="center"/>
                </w:tcPr>
                <w:p w14:paraId="5337C7C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计算系数</w:t>
                  </w:r>
                </w:p>
              </w:tc>
              <w:tc>
                <w:tcPr>
                  <w:tcW w:w="1070" w:type="pct"/>
                  <w:vMerge w:val="restart"/>
                  <w:vAlign w:val="center"/>
                </w:tcPr>
                <w:p w14:paraId="1DF7810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5年平均风速（m/s）</w:t>
                  </w:r>
                </w:p>
              </w:tc>
              <w:tc>
                <w:tcPr>
                  <w:tcW w:w="3341" w:type="pct"/>
                  <w:gridSpan w:val="9"/>
                  <w:vAlign w:val="center"/>
                </w:tcPr>
                <w:p w14:paraId="3B1E70D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卫生防护距离L(m)</w:t>
                  </w:r>
                </w:p>
              </w:tc>
            </w:tr>
            <w:tr w14:paraId="0C6D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204FDFB5">
                  <w:pPr>
                    <w:widowControl/>
                    <w:jc w:val="center"/>
                    <w:rPr>
                      <w:color w:val="000000" w:themeColor="text1"/>
                      <w:kern w:val="0"/>
                      <w:szCs w:val="21"/>
                      <w14:textFill>
                        <w14:solidFill>
                          <w14:schemeClr w14:val="tx1"/>
                        </w14:solidFill>
                      </w14:textFill>
                    </w:rPr>
                  </w:pPr>
                </w:p>
              </w:tc>
              <w:tc>
                <w:tcPr>
                  <w:tcW w:w="1070" w:type="pct"/>
                  <w:vMerge w:val="continue"/>
                  <w:vAlign w:val="center"/>
                </w:tcPr>
                <w:p w14:paraId="3345E1EB">
                  <w:pPr>
                    <w:widowControl/>
                    <w:jc w:val="center"/>
                    <w:rPr>
                      <w:color w:val="000000" w:themeColor="text1"/>
                      <w:kern w:val="0"/>
                      <w:szCs w:val="21"/>
                      <w14:textFill>
                        <w14:solidFill>
                          <w14:schemeClr w14:val="tx1"/>
                        </w14:solidFill>
                      </w14:textFill>
                    </w:rPr>
                  </w:pPr>
                </w:p>
              </w:tc>
              <w:tc>
                <w:tcPr>
                  <w:tcW w:w="1114" w:type="pct"/>
                  <w:gridSpan w:val="3"/>
                  <w:vAlign w:val="center"/>
                </w:tcPr>
                <w:p w14:paraId="1AF8D2E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L≤1000</w:t>
                  </w:r>
                </w:p>
              </w:tc>
              <w:tc>
                <w:tcPr>
                  <w:tcW w:w="1114" w:type="pct"/>
                  <w:gridSpan w:val="3"/>
                  <w:vAlign w:val="center"/>
                </w:tcPr>
                <w:p w14:paraId="56C0D72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1000＜L≤2000</w:t>
                  </w:r>
                </w:p>
              </w:tc>
              <w:tc>
                <w:tcPr>
                  <w:tcW w:w="1114" w:type="pct"/>
                  <w:gridSpan w:val="3"/>
                  <w:vAlign w:val="center"/>
                </w:tcPr>
                <w:p w14:paraId="3F0A626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L＞2000</w:t>
                  </w:r>
                </w:p>
              </w:tc>
            </w:tr>
            <w:tr w14:paraId="11D74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53C16308">
                  <w:pPr>
                    <w:widowControl/>
                    <w:jc w:val="center"/>
                    <w:rPr>
                      <w:color w:val="000000" w:themeColor="text1"/>
                      <w:kern w:val="0"/>
                      <w:szCs w:val="21"/>
                      <w14:textFill>
                        <w14:solidFill>
                          <w14:schemeClr w14:val="tx1"/>
                        </w14:solidFill>
                      </w14:textFill>
                    </w:rPr>
                  </w:pPr>
                </w:p>
              </w:tc>
              <w:tc>
                <w:tcPr>
                  <w:tcW w:w="1070" w:type="pct"/>
                  <w:vMerge w:val="continue"/>
                  <w:vAlign w:val="center"/>
                </w:tcPr>
                <w:p w14:paraId="3D00FC1A">
                  <w:pPr>
                    <w:widowControl/>
                    <w:jc w:val="center"/>
                    <w:rPr>
                      <w:color w:val="000000" w:themeColor="text1"/>
                      <w:kern w:val="0"/>
                      <w:szCs w:val="21"/>
                      <w14:textFill>
                        <w14:solidFill>
                          <w14:schemeClr w14:val="tx1"/>
                        </w14:solidFill>
                      </w14:textFill>
                    </w:rPr>
                  </w:pPr>
                </w:p>
              </w:tc>
              <w:tc>
                <w:tcPr>
                  <w:tcW w:w="3341" w:type="pct"/>
                  <w:gridSpan w:val="9"/>
                  <w:vAlign w:val="center"/>
                </w:tcPr>
                <w:p w14:paraId="69D4553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工业大气污染源构成类别</w:t>
                  </w:r>
                </w:p>
              </w:tc>
            </w:tr>
            <w:tr w14:paraId="56E7D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0C2491A7">
                  <w:pPr>
                    <w:widowControl/>
                    <w:jc w:val="center"/>
                    <w:rPr>
                      <w:color w:val="000000" w:themeColor="text1"/>
                      <w:kern w:val="0"/>
                      <w:szCs w:val="21"/>
                      <w14:textFill>
                        <w14:solidFill>
                          <w14:schemeClr w14:val="tx1"/>
                        </w14:solidFill>
                      </w14:textFill>
                    </w:rPr>
                  </w:pPr>
                </w:p>
              </w:tc>
              <w:tc>
                <w:tcPr>
                  <w:tcW w:w="1070" w:type="pct"/>
                  <w:vMerge w:val="continue"/>
                  <w:vAlign w:val="center"/>
                </w:tcPr>
                <w:p w14:paraId="71F466FE">
                  <w:pPr>
                    <w:widowControl/>
                    <w:jc w:val="center"/>
                    <w:rPr>
                      <w:color w:val="000000" w:themeColor="text1"/>
                      <w:kern w:val="0"/>
                      <w:szCs w:val="21"/>
                      <w14:textFill>
                        <w14:solidFill>
                          <w14:schemeClr w14:val="tx1"/>
                        </w14:solidFill>
                      </w14:textFill>
                    </w:rPr>
                  </w:pPr>
                </w:p>
              </w:tc>
              <w:tc>
                <w:tcPr>
                  <w:tcW w:w="371" w:type="pct"/>
                  <w:vAlign w:val="center"/>
                </w:tcPr>
                <w:p w14:paraId="4820085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Ⅰ</w:t>
                  </w:r>
                </w:p>
              </w:tc>
              <w:tc>
                <w:tcPr>
                  <w:tcW w:w="371" w:type="pct"/>
                  <w:vAlign w:val="center"/>
                </w:tcPr>
                <w:p w14:paraId="0FEE062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Ⅱ</w:t>
                  </w:r>
                </w:p>
              </w:tc>
              <w:tc>
                <w:tcPr>
                  <w:tcW w:w="371" w:type="pct"/>
                  <w:vAlign w:val="center"/>
                </w:tcPr>
                <w:p w14:paraId="396E86E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Ⅲ</w:t>
                  </w:r>
                </w:p>
              </w:tc>
              <w:tc>
                <w:tcPr>
                  <w:tcW w:w="371" w:type="pct"/>
                  <w:vAlign w:val="center"/>
                </w:tcPr>
                <w:p w14:paraId="603AB82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Ⅰ</w:t>
                  </w:r>
                </w:p>
              </w:tc>
              <w:tc>
                <w:tcPr>
                  <w:tcW w:w="371" w:type="pct"/>
                  <w:vAlign w:val="center"/>
                </w:tcPr>
                <w:p w14:paraId="47B8187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Ⅱ</w:t>
                  </w:r>
                </w:p>
              </w:tc>
              <w:tc>
                <w:tcPr>
                  <w:tcW w:w="371" w:type="pct"/>
                  <w:vAlign w:val="center"/>
                </w:tcPr>
                <w:p w14:paraId="7C8EAA8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Ⅲ</w:t>
                  </w:r>
                </w:p>
              </w:tc>
              <w:tc>
                <w:tcPr>
                  <w:tcW w:w="371" w:type="pct"/>
                  <w:vAlign w:val="center"/>
                </w:tcPr>
                <w:p w14:paraId="0831B49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Ⅰ</w:t>
                  </w:r>
                </w:p>
              </w:tc>
              <w:tc>
                <w:tcPr>
                  <w:tcW w:w="371" w:type="pct"/>
                  <w:vAlign w:val="center"/>
                </w:tcPr>
                <w:p w14:paraId="75EA0F3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Ⅱ</w:t>
                  </w:r>
                </w:p>
              </w:tc>
              <w:tc>
                <w:tcPr>
                  <w:tcW w:w="371" w:type="pct"/>
                  <w:vAlign w:val="center"/>
                </w:tcPr>
                <w:p w14:paraId="2F57D08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Ⅲ</w:t>
                  </w:r>
                </w:p>
              </w:tc>
            </w:tr>
            <w:tr w14:paraId="4079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restart"/>
                  <w:vAlign w:val="center"/>
                </w:tcPr>
                <w:p w14:paraId="17A0683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A</w:t>
                  </w:r>
                </w:p>
              </w:tc>
              <w:tc>
                <w:tcPr>
                  <w:tcW w:w="1070" w:type="pct"/>
                  <w:vAlign w:val="center"/>
                </w:tcPr>
                <w:p w14:paraId="7FCAB6E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371" w:type="pct"/>
                  <w:vAlign w:val="center"/>
                </w:tcPr>
                <w:p w14:paraId="1ED7D39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58DC7A7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1D529BF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05372FA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312CAF8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1A55AF6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371" w:type="pct"/>
                  <w:vAlign w:val="center"/>
                </w:tcPr>
                <w:p w14:paraId="6437879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w:t>
                  </w:r>
                </w:p>
              </w:tc>
              <w:tc>
                <w:tcPr>
                  <w:tcW w:w="371" w:type="pct"/>
                  <w:vAlign w:val="center"/>
                </w:tcPr>
                <w:p w14:paraId="415A99E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w:t>
                  </w:r>
                </w:p>
              </w:tc>
              <w:tc>
                <w:tcPr>
                  <w:tcW w:w="371" w:type="pct"/>
                  <w:vAlign w:val="center"/>
                </w:tcPr>
                <w:p w14:paraId="4BCE32A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w:t>
                  </w:r>
                </w:p>
              </w:tc>
            </w:tr>
            <w:tr w14:paraId="1C281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13E0B37A">
                  <w:pPr>
                    <w:widowControl/>
                    <w:jc w:val="center"/>
                    <w:rPr>
                      <w:color w:val="000000" w:themeColor="text1"/>
                      <w:kern w:val="0"/>
                      <w:szCs w:val="21"/>
                      <w14:textFill>
                        <w14:solidFill>
                          <w14:schemeClr w14:val="tx1"/>
                        </w14:solidFill>
                      </w14:textFill>
                    </w:rPr>
                  </w:pPr>
                </w:p>
              </w:tc>
              <w:tc>
                <w:tcPr>
                  <w:tcW w:w="1070" w:type="pct"/>
                  <w:vAlign w:val="center"/>
                </w:tcPr>
                <w:p w14:paraId="2E520D2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2~4</w:t>
                  </w:r>
                </w:p>
              </w:tc>
              <w:tc>
                <w:tcPr>
                  <w:tcW w:w="371" w:type="pct"/>
                  <w:vAlign w:val="center"/>
                </w:tcPr>
                <w:p w14:paraId="1CCECBF0">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700</w:t>
                  </w:r>
                </w:p>
              </w:tc>
              <w:tc>
                <w:tcPr>
                  <w:tcW w:w="371" w:type="pct"/>
                  <w:vAlign w:val="center"/>
                </w:tcPr>
                <w:p w14:paraId="44726FF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470</w:t>
                  </w:r>
                </w:p>
              </w:tc>
              <w:tc>
                <w:tcPr>
                  <w:tcW w:w="371" w:type="pct"/>
                  <w:vAlign w:val="center"/>
                </w:tcPr>
                <w:p w14:paraId="753DE590">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350</w:t>
                  </w:r>
                </w:p>
              </w:tc>
              <w:tc>
                <w:tcPr>
                  <w:tcW w:w="371" w:type="pct"/>
                  <w:vAlign w:val="center"/>
                </w:tcPr>
                <w:p w14:paraId="629CC42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700</w:t>
                  </w:r>
                </w:p>
              </w:tc>
              <w:tc>
                <w:tcPr>
                  <w:tcW w:w="371" w:type="pct"/>
                  <w:vAlign w:val="center"/>
                </w:tcPr>
                <w:p w14:paraId="331E6D0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470</w:t>
                  </w:r>
                </w:p>
              </w:tc>
              <w:tc>
                <w:tcPr>
                  <w:tcW w:w="371" w:type="pct"/>
                  <w:vAlign w:val="center"/>
                </w:tcPr>
                <w:p w14:paraId="3149835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350</w:t>
                  </w:r>
                </w:p>
              </w:tc>
              <w:tc>
                <w:tcPr>
                  <w:tcW w:w="371" w:type="pct"/>
                  <w:vAlign w:val="center"/>
                </w:tcPr>
                <w:p w14:paraId="6C40FD6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380</w:t>
                  </w:r>
                </w:p>
              </w:tc>
              <w:tc>
                <w:tcPr>
                  <w:tcW w:w="371" w:type="pct"/>
                  <w:vAlign w:val="center"/>
                </w:tcPr>
                <w:p w14:paraId="1446D707">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250</w:t>
                  </w:r>
                </w:p>
              </w:tc>
              <w:tc>
                <w:tcPr>
                  <w:tcW w:w="371" w:type="pct"/>
                  <w:vAlign w:val="center"/>
                </w:tcPr>
                <w:p w14:paraId="7CB3E36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190</w:t>
                  </w:r>
                </w:p>
              </w:tc>
            </w:tr>
            <w:tr w14:paraId="613B8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484788B4">
                  <w:pPr>
                    <w:widowControl/>
                    <w:jc w:val="center"/>
                    <w:rPr>
                      <w:color w:val="000000" w:themeColor="text1"/>
                      <w:kern w:val="0"/>
                      <w:szCs w:val="21"/>
                      <w14:textFill>
                        <w14:solidFill>
                          <w14:schemeClr w14:val="tx1"/>
                        </w14:solidFill>
                      </w14:textFill>
                    </w:rPr>
                  </w:pPr>
                </w:p>
              </w:tc>
              <w:tc>
                <w:tcPr>
                  <w:tcW w:w="1070" w:type="pct"/>
                  <w:vAlign w:val="center"/>
                </w:tcPr>
                <w:p w14:paraId="7B54412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w:t>
                  </w:r>
                </w:p>
              </w:tc>
              <w:tc>
                <w:tcPr>
                  <w:tcW w:w="371" w:type="pct"/>
                  <w:vAlign w:val="center"/>
                </w:tcPr>
                <w:p w14:paraId="6A542DE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530</w:t>
                  </w:r>
                </w:p>
              </w:tc>
              <w:tc>
                <w:tcPr>
                  <w:tcW w:w="371" w:type="pct"/>
                  <w:vAlign w:val="center"/>
                </w:tcPr>
                <w:p w14:paraId="3A714AA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350</w:t>
                  </w:r>
                </w:p>
              </w:tc>
              <w:tc>
                <w:tcPr>
                  <w:tcW w:w="371" w:type="pct"/>
                  <w:vAlign w:val="center"/>
                </w:tcPr>
                <w:p w14:paraId="27491BA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260</w:t>
                  </w:r>
                </w:p>
              </w:tc>
              <w:tc>
                <w:tcPr>
                  <w:tcW w:w="371" w:type="pct"/>
                  <w:vAlign w:val="center"/>
                </w:tcPr>
                <w:p w14:paraId="3AB646E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530</w:t>
                  </w:r>
                </w:p>
              </w:tc>
              <w:tc>
                <w:tcPr>
                  <w:tcW w:w="371" w:type="pct"/>
                  <w:vAlign w:val="center"/>
                </w:tcPr>
                <w:p w14:paraId="7DCB146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350</w:t>
                  </w:r>
                </w:p>
              </w:tc>
              <w:tc>
                <w:tcPr>
                  <w:tcW w:w="371" w:type="pct"/>
                  <w:vAlign w:val="center"/>
                </w:tcPr>
                <w:p w14:paraId="72DBE49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260</w:t>
                  </w:r>
                </w:p>
              </w:tc>
              <w:tc>
                <w:tcPr>
                  <w:tcW w:w="371" w:type="pct"/>
                  <w:vAlign w:val="center"/>
                </w:tcPr>
                <w:p w14:paraId="78DCDE2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290</w:t>
                  </w:r>
                </w:p>
              </w:tc>
              <w:tc>
                <w:tcPr>
                  <w:tcW w:w="371" w:type="pct"/>
                  <w:vAlign w:val="center"/>
                </w:tcPr>
                <w:p w14:paraId="4C4356A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190</w:t>
                  </w:r>
                </w:p>
              </w:tc>
              <w:tc>
                <w:tcPr>
                  <w:tcW w:w="371" w:type="pct"/>
                  <w:vAlign w:val="center"/>
                </w:tcPr>
                <w:p w14:paraId="4E6058C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140</w:t>
                  </w:r>
                </w:p>
              </w:tc>
            </w:tr>
            <w:tr w14:paraId="21E0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restart"/>
                  <w:vAlign w:val="center"/>
                </w:tcPr>
                <w:p w14:paraId="44CE49E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B</w:t>
                  </w:r>
                </w:p>
              </w:tc>
              <w:tc>
                <w:tcPr>
                  <w:tcW w:w="1070" w:type="pct"/>
                  <w:vAlign w:val="center"/>
                </w:tcPr>
                <w:p w14:paraId="38F521E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2F2209E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0.01</w:t>
                  </w:r>
                </w:p>
              </w:tc>
              <w:tc>
                <w:tcPr>
                  <w:tcW w:w="1114" w:type="pct"/>
                  <w:gridSpan w:val="3"/>
                  <w:vAlign w:val="center"/>
                </w:tcPr>
                <w:p w14:paraId="47E3009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0.015</w:t>
                  </w:r>
                </w:p>
              </w:tc>
              <w:tc>
                <w:tcPr>
                  <w:tcW w:w="1114" w:type="pct"/>
                  <w:gridSpan w:val="3"/>
                  <w:vAlign w:val="center"/>
                </w:tcPr>
                <w:p w14:paraId="6A999B1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0.015</w:t>
                  </w:r>
                </w:p>
              </w:tc>
            </w:tr>
            <w:tr w14:paraId="30C74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35C002E5">
                  <w:pPr>
                    <w:widowControl/>
                    <w:jc w:val="center"/>
                    <w:rPr>
                      <w:color w:val="000000" w:themeColor="text1"/>
                      <w:kern w:val="0"/>
                      <w:szCs w:val="21"/>
                      <w14:textFill>
                        <w14:solidFill>
                          <w14:schemeClr w14:val="tx1"/>
                        </w14:solidFill>
                      </w14:textFill>
                    </w:rPr>
                  </w:pPr>
                </w:p>
              </w:tc>
              <w:tc>
                <w:tcPr>
                  <w:tcW w:w="1070" w:type="pct"/>
                  <w:vAlign w:val="center"/>
                </w:tcPr>
                <w:p w14:paraId="223BD40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6C41B2E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0.021</w:t>
                  </w:r>
                </w:p>
              </w:tc>
              <w:tc>
                <w:tcPr>
                  <w:tcW w:w="1114" w:type="pct"/>
                  <w:gridSpan w:val="3"/>
                  <w:vAlign w:val="center"/>
                </w:tcPr>
                <w:p w14:paraId="2F7A62F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0.036</w:t>
                  </w:r>
                </w:p>
              </w:tc>
              <w:tc>
                <w:tcPr>
                  <w:tcW w:w="1114" w:type="pct"/>
                  <w:gridSpan w:val="3"/>
                  <w:vAlign w:val="center"/>
                </w:tcPr>
                <w:p w14:paraId="0533D6E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0.036</w:t>
                  </w:r>
                </w:p>
              </w:tc>
            </w:tr>
            <w:tr w14:paraId="383B8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restart"/>
                  <w:vAlign w:val="center"/>
                </w:tcPr>
                <w:p w14:paraId="68505D6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C</w:t>
                  </w:r>
                </w:p>
              </w:tc>
              <w:tc>
                <w:tcPr>
                  <w:tcW w:w="1070" w:type="pct"/>
                  <w:vAlign w:val="center"/>
                </w:tcPr>
                <w:p w14:paraId="6E1D235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6EE2C84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1.85</w:t>
                  </w:r>
                </w:p>
              </w:tc>
              <w:tc>
                <w:tcPr>
                  <w:tcW w:w="1114" w:type="pct"/>
                  <w:gridSpan w:val="3"/>
                  <w:vAlign w:val="center"/>
                </w:tcPr>
                <w:p w14:paraId="0D29503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1.79</w:t>
                  </w:r>
                </w:p>
              </w:tc>
              <w:tc>
                <w:tcPr>
                  <w:tcW w:w="1114" w:type="pct"/>
                  <w:gridSpan w:val="3"/>
                  <w:vAlign w:val="center"/>
                </w:tcPr>
                <w:p w14:paraId="04F7F9E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1.79</w:t>
                  </w:r>
                </w:p>
              </w:tc>
            </w:tr>
            <w:tr w14:paraId="3A324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5F36B02D">
                  <w:pPr>
                    <w:widowControl/>
                    <w:jc w:val="center"/>
                    <w:rPr>
                      <w:color w:val="000000" w:themeColor="text1"/>
                      <w:kern w:val="0"/>
                      <w:szCs w:val="21"/>
                      <w14:textFill>
                        <w14:solidFill>
                          <w14:schemeClr w14:val="tx1"/>
                        </w14:solidFill>
                      </w14:textFill>
                    </w:rPr>
                  </w:pPr>
                </w:p>
              </w:tc>
              <w:tc>
                <w:tcPr>
                  <w:tcW w:w="1070" w:type="pct"/>
                  <w:vAlign w:val="center"/>
                </w:tcPr>
                <w:p w14:paraId="50118B4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4C1845C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1.85</w:t>
                  </w:r>
                </w:p>
              </w:tc>
              <w:tc>
                <w:tcPr>
                  <w:tcW w:w="1114" w:type="pct"/>
                  <w:gridSpan w:val="3"/>
                  <w:vAlign w:val="center"/>
                </w:tcPr>
                <w:p w14:paraId="5A3AE01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1.77</w:t>
                  </w:r>
                </w:p>
              </w:tc>
              <w:tc>
                <w:tcPr>
                  <w:tcW w:w="1114" w:type="pct"/>
                  <w:gridSpan w:val="3"/>
                  <w:vAlign w:val="center"/>
                </w:tcPr>
                <w:p w14:paraId="1FB33CD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1.77</w:t>
                  </w:r>
                </w:p>
              </w:tc>
            </w:tr>
            <w:tr w14:paraId="3A196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restart"/>
                  <w:vAlign w:val="center"/>
                </w:tcPr>
                <w:p w14:paraId="369B009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D</w:t>
                  </w:r>
                </w:p>
              </w:tc>
              <w:tc>
                <w:tcPr>
                  <w:tcW w:w="1070" w:type="pct"/>
                  <w:vAlign w:val="center"/>
                </w:tcPr>
                <w:p w14:paraId="73731B4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21E9DB3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0.78</w:t>
                  </w:r>
                </w:p>
              </w:tc>
              <w:tc>
                <w:tcPr>
                  <w:tcW w:w="1114" w:type="pct"/>
                  <w:gridSpan w:val="3"/>
                  <w:vAlign w:val="center"/>
                </w:tcPr>
                <w:p w14:paraId="238AB86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0.78</w:t>
                  </w:r>
                </w:p>
              </w:tc>
              <w:tc>
                <w:tcPr>
                  <w:tcW w:w="1114" w:type="pct"/>
                  <w:gridSpan w:val="3"/>
                  <w:vAlign w:val="center"/>
                </w:tcPr>
                <w:p w14:paraId="1BD0F37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0.57</w:t>
                  </w:r>
                </w:p>
              </w:tc>
            </w:tr>
            <w:tr w14:paraId="3B3D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9" w:type="pct"/>
                  <w:vMerge w:val="continue"/>
                  <w:vAlign w:val="center"/>
                </w:tcPr>
                <w:p w14:paraId="7AC4A87F">
                  <w:pPr>
                    <w:widowControl/>
                    <w:jc w:val="center"/>
                    <w:rPr>
                      <w:color w:val="000000" w:themeColor="text1"/>
                      <w:kern w:val="0"/>
                      <w:szCs w:val="21"/>
                      <w14:textFill>
                        <w14:solidFill>
                          <w14:schemeClr w14:val="tx1"/>
                        </w14:solidFill>
                      </w14:textFill>
                    </w:rPr>
                  </w:pPr>
                </w:p>
              </w:tc>
              <w:tc>
                <w:tcPr>
                  <w:tcW w:w="1070" w:type="pct"/>
                  <w:vAlign w:val="center"/>
                </w:tcPr>
                <w:p w14:paraId="658105F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114" w:type="pct"/>
                  <w:gridSpan w:val="3"/>
                  <w:vAlign w:val="center"/>
                </w:tcPr>
                <w:p w14:paraId="21CFFD3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0.84</w:t>
                  </w:r>
                </w:p>
              </w:tc>
              <w:tc>
                <w:tcPr>
                  <w:tcW w:w="1114" w:type="pct"/>
                  <w:gridSpan w:val="3"/>
                  <w:vAlign w:val="center"/>
                </w:tcPr>
                <w:p w14:paraId="43316724">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0.84</w:t>
                  </w:r>
                </w:p>
              </w:tc>
              <w:tc>
                <w:tcPr>
                  <w:tcW w:w="1114" w:type="pct"/>
                  <w:gridSpan w:val="3"/>
                  <w:vAlign w:val="center"/>
                </w:tcPr>
                <w:p w14:paraId="594EB33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0.76</w:t>
                  </w:r>
                </w:p>
              </w:tc>
            </w:tr>
            <w:tr w14:paraId="0A3A3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11"/>
                  <w:vAlign w:val="center"/>
                </w:tcPr>
                <w:p w14:paraId="4F7ABFD4">
                  <w:pPr>
                    <w:widowControl/>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注：Ⅰ类：与无组织排放源共存的排放同种有害气体的排气筒的排放量，大于或等于标准规定的允许排放量的1/3者。</w:t>
                  </w:r>
                </w:p>
                <w:p w14:paraId="331DFE56">
                  <w:pPr>
                    <w:widowControl/>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20B2E650">
                  <w:pPr>
                    <w:widowControl/>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Ⅲ类：无排放同种有害物质的排气筒与无组织排放源共存，但无组织排放的有害物质的容许浓度是按慢性反应指标确定者。</w:t>
                  </w:r>
                </w:p>
              </w:tc>
            </w:tr>
          </w:tbl>
          <w:p w14:paraId="1E36DA0D">
            <w:pPr>
              <w:pStyle w:val="206"/>
              <w:adjustRightInd w:val="0"/>
              <w:snapToGrid w:val="0"/>
              <w:spacing w:line="360" w:lineRule="auto"/>
              <w:ind w:firstLine="480"/>
              <w:rPr>
                <w:color w:val="000000" w:themeColor="text1"/>
                <w:lang w:val="en-US"/>
                <w14:textFill>
                  <w14:solidFill>
                    <w14:schemeClr w14:val="tx1"/>
                  </w14:solidFill>
                </w14:textFill>
              </w:rPr>
            </w:pPr>
            <w:r>
              <w:rPr>
                <w:color w:val="000000" w:themeColor="text1"/>
                <w:lang w:val="en-US"/>
                <w14:textFill>
                  <w14:solidFill>
                    <w14:schemeClr w14:val="tx1"/>
                  </w14:solidFill>
                </w14:textFill>
              </w:rPr>
              <w:t>根据高安市气象站2020年-2024年地面风资料，统计出该地各年、月平均风速情况，详见</w:t>
            </w:r>
            <w:r>
              <w:rPr>
                <w:rFonts w:hint="eastAsia"/>
                <w:color w:val="000000" w:themeColor="text1"/>
                <w:lang w:val="en-US"/>
                <w14:textFill>
                  <w14:solidFill>
                    <w14:schemeClr w14:val="tx1"/>
                  </w14:solidFill>
                </w14:textFill>
              </w:rPr>
              <w:t>下</w:t>
            </w:r>
            <w:r>
              <w:rPr>
                <w:color w:val="000000" w:themeColor="text1"/>
                <w:lang w:val="en-US"/>
                <w14:textFill>
                  <w14:solidFill>
                    <w14:schemeClr w14:val="tx1"/>
                  </w14:solidFill>
                </w14:textFill>
              </w:rPr>
              <w:t>表。</w:t>
            </w:r>
          </w:p>
          <w:p w14:paraId="3957E4C9">
            <w:pPr>
              <w:pStyle w:val="206"/>
              <w:spacing w:line="240" w:lineRule="auto"/>
              <w:ind w:firstLine="0" w:firstLineChars="0"/>
              <w:jc w:val="center"/>
              <w:rPr>
                <w:b/>
                <w:color w:val="000000" w:themeColor="text1"/>
                <w:sz w:val="21"/>
                <w:szCs w:val="21"/>
                <w:lang w:val="en-US"/>
                <w14:textFill>
                  <w14:solidFill>
                    <w14:schemeClr w14:val="tx1"/>
                  </w14:solidFill>
                </w14:textFill>
              </w:rPr>
            </w:pPr>
            <w:r>
              <w:rPr>
                <w:b/>
                <w:color w:val="000000" w:themeColor="text1"/>
                <w:sz w:val="21"/>
                <w:szCs w:val="21"/>
                <w:lang w:val="en-US"/>
                <w14:textFill>
                  <w14:solidFill>
                    <w14:schemeClr w14:val="tx1"/>
                  </w14:solidFill>
                </w14:textFill>
              </w:rPr>
              <w:t>表4-</w:t>
            </w:r>
            <w:r>
              <w:rPr>
                <w:rFonts w:hint="eastAsia"/>
                <w:b/>
                <w:color w:val="000000" w:themeColor="text1"/>
                <w:sz w:val="21"/>
                <w:szCs w:val="21"/>
                <w:lang w:val="en-US"/>
                <w14:textFill>
                  <w14:solidFill>
                    <w14:schemeClr w14:val="tx1"/>
                  </w14:solidFill>
                </w14:textFill>
              </w:rPr>
              <w:t>7</w:t>
            </w:r>
            <w:r>
              <w:rPr>
                <w:b/>
                <w:color w:val="000000" w:themeColor="text1"/>
                <w:sz w:val="21"/>
                <w:szCs w:val="21"/>
                <w:lang w:val="en-US"/>
                <w14:textFill>
                  <w14:solidFill>
                    <w14:schemeClr w14:val="tx1"/>
                  </w14:solidFill>
                </w14:textFill>
              </w:rPr>
              <w:t xml:space="preserve">  </w:t>
            </w:r>
            <w:r>
              <w:rPr>
                <w:rFonts w:hint="eastAsia"/>
                <w:b/>
                <w:color w:val="000000" w:themeColor="text1"/>
                <w:sz w:val="21"/>
                <w:szCs w:val="21"/>
                <w:lang w:val="en-US"/>
                <w14:textFill>
                  <w14:solidFill>
                    <w14:schemeClr w14:val="tx1"/>
                  </w14:solidFill>
                </w14:textFill>
              </w:rPr>
              <w:t>当地近五年风速表</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684"/>
              <w:gridCol w:w="684"/>
              <w:gridCol w:w="684"/>
              <w:gridCol w:w="684"/>
              <w:gridCol w:w="684"/>
              <w:gridCol w:w="684"/>
              <w:gridCol w:w="684"/>
              <w:gridCol w:w="684"/>
              <w:gridCol w:w="684"/>
              <w:gridCol w:w="684"/>
              <w:gridCol w:w="684"/>
              <w:gridCol w:w="684"/>
              <w:gridCol w:w="684"/>
            </w:tblGrid>
            <w:tr w14:paraId="18A64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7BF0D87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年份/月份</w:t>
                  </w:r>
                </w:p>
              </w:tc>
              <w:tc>
                <w:tcPr>
                  <w:tcW w:w="333" w:type="pct"/>
                  <w:tcBorders>
                    <w:top w:val="single" w:color="auto" w:sz="4" w:space="0"/>
                    <w:left w:val="single" w:color="auto" w:sz="4" w:space="0"/>
                    <w:bottom w:val="single" w:color="auto" w:sz="4" w:space="0"/>
                    <w:right w:val="single" w:color="auto" w:sz="4" w:space="0"/>
                  </w:tcBorders>
                  <w:vAlign w:val="center"/>
                </w:tcPr>
                <w:p w14:paraId="61AD718C">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w:t>
                  </w:r>
                </w:p>
              </w:tc>
              <w:tc>
                <w:tcPr>
                  <w:tcW w:w="333" w:type="pct"/>
                  <w:tcBorders>
                    <w:top w:val="single" w:color="auto" w:sz="4" w:space="0"/>
                    <w:left w:val="single" w:color="auto" w:sz="4" w:space="0"/>
                    <w:bottom w:val="single" w:color="auto" w:sz="4" w:space="0"/>
                    <w:right w:val="single" w:color="auto" w:sz="4" w:space="0"/>
                  </w:tcBorders>
                  <w:vAlign w:val="center"/>
                </w:tcPr>
                <w:p w14:paraId="55E9EEBC">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w:t>
                  </w:r>
                </w:p>
              </w:tc>
              <w:tc>
                <w:tcPr>
                  <w:tcW w:w="333" w:type="pct"/>
                  <w:tcBorders>
                    <w:top w:val="single" w:color="auto" w:sz="4" w:space="0"/>
                    <w:left w:val="single" w:color="auto" w:sz="4" w:space="0"/>
                    <w:bottom w:val="single" w:color="auto" w:sz="4" w:space="0"/>
                    <w:right w:val="single" w:color="auto" w:sz="4" w:space="0"/>
                  </w:tcBorders>
                  <w:vAlign w:val="center"/>
                </w:tcPr>
                <w:p w14:paraId="0A788B33">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3</w:t>
                  </w:r>
                </w:p>
              </w:tc>
              <w:tc>
                <w:tcPr>
                  <w:tcW w:w="333" w:type="pct"/>
                  <w:tcBorders>
                    <w:top w:val="single" w:color="auto" w:sz="4" w:space="0"/>
                    <w:left w:val="single" w:color="auto" w:sz="4" w:space="0"/>
                    <w:bottom w:val="single" w:color="auto" w:sz="4" w:space="0"/>
                    <w:right w:val="single" w:color="auto" w:sz="4" w:space="0"/>
                  </w:tcBorders>
                  <w:vAlign w:val="center"/>
                </w:tcPr>
                <w:p w14:paraId="4D80E264">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4</w:t>
                  </w:r>
                </w:p>
              </w:tc>
              <w:tc>
                <w:tcPr>
                  <w:tcW w:w="333" w:type="pct"/>
                  <w:tcBorders>
                    <w:top w:val="single" w:color="auto" w:sz="4" w:space="0"/>
                    <w:left w:val="single" w:color="auto" w:sz="4" w:space="0"/>
                    <w:bottom w:val="single" w:color="auto" w:sz="4" w:space="0"/>
                    <w:right w:val="single" w:color="auto" w:sz="4" w:space="0"/>
                  </w:tcBorders>
                  <w:vAlign w:val="center"/>
                </w:tcPr>
                <w:p w14:paraId="6479FF6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5</w:t>
                  </w:r>
                </w:p>
              </w:tc>
              <w:tc>
                <w:tcPr>
                  <w:tcW w:w="333" w:type="pct"/>
                  <w:tcBorders>
                    <w:top w:val="single" w:color="auto" w:sz="4" w:space="0"/>
                    <w:left w:val="single" w:color="auto" w:sz="4" w:space="0"/>
                    <w:bottom w:val="single" w:color="auto" w:sz="4" w:space="0"/>
                    <w:right w:val="single" w:color="auto" w:sz="4" w:space="0"/>
                  </w:tcBorders>
                  <w:vAlign w:val="center"/>
                </w:tcPr>
                <w:p w14:paraId="3746F90A">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6</w:t>
                  </w:r>
                </w:p>
              </w:tc>
              <w:tc>
                <w:tcPr>
                  <w:tcW w:w="333" w:type="pct"/>
                  <w:tcBorders>
                    <w:top w:val="single" w:color="auto" w:sz="4" w:space="0"/>
                    <w:left w:val="single" w:color="auto" w:sz="4" w:space="0"/>
                    <w:bottom w:val="single" w:color="auto" w:sz="4" w:space="0"/>
                    <w:right w:val="single" w:color="auto" w:sz="4" w:space="0"/>
                  </w:tcBorders>
                  <w:vAlign w:val="center"/>
                </w:tcPr>
                <w:p w14:paraId="38CCD571">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7</w:t>
                  </w:r>
                </w:p>
              </w:tc>
              <w:tc>
                <w:tcPr>
                  <w:tcW w:w="333" w:type="pct"/>
                  <w:tcBorders>
                    <w:top w:val="single" w:color="auto" w:sz="4" w:space="0"/>
                    <w:left w:val="single" w:color="auto" w:sz="4" w:space="0"/>
                    <w:bottom w:val="single" w:color="auto" w:sz="4" w:space="0"/>
                    <w:right w:val="single" w:color="auto" w:sz="4" w:space="0"/>
                  </w:tcBorders>
                  <w:vAlign w:val="center"/>
                </w:tcPr>
                <w:p w14:paraId="25251D9B">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8</w:t>
                  </w:r>
                </w:p>
              </w:tc>
              <w:tc>
                <w:tcPr>
                  <w:tcW w:w="333" w:type="pct"/>
                  <w:tcBorders>
                    <w:top w:val="single" w:color="auto" w:sz="4" w:space="0"/>
                    <w:left w:val="single" w:color="auto" w:sz="4" w:space="0"/>
                    <w:bottom w:val="single" w:color="auto" w:sz="4" w:space="0"/>
                    <w:right w:val="single" w:color="auto" w:sz="4" w:space="0"/>
                  </w:tcBorders>
                  <w:vAlign w:val="center"/>
                </w:tcPr>
                <w:p w14:paraId="1BED76B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9</w:t>
                  </w:r>
                </w:p>
              </w:tc>
              <w:tc>
                <w:tcPr>
                  <w:tcW w:w="333" w:type="pct"/>
                  <w:tcBorders>
                    <w:top w:val="single" w:color="auto" w:sz="4" w:space="0"/>
                    <w:left w:val="single" w:color="auto" w:sz="4" w:space="0"/>
                    <w:bottom w:val="single" w:color="auto" w:sz="4" w:space="0"/>
                    <w:right w:val="single" w:color="auto" w:sz="4" w:space="0"/>
                  </w:tcBorders>
                  <w:vAlign w:val="center"/>
                </w:tcPr>
                <w:p w14:paraId="7FEFEED1">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10</w:t>
                  </w:r>
                </w:p>
              </w:tc>
              <w:tc>
                <w:tcPr>
                  <w:tcW w:w="333" w:type="pct"/>
                  <w:tcBorders>
                    <w:top w:val="single" w:color="auto" w:sz="4" w:space="0"/>
                    <w:left w:val="single" w:color="auto" w:sz="4" w:space="0"/>
                    <w:bottom w:val="single" w:color="auto" w:sz="4" w:space="0"/>
                    <w:right w:val="single" w:color="auto" w:sz="4" w:space="0"/>
                  </w:tcBorders>
                  <w:vAlign w:val="center"/>
                </w:tcPr>
                <w:p w14:paraId="32A9CBCD">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11</w:t>
                  </w:r>
                </w:p>
              </w:tc>
              <w:tc>
                <w:tcPr>
                  <w:tcW w:w="333" w:type="pct"/>
                  <w:tcBorders>
                    <w:top w:val="single" w:color="auto" w:sz="4" w:space="0"/>
                    <w:left w:val="single" w:color="auto" w:sz="4" w:space="0"/>
                    <w:bottom w:val="single" w:color="auto" w:sz="4" w:space="0"/>
                    <w:right w:val="single" w:color="auto" w:sz="4" w:space="0"/>
                  </w:tcBorders>
                  <w:vAlign w:val="center"/>
                </w:tcPr>
                <w:p w14:paraId="36FC4553">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12</w:t>
                  </w:r>
                </w:p>
              </w:tc>
              <w:tc>
                <w:tcPr>
                  <w:tcW w:w="363" w:type="pct"/>
                  <w:tcBorders>
                    <w:top w:val="single" w:color="auto" w:sz="4" w:space="0"/>
                    <w:left w:val="single" w:color="auto" w:sz="4" w:space="0"/>
                    <w:bottom w:val="single" w:color="auto" w:sz="4" w:space="0"/>
                    <w:right w:val="single" w:color="auto" w:sz="4" w:space="0"/>
                  </w:tcBorders>
                  <w:vAlign w:val="center"/>
                </w:tcPr>
                <w:p w14:paraId="06FC506E">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平均</w:t>
                  </w:r>
                </w:p>
              </w:tc>
            </w:tr>
            <w:tr w14:paraId="6574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3DDF31B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2020</w:t>
                  </w:r>
                </w:p>
              </w:tc>
              <w:tc>
                <w:tcPr>
                  <w:tcW w:w="333" w:type="pct"/>
                  <w:tcBorders>
                    <w:top w:val="single" w:color="auto" w:sz="4" w:space="0"/>
                    <w:left w:val="single" w:color="auto" w:sz="4" w:space="0"/>
                    <w:bottom w:val="single" w:color="auto" w:sz="4" w:space="0"/>
                    <w:right w:val="single" w:color="auto" w:sz="4" w:space="0"/>
                  </w:tcBorders>
                  <w:vAlign w:val="center"/>
                </w:tcPr>
                <w:p w14:paraId="368345F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2.43</w:t>
                  </w:r>
                </w:p>
              </w:tc>
              <w:tc>
                <w:tcPr>
                  <w:tcW w:w="333" w:type="pct"/>
                  <w:tcBorders>
                    <w:top w:val="single" w:color="auto" w:sz="4" w:space="0"/>
                    <w:left w:val="single" w:color="auto" w:sz="4" w:space="0"/>
                    <w:bottom w:val="single" w:color="auto" w:sz="4" w:space="0"/>
                    <w:right w:val="single" w:color="auto" w:sz="4" w:space="0"/>
                  </w:tcBorders>
                  <w:vAlign w:val="center"/>
                </w:tcPr>
                <w:p w14:paraId="65202B0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2.12</w:t>
                  </w:r>
                </w:p>
              </w:tc>
              <w:tc>
                <w:tcPr>
                  <w:tcW w:w="333" w:type="pct"/>
                  <w:tcBorders>
                    <w:top w:val="single" w:color="auto" w:sz="4" w:space="0"/>
                    <w:left w:val="single" w:color="auto" w:sz="4" w:space="0"/>
                    <w:bottom w:val="single" w:color="auto" w:sz="4" w:space="0"/>
                    <w:right w:val="single" w:color="auto" w:sz="4" w:space="0"/>
                  </w:tcBorders>
                  <w:vAlign w:val="center"/>
                </w:tcPr>
                <w:p w14:paraId="1E1FE05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2.89</w:t>
                  </w:r>
                </w:p>
              </w:tc>
              <w:tc>
                <w:tcPr>
                  <w:tcW w:w="333" w:type="pct"/>
                  <w:tcBorders>
                    <w:top w:val="single" w:color="auto" w:sz="4" w:space="0"/>
                    <w:left w:val="single" w:color="auto" w:sz="4" w:space="0"/>
                    <w:bottom w:val="single" w:color="auto" w:sz="4" w:space="0"/>
                    <w:right w:val="single" w:color="auto" w:sz="4" w:space="0"/>
                  </w:tcBorders>
                  <w:vAlign w:val="center"/>
                </w:tcPr>
                <w:p w14:paraId="47EE754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3.02</w:t>
                  </w:r>
                </w:p>
              </w:tc>
              <w:tc>
                <w:tcPr>
                  <w:tcW w:w="333" w:type="pct"/>
                  <w:tcBorders>
                    <w:top w:val="single" w:color="auto" w:sz="4" w:space="0"/>
                    <w:left w:val="single" w:color="auto" w:sz="4" w:space="0"/>
                    <w:bottom w:val="single" w:color="auto" w:sz="4" w:space="0"/>
                    <w:right w:val="single" w:color="auto" w:sz="4" w:space="0"/>
                  </w:tcBorders>
                  <w:vAlign w:val="center"/>
                </w:tcPr>
                <w:p w14:paraId="2215C81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2.48</w:t>
                  </w:r>
                </w:p>
              </w:tc>
              <w:tc>
                <w:tcPr>
                  <w:tcW w:w="333" w:type="pct"/>
                  <w:tcBorders>
                    <w:top w:val="single" w:color="auto" w:sz="4" w:space="0"/>
                    <w:left w:val="single" w:color="auto" w:sz="4" w:space="0"/>
                    <w:bottom w:val="single" w:color="auto" w:sz="4" w:space="0"/>
                    <w:right w:val="single" w:color="auto" w:sz="4" w:space="0"/>
                  </w:tcBorders>
                  <w:vAlign w:val="center"/>
                </w:tcPr>
                <w:p w14:paraId="38A9BCAC">
                  <w:pPr>
                    <w:pStyle w:val="206"/>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2</w:t>
                  </w:r>
                  <w:r>
                    <w:rPr>
                      <w:rFonts w:hint="eastAsia"/>
                      <w:color w:val="000000" w:themeColor="text1"/>
                      <w:sz w:val="21"/>
                      <w:szCs w:val="21"/>
                      <w:lang w:val="en-US"/>
                      <w14:textFill>
                        <w14:solidFill>
                          <w14:schemeClr w14:val="tx1"/>
                        </w14:solidFill>
                      </w14:textFill>
                    </w:rPr>
                    <w:t>.33</w:t>
                  </w:r>
                </w:p>
              </w:tc>
              <w:tc>
                <w:tcPr>
                  <w:tcW w:w="333" w:type="pct"/>
                  <w:tcBorders>
                    <w:top w:val="single" w:color="auto" w:sz="4" w:space="0"/>
                    <w:left w:val="single" w:color="auto" w:sz="4" w:space="0"/>
                    <w:bottom w:val="single" w:color="auto" w:sz="4" w:space="0"/>
                    <w:right w:val="single" w:color="auto" w:sz="4" w:space="0"/>
                  </w:tcBorders>
                  <w:vAlign w:val="center"/>
                </w:tcPr>
                <w:p w14:paraId="62B7F3AA">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2.19</w:t>
                  </w:r>
                </w:p>
              </w:tc>
              <w:tc>
                <w:tcPr>
                  <w:tcW w:w="333" w:type="pct"/>
                  <w:tcBorders>
                    <w:top w:val="single" w:color="auto" w:sz="4" w:space="0"/>
                    <w:left w:val="single" w:color="auto" w:sz="4" w:space="0"/>
                    <w:bottom w:val="single" w:color="auto" w:sz="4" w:space="0"/>
                    <w:right w:val="single" w:color="auto" w:sz="4" w:space="0"/>
                  </w:tcBorders>
                  <w:vAlign w:val="center"/>
                </w:tcPr>
                <w:p w14:paraId="460BB12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2.12</w:t>
                  </w:r>
                </w:p>
              </w:tc>
              <w:tc>
                <w:tcPr>
                  <w:tcW w:w="333" w:type="pct"/>
                  <w:tcBorders>
                    <w:top w:val="single" w:color="auto" w:sz="4" w:space="0"/>
                    <w:left w:val="single" w:color="auto" w:sz="4" w:space="0"/>
                    <w:bottom w:val="single" w:color="auto" w:sz="4" w:space="0"/>
                    <w:right w:val="single" w:color="auto" w:sz="4" w:space="0"/>
                  </w:tcBorders>
                  <w:vAlign w:val="center"/>
                </w:tcPr>
                <w:p w14:paraId="4997EA54">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1.89</w:t>
                  </w:r>
                </w:p>
              </w:tc>
              <w:tc>
                <w:tcPr>
                  <w:tcW w:w="333" w:type="pct"/>
                  <w:tcBorders>
                    <w:top w:val="single" w:color="auto" w:sz="4" w:space="0"/>
                    <w:left w:val="single" w:color="auto" w:sz="4" w:space="0"/>
                    <w:bottom w:val="single" w:color="auto" w:sz="4" w:space="0"/>
                    <w:right w:val="single" w:color="auto" w:sz="4" w:space="0"/>
                  </w:tcBorders>
                  <w:vAlign w:val="center"/>
                </w:tcPr>
                <w:p w14:paraId="64056517">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2.33</w:t>
                  </w:r>
                </w:p>
              </w:tc>
              <w:tc>
                <w:tcPr>
                  <w:tcW w:w="333" w:type="pct"/>
                  <w:tcBorders>
                    <w:top w:val="single" w:color="auto" w:sz="4" w:space="0"/>
                    <w:left w:val="single" w:color="auto" w:sz="4" w:space="0"/>
                    <w:bottom w:val="single" w:color="auto" w:sz="4" w:space="0"/>
                    <w:right w:val="single" w:color="auto" w:sz="4" w:space="0"/>
                  </w:tcBorders>
                  <w:vAlign w:val="center"/>
                </w:tcPr>
                <w:p w14:paraId="3E04159F">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2.87</w:t>
                  </w:r>
                </w:p>
              </w:tc>
              <w:tc>
                <w:tcPr>
                  <w:tcW w:w="333" w:type="pct"/>
                  <w:tcBorders>
                    <w:top w:val="single" w:color="auto" w:sz="4" w:space="0"/>
                    <w:left w:val="single" w:color="auto" w:sz="4" w:space="0"/>
                    <w:bottom w:val="single" w:color="auto" w:sz="4" w:space="0"/>
                    <w:right w:val="single" w:color="auto" w:sz="4" w:space="0"/>
                  </w:tcBorders>
                  <w:vAlign w:val="center"/>
                </w:tcPr>
                <w:p w14:paraId="3DBE4EAD">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2.37</w:t>
                  </w:r>
                </w:p>
              </w:tc>
              <w:tc>
                <w:tcPr>
                  <w:tcW w:w="363" w:type="pct"/>
                  <w:tcBorders>
                    <w:top w:val="single" w:color="auto" w:sz="4" w:space="0"/>
                    <w:left w:val="single" w:color="auto" w:sz="4" w:space="0"/>
                    <w:bottom w:val="single" w:color="auto" w:sz="4" w:space="0"/>
                    <w:right w:val="single" w:color="auto" w:sz="4" w:space="0"/>
                  </w:tcBorders>
                  <w:vAlign w:val="center"/>
                </w:tcPr>
                <w:p w14:paraId="48DD1B7D">
                  <w:pPr>
                    <w:pStyle w:val="206"/>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2</w:t>
                  </w:r>
                  <w:r>
                    <w:rPr>
                      <w:rFonts w:hint="eastAsia"/>
                      <w:color w:val="000000" w:themeColor="text1"/>
                      <w:sz w:val="21"/>
                      <w:szCs w:val="21"/>
                      <w:lang w:val="en-US"/>
                      <w14:textFill>
                        <w14:solidFill>
                          <w14:schemeClr w14:val="tx1"/>
                        </w14:solidFill>
                      </w14:textFill>
                    </w:rPr>
                    <w:t>.42</w:t>
                  </w:r>
                </w:p>
              </w:tc>
            </w:tr>
            <w:tr w14:paraId="32AB5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3C8764D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2021</w:t>
                  </w:r>
                </w:p>
              </w:tc>
              <w:tc>
                <w:tcPr>
                  <w:tcW w:w="333" w:type="pct"/>
                  <w:tcBorders>
                    <w:top w:val="single" w:color="auto" w:sz="4" w:space="0"/>
                    <w:left w:val="single" w:color="auto" w:sz="4" w:space="0"/>
                    <w:bottom w:val="single" w:color="auto" w:sz="4" w:space="0"/>
                    <w:right w:val="single" w:color="auto" w:sz="4" w:space="0"/>
                  </w:tcBorders>
                  <w:vAlign w:val="center"/>
                </w:tcPr>
                <w:p w14:paraId="313347CB">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2.77</w:t>
                  </w:r>
                </w:p>
              </w:tc>
              <w:tc>
                <w:tcPr>
                  <w:tcW w:w="333" w:type="pct"/>
                  <w:tcBorders>
                    <w:top w:val="single" w:color="auto" w:sz="4" w:space="0"/>
                    <w:left w:val="single" w:color="auto" w:sz="4" w:space="0"/>
                    <w:bottom w:val="single" w:color="auto" w:sz="4" w:space="0"/>
                    <w:right w:val="single" w:color="auto" w:sz="4" w:space="0"/>
                  </w:tcBorders>
                  <w:vAlign w:val="center"/>
                </w:tcPr>
                <w:p w14:paraId="1756147C">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2.21</w:t>
                  </w:r>
                </w:p>
              </w:tc>
              <w:tc>
                <w:tcPr>
                  <w:tcW w:w="333" w:type="pct"/>
                  <w:tcBorders>
                    <w:top w:val="single" w:color="auto" w:sz="4" w:space="0"/>
                    <w:left w:val="single" w:color="auto" w:sz="4" w:space="0"/>
                    <w:bottom w:val="single" w:color="auto" w:sz="4" w:space="0"/>
                    <w:right w:val="single" w:color="auto" w:sz="4" w:space="0"/>
                  </w:tcBorders>
                  <w:vAlign w:val="center"/>
                </w:tcPr>
                <w:p w14:paraId="5C5C957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2.65</w:t>
                  </w:r>
                </w:p>
              </w:tc>
              <w:tc>
                <w:tcPr>
                  <w:tcW w:w="333" w:type="pct"/>
                  <w:tcBorders>
                    <w:top w:val="single" w:color="auto" w:sz="4" w:space="0"/>
                    <w:left w:val="single" w:color="auto" w:sz="4" w:space="0"/>
                    <w:bottom w:val="single" w:color="auto" w:sz="4" w:space="0"/>
                    <w:right w:val="single" w:color="auto" w:sz="4" w:space="0"/>
                  </w:tcBorders>
                  <w:vAlign w:val="center"/>
                </w:tcPr>
                <w:p w14:paraId="66DDD2F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2.76</w:t>
                  </w:r>
                </w:p>
              </w:tc>
              <w:tc>
                <w:tcPr>
                  <w:tcW w:w="333" w:type="pct"/>
                  <w:tcBorders>
                    <w:top w:val="single" w:color="auto" w:sz="4" w:space="0"/>
                    <w:left w:val="single" w:color="auto" w:sz="4" w:space="0"/>
                    <w:bottom w:val="single" w:color="auto" w:sz="4" w:space="0"/>
                    <w:right w:val="single" w:color="auto" w:sz="4" w:space="0"/>
                  </w:tcBorders>
                  <w:vAlign w:val="center"/>
                </w:tcPr>
                <w:p w14:paraId="66F30912">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2.29</w:t>
                  </w:r>
                </w:p>
              </w:tc>
              <w:tc>
                <w:tcPr>
                  <w:tcW w:w="333" w:type="pct"/>
                  <w:tcBorders>
                    <w:top w:val="single" w:color="auto" w:sz="4" w:space="0"/>
                    <w:left w:val="single" w:color="auto" w:sz="4" w:space="0"/>
                    <w:bottom w:val="single" w:color="auto" w:sz="4" w:space="0"/>
                    <w:right w:val="single" w:color="auto" w:sz="4" w:space="0"/>
                  </w:tcBorders>
                  <w:vAlign w:val="center"/>
                </w:tcPr>
                <w:p w14:paraId="14AFF25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2.17</w:t>
                  </w:r>
                </w:p>
              </w:tc>
              <w:tc>
                <w:tcPr>
                  <w:tcW w:w="333" w:type="pct"/>
                  <w:tcBorders>
                    <w:top w:val="single" w:color="auto" w:sz="4" w:space="0"/>
                    <w:left w:val="single" w:color="auto" w:sz="4" w:space="0"/>
                    <w:bottom w:val="single" w:color="auto" w:sz="4" w:space="0"/>
                    <w:right w:val="single" w:color="auto" w:sz="4" w:space="0"/>
                  </w:tcBorders>
                  <w:vAlign w:val="center"/>
                </w:tcPr>
                <w:p w14:paraId="3CF10F02">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2.38</w:t>
                  </w:r>
                </w:p>
              </w:tc>
              <w:tc>
                <w:tcPr>
                  <w:tcW w:w="333" w:type="pct"/>
                  <w:tcBorders>
                    <w:top w:val="single" w:color="auto" w:sz="4" w:space="0"/>
                    <w:left w:val="single" w:color="auto" w:sz="4" w:space="0"/>
                    <w:bottom w:val="single" w:color="auto" w:sz="4" w:space="0"/>
                    <w:right w:val="single" w:color="auto" w:sz="4" w:space="0"/>
                  </w:tcBorders>
                  <w:vAlign w:val="center"/>
                </w:tcPr>
                <w:p w14:paraId="06D98EEE">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1.95</w:t>
                  </w:r>
                </w:p>
              </w:tc>
              <w:tc>
                <w:tcPr>
                  <w:tcW w:w="333" w:type="pct"/>
                  <w:tcBorders>
                    <w:top w:val="single" w:color="auto" w:sz="4" w:space="0"/>
                    <w:left w:val="single" w:color="auto" w:sz="4" w:space="0"/>
                    <w:bottom w:val="single" w:color="auto" w:sz="4" w:space="0"/>
                    <w:right w:val="single" w:color="auto" w:sz="4" w:space="0"/>
                  </w:tcBorders>
                  <w:vAlign w:val="center"/>
                </w:tcPr>
                <w:p w14:paraId="634CF3B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2.03</w:t>
                  </w:r>
                </w:p>
              </w:tc>
              <w:tc>
                <w:tcPr>
                  <w:tcW w:w="333" w:type="pct"/>
                  <w:tcBorders>
                    <w:top w:val="single" w:color="auto" w:sz="4" w:space="0"/>
                    <w:left w:val="single" w:color="auto" w:sz="4" w:space="0"/>
                    <w:bottom w:val="single" w:color="auto" w:sz="4" w:space="0"/>
                    <w:right w:val="single" w:color="auto" w:sz="4" w:space="0"/>
                  </w:tcBorders>
                  <w:vAlign w:val="center"/>
                </w:tcPr>
                <w:p w14:paraId="1A2E704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2.78</w:t>
                  </w:r>
                </w:p>
              </w:tc>
              <w:tc>
                <w:tcPr>
                  <w:tcW w:w="333" w:type="pct"/>
                  <w:tcBorders>
                    <w:top w:val="single" w:color="auto" w:sz="4" w:space="0"/>
                    <w:left w:val="single" w:color="auto" w:sz="4" w:space="0"/>
                    <w:bottom w:val="single" w:color="auto" w:sz="4" w:space="0"/>
                    <w:right w:val="single" w:color="auto" w:sz="4" w:space="0"/>
                  </w:tcBorders>
                  <w:vAlign w:val="center"/>
                </w:tcPr>
                <w:p w14:paraId="029506A5">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2.65</w:t>
                  </w:r>
                </w:p>
              </w:tc>
              <w:tc>
                <w:tcPr>
                  <w:tcW w:w="333" w:type="pct"/>
                  <w:tcBorders>
                    <w:top w:val="single" w:color="auto" w:sz="4" w:space="0"/>
                    <w:left w:val="single" w:color="auto" w:sz="4" w:space="0"/>
                    <w:bottom w:val="single" w:color="auto" w:sz="4" w:space="0"/>
                    <w:right w:val="single" w:color="auto" w:sz="4" w:space="0"/>
                  </w:tcBorders>
                  <w:vAlign w:val="center"/>
                </w:tcPr>
                <w:p w14:paraId="2A2C8EAE">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2.34</w:t>
                  </w:r>
                </w:p>
              </w:tc>
              <w:tc>
                <w:tcPr>
                  <w:tcW w:w="363" w:type="pct"/>
                  <w:tcBorders>
                    <w:top w:val="single" w:color="auto" w:sz="4" w:space="0"/>
                    <w:left w:val="single" w:color="auto" w:sz="4" w:space="0"/>
                    <w:bottom w:val="single" w:color="auto" w:sz="4" w:space="0"/>
                    <w:right w:val="single" w:color="auto" w:sz="4" w:space="0"/>
                  </w:tcBorders>
                  <w:vAlign w:val="center"/>
                </w:tcPr>
                <w:p w14:paraId="0A6A7F8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2.41</w:t>
                  </w:r>
                </w:p>
              </w:tc>
            </w:tr>
            <w:tr w14:paraId="417D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726E1284">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2022</w:t>
                  </w:r>
                </w:p>
              </w:tc>
              <w:tc>
                <w:tcPr>
                  <w:tcW w:w="333" w:type="pct"/>
                  <w:tcBorders>
                    <w:top w:val="single" w:color="auto" w:sz="4" w:space="0"/>
                    <w:left w:val="single" w:color="auto" w:sz="4" w:space="0"/>
                    <w:bottom w:val="single" w:color="auto" w:sz="4" w:space="0"/>
                    <w:right w:val="single" w:color="auto" w:sz="4" w:space="0"/>
                  </w:tcBorders>
                  <w:vAlign w:val="center"/>
                </w:tcPr>
                <w:p w14:paraId="03C935C3">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2.98</w:t>
                  </w:r>
                </w:p>
              </w:tc>
              <w:tc>
                <w:tcPr>
                  <w:tcW w:w="333" w:type="pct"/>
                  <w:tcBorders>
                    <w:top w:val="single" w:color="auto" w:sz="4" w:space="0"/>
                    <w:left w:val="single" w:color="auto" w:sz="4" w:space="0"/>
                    <w:bottom w:val="single" w:color="auto" w:sz="4" w:space="0"/>
                    <w:right w:val="single" w:color="auto" w:sz="4" w:space="0"/>
                  </w:tcBorders>
                  <w:vAlign w:val="center"/>
                </w:tcPr>
                <w:p w14:paraId="59202B37">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2.44</w:t>
                  </w:r>
                </w:p>
              </w:tc>
              <w:tc>
                <w:tcPr>
                  <w:tcW w:w="333" w:type="pct"/>
                  <w:tcBorders>
                    <w:top w:val="single" w:color="auto" w:sz="4" w:space="0"/>
                    <w:left w:val="single" w:color="auto" w:sz="4" w:space="0"/>
                    <w:bottom w:val="single" w:color="auto" w:sz="4" w:space="0"/>
                    <w:right w:val="single" w:color="auto" w:sz="4" w:space="0"/>
                  </w:tcBorders>
                  <w:vAlign w:val="center"/>
                </w:tcPr>
                <w:p w14:paraId="4226D1B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2.45</w:t>
                  </w:r>
                </w:p>
              </w:tc>
              <w:tc>
                <w:tcPr>
                  <w:tcW w:w="333" w:type="pct"/>
                  <w:tcBorders>
                    <w:top w:val="single" w:color="auto" w:sz="4" w:space="0"/>
                    <w:left w:val="single" w:color="auto" w:sz="4" w:space="0"/>
                    <w:bottom w:val="single" w:color="auto" w:sz="4" w:space="0"/>
                    <w:right w:val="single" w:color="auto" w:sz="4" w:space="0"/>
                  </w:tcBorders>
                  <w:vAlign w:val="center"/>
                </w:tcPr>
                <w:p w14:paraId="6648598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2.18</w:t>
                  </w:r>
                </w:p>
              </w:tc>
              <w:tc>
                <w:tcPr>
                  <w:tcW w:w="333" w:type="pct"/>
                  <w:tcBorders>
                    <w:top w:val="single" w:color="auto" w:sz="4" w:space="0"/>
                    <w:left w:val="single" w:color="auto" w:sz="4" w:space="0"/>
                    <w:bottom w:val="single" w:color="auto" w:sz="4" w:space="0"/>
                    <w:right w:val="single" w:color="auto" w:sz="4" w:space="0"/>
                  </w:tcBorders>
                  <w:vAlign w:val="center"/>
                </w:tcPr>
                <w:p w14:paraId="009FA082">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3.36</w:t>
                  </w:r>
                </w:p>
              </w:tc>
              <w:tc>
                <w:tcPr>
                  <w:tcW w:w="333" w:type="pct"/>
                  <w:tcBorders>
                    <w:top w:val="single" w:color="auto" w:sz="4" w:space="0"/>
                    <w:left w:val="single" w:color="auto" w:sz="4" w:space="0"/>
                    <w:bottom w:val="single" w:color="auto" w:sz="4" w:space="0"/>
                    <w:right w:val="single" w:color="auto" w:sz="4" w:space="0"/>
                  </w:tcBorders>
                  <w:vAlign w:val="center"/>
                </w:tcPr>
                <w:p w14:paraId="06DD568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2.32</w:t>
                  </w:r>
                </w:p>
              </w:tc>
              <w:tc>
                <w:tcPr>
                  <w:tcW w:w="333" w:type="pct"/>
                  <w:tcBorders>
                    <w:top w:val="single" w:color="auto" w:sz="4" w:space="0"/>
                    <w:left w:val="single" w:color="auto" w:sz="4" w:space="0"/>
                    <w:bottom w:val="single" w:color="auto" w:sz="4" w:space="0"/>
                    <w:right w:val="single" w:color="auto" w:sz="4" w:space="0"/>
                  </w:tcBorders>
                  <w:vAlign w:val="center"/>
                </w:tcPr>
                <w:p w14:paraId="744C139C">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2.12</w:t>
                  </w:r>
                </w:p>
              </w:tc>
              <w:tc>
                <w:tcPr>
                  <w:tcW w:w="333" w:type="pct"/>
                  <w:tcBorders>
                    <w:top w:val="single" w:color="auto" w:sz="4" w:space="0"/>
                    <w:left w:val="single" w:color="auto" w:sz="4" w:space="0"/>
                    <w:bottom w:val="single" w:color="auto" w:sz="4" w:space="0"/>
                    <w:right w:val="single" w:color="auto" w:sz="4" w:space="0"/>
                  </w:tcBorders>
                  <w:vAlign w:val="center"/>
                </w:tcPr>
                <w:p w14:paraId="25994C5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1.73</w:t>
                  </w:r>
                </w:p>
              </w:tc>
              <w:tc>
                <w:tcPr>
                  <w:tcW w:w="333" w:type="pct"/>
                  <w:tcBorders>
                    <w:top w:val="single" w:color="auto" w:sz="4" w:space="0"/>
                    <w:left w:val="single" w:color="auto" w:sz="4" w:space="0"/>
                    <w:bottom w:val="single" w:color="auto" w:sz="4" w:space="0"/>
                    <w:right w:val="single" w:color="auto" w:sz="4" w:space="0"/>
                  </w:tcBorders>
                  <w:vAlign w:val="center"/>
                </w:tcPr>
                <w:p w14:paraId="0512367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1.98</w:t>
                  </w:r>
                </w:p>
              </w:tc>
              <w:tc>
                <w:tcPr>
                  <w:tcW w:w="333" w:type="pct"/>
                  <w:tcBorders>
                    <w:top w:val="single" w:color="auto" w:sz="4" w:space="0"/>
                    <w:left w:val="single" w:color="auto" w:sz="4" w:space="0"/>
                    <w:bottom w:val="single" w:color="auto" w:sz="4" w:space="0"/>
                    <w:right w:val="single" w:color="auto" w:sz="4" w:space="0"/>
                  </w:tcBorders>
                  <w:vAlign w:val="center"/>
                </w:tcPr>
                <w:p w14:paraId="26C0480D">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2.22</w:t>
                  </w:r>
                </w:p>
              </w:tc>
              <w:tc>
                <w:tcPr>
                  <w:tcW w:w="333" w:type="pct"/>
                  <w:tcBorders>
                    <w:top w:val="single" w:color="auto" w:sz="4" w:space="0"/>
                    <w:left w:val="single" w:color="auto" w:sz="4" w:space="0"/>
                    <w:bottom w:val="single" w:color="auto" w:sz="4" w:space="0"/>
                    <w:right w:val="single" w:color="auto" w:sz="4" w:space="0"/>
                  </w:tcBorders>
                  <w:vAlign w:val="center"/>
                </w:tcPr>
                <w:p w14:paraId="3998E5E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2.34</w:t>
                  </w:r>
                </w:p>
              </w:tc>
              <w:tc>
                <w:tcPr>
                  <w:tcW w:w="333" w:type="pct"/>
                  <w:tcBorders>
                    <w:top w:val="single" w:color="auto" w:sz="4" w:space="0"/>
                    <w:left w:val="single" w:color="auto" w:sz="4" w:space="0"/>
                    <w:bottom w:val="single" w:color="auto" w:sz="4" w:space="0"/>
                    <w:right w:val="single" w:color="auto" w:sz="4" w:space="0"/>
                  </w:tcBorders>
                  <w:vAlign w:val="center"/>
                </w:tcPr>
                <w:p w14:paraId="39B7A355">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2.54</w:t>
                  </w:r>
                </w:p>
              </w:tc>
              <w:tc>
                <w:tcPr>
                  <w:tcW w:w="363" w:type="pct"/>
                  <w:tcBorders>
                    <w:top w:val="single" w:color="auto" w:sz="4" w:space="0"/>
                    <w:left w:val="single" w:color="auto" w:sz="4" w:space="0"/>
                    <w:bottom w:val="single" w:color="auto" w:sz="4" w:space="0"/>
                    <w:right w:val="single" w:color="auto" w:sz="4" w:space="0"/>
                  </w:tcBorders>
                  <w:vAlign w:val="center"/>
                </w:tcPr>
                <w:p w14:paraId="5501CF5E">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2.39</w:t>
                  </w:r>
                </w:p>
              </w:tc>
            </w:tr>
            <w:tr w14:paraId="614E2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777503EF">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2023</w:t>
                  </w:r>
                </w:p>
              </w:tc>
              <w:tc>
                <w:tcPr>
                  <w:tcW w:w="333" w:type="pct"/>
                  <w:tcBorders>
                    <w:top w:val="single" w:color="auto" w:sz="4" w:space="0"/>
                    <w:left w:val="single" w:color="auto" w:sz="4" w:space="0"/>
                    <w:bottom w:val="single" w:color="auto" w:sz="4" w:space="0"/>
                    <w:right w:val="single" w:color="auto" w:sz="4" w:space="0"/>
                  </w:tcBorders>
                  <w:vAlign w:val="center"/>
                </w:tcPr>
                <w:p w14:paraId="5F24E4A7">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2.76</w:t>
                  </w:r>
                </w:p>
              </w:tc>
              <w:tc>
                <w:tcPr>
                  <w:tcW w:w="333" w:type="pct"/>
                  <w:tcBorders>
                    <w:top w:val="single" w:color="auto" w:sz="4" w:space="0"/>
                    <w:left w:val="single" w:color="auto" w:sz="4" w:space="0"/>
                    <w:bottom w:val="single" w:color="auto" w:sz="4" w:space="0"/>
                    <w:right w:val="single" w:color="auto" w:sz="4" w:space="0"/>
                  </w:tcBorders>
                  <w:vAlign w:val="center"/>
                </w:tcPr>
                <w:p w14:paraId="2564CC30">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2.43</w:t>
                  </w:r>
                </w:p>
              </w:tc>
              <w:tc>
                <w:tcPr>
                  <w:tcW w:w="333" w:type="pct"/>
                  <w:tcBorders>
                    <w:top w:val="single" w:color="auto" w:sz="4" w:space="0"/>
                    <w:left w:val="single" w:color="auto" w:sz="4" w:space="0"/>
                    <w:bottom w:val="single" w:color="auto" w:sz="4" w:space="0"/>
                    <w:right w:val="single" w:color="auto" w:sz="4" w:space="0"/>
                  </w:tcBorders>
                  <w:vAlign w:val="center"/>
                </w:tcPr>
                <w:p w14:paraId="26FA0809">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2.44</w:t>
                  </w:r>
                </w:p>
              </w:tc>
              <w:tc>
                <w:tcPr>
                  <w:tcW w:w="333" w:type="pct"/>
                  <w:tcBorders>
                    <w:top w:val="single" w:color="auto" w:sz="4" w:space="0"/>
                    <w:left w:val="single" w:color="auto" w:sz="4" w:space="0"/>
                    <w:bottom w:val="single" w:color="auto" w:sz="4" w:space="0"/>
                    <w:right w:val="single" w:color="auto" w:sz="4" w:space="0"/>
                  </w:tcBorders>
                  <w:vAlign w:val="center"/>
                </w:tcPr>
                <w:p w14:paraId="6112F664">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2.99</w:t>
                  </w:r>
                </w:p>
              </w:tc>
              <w:tc>
                <w:tcPr>
                  <w:tcW w:w="333" w:type="pct"/>
                  <w:tcBorders>
                    <w:top w:val="single" w:color="auto" w:sz="4" w:space="0"/>
                    <w:left w:val="single" w:color="auto" w:sz="4" w:space="0"/>
                    <w:bottom w:val="single" w:color="auto" w:sz="4" w:space="0"/>
                    <w:right w:val="single" w:color="auto" w:sz="4" w:space="0"/>
                  </w:tcBorders>
                  <w:vAlign w:val="center"/>
                </w:tcPr>
                <w:p w14:paraId="2F835237">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2.85</w:t>
                  </w:r>
                </w:p>
              </w:tc>
              <w:tc>
                <w:tcPr>
                  <w:tcW w:w="333" w:type="pct"/>
                  <w:tcBorders>
                    <w:top w:val="single" w:color="auto" w:sz="4" w:space="0"/>
                    <w:left w:val="single" w:color="auto" w:sz="4" w:space="0"/>
                    <w:bottom w:val="single" w:color="auto" w:sz="4" w:space="0"/>
                    <w:right w:val="single" w:color="auto" w:sz="4" w:space="0"/>
                  </w:tcBorders>
                  <w:vAlign w:val="center"/>
                </w:tcPr>
                <w:p w14:paraId="5BF5D36F">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2.15</w:t>
                  </w:r>
                </w:p>
              </w:tc>
              <w:tc>
                <w:tcPr>
                  <w:tcW w:w="333" w:type="pct"/>
                  <w:tcBorders>
                    <w:top w:val="single" w:color="auto" w:sz="4" w:space="0"/>
                    <w:left w:val="single" w:color="auto" w:sz="4" w:space="0"/>
                    <w:bottom w:val="single" w:color="auto" w:sz="4" w:space="0"/>
                    <w:right w:val="single" w:color="auto" w:sz="4" w:space="0"/>
                  </w:tcBorders>
                  <w:vAlign w:val="center"/>
                </w:tcPr>
                <w:p w14:paraId="00BD1FCC">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2.23</w:t>
                  </w:r>
                </w:p>
              </w:tc>
              <w:tc>
                <w:tcPr>
                  <w:tcW w:w="333" w:type="pct"/>
                  <w:tcBorders>
                    <w:top w:val="single" w:color="auto" w:sz="4" w:space="0"/>
                    <w:left w:val="single" w:color="auto" w:sz="4" w:space="0"/>
                    <w:bottom w:val="single" w:color="auto" w:sz="4" w:space="0"/>
                    <w:right w:val="single" w:color="auto" w:sz="4" w:space="0"/>
                  </w:tcBorders>
                  <w:vAlign w:val="center"/>
                </w:tcPr>
                <w:p w14:paraId="727979BF">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2.01</w:t>
                  </w:r>
                </w:p>
              </w:tc>
              <w:tc>
                <w:tcPr>
                  <w:tcW w:w="333" w:type="pct"/>
                  <w:tcBorders>
                    <w:top w:val="single" w:color="auto" w:sz="4" w:space="0"/>
                    <w:left w:val="single" w:color="auto" w:sz="4" w:space="0"/>
                    <w:bottom w:val="single" w:color="auto" w:sz="4" w:space="0"/>
                    <w:right w:val="single" w:color="auto" w:sz="4" w:space="0"/>
                  </w:tcBorders>
                  <w:vAlign w:val="center"/>
                </w:tcPr>
                <w:p w14:paraId="39408DC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2.05</w:t>
                  </w:r>
                </w:p>
              </w:tc>
              <w:tc>
                <w:tcPr>
                  <w:tcW w:w="333" w:type="pct"/>
                  <w:tcBorders>
                    <w:top w:val="single" w:color="auto" w:sz="4" w:space="0"/>
                    <w:left w:val="single" w:color="auto" w:sz="4" w:space="0"/>
                    <w:bottom w:val="single" w:color="auto" w:sz="4" w:space="0"/>
                    <w:right w:val="single" w:color="auto" w:sz="4" w:space="0"/>
                  </w:tcBorders>
                  <w:vAlign w:val="center"/>
                </w:tcPr>
                <w:p w14:paraId="7C8BADD5">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2.56</w:t>
                  </w:r>
                </w:p>
              </w:tc>
              <w:tc>
                <w:tcPr>
                  <w:tcW w:w="333" w:type="pct"/>
                  <w:tcBorders>
                    <w:top w:val="single" w:color="auto" w:sz="4" w:space="0"/>
                    <w:left w:val="single" w:color="auto" w:sz="4" w:space="0"/>
                    <w:bottom w:val="single" w:color="auto" w:sz="4" w:space="0"/>
                    <w:right w:val="single" w:color="auto" w:sz="4" w:space="0"/>
                  </w:tcBorders>
                  <w:vAlign w:val="center"/>
                </w:tcPr>
                <w:p w14:paraId="1598BA7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2.37</w:t>
                  </w:r>
                </w:p>
              </w:tc>
              <w:tc>
                <w:tcPr>
                  <w:tcW w:w="333" w:type="pct"/>
                  <w:tcBorders>
                    <w:top w:val="single" w:color="auto" w:sz="4" w:space="0"/>
                    <w:left w:val="single" w:color="auto" w:sz="4" w:space="0"/>
                    <w:bottom w:val="single" w:color="auto" w:sz="4" w:space="0"/>
                    <w:right w:val="single" w:color="auto" w:sz="4" w:space="0"/>
                  </w:tcBorders>
                  <w:vAlign w:val="center"/>
                </w:tcPr>
                <w:p w14:paraId="1F364B43">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2.87</w:t>
                  </w:r>
                </w:p>
              </w:tc>
              <w:tc>
                <w:tcPr>
                  <w:tcW w:w="363" w:type="pct"/>
                  <w:tcBorders>
                    <w:top w:val="single" w:color="auto" w:sz="4" w:space="0"/>
                    <w:left w:val="single" w:color="auto" w:sz="4" w:space="0"/>
                    <w:bottom w:val="single" w:color="auto" w:sz="4" w:space="0"/>
                    <w:right w:val="single" w:color="auto" w:sz="4" w:space="0"/>
                  </w:tcBorders>
                  <w:vAlign w:val="center"/>
                </w:tcPr>
                <w:p w14:paraId="00F20FA0">
                  <w:pPr>
                    <w:pStyle w:val="206"/>
                    <w:spacing w:line="240" w:lineRule="auto"/>
                    <w:ind w:firstLine="0" w:firstLineChars="0"/>
                    <w:jc w:val="center"/>
                    <w:rPr>
                      <w:color w:val="000000" w:themeColor="text1"/>
                      <w:sz w:val="21"/>
                      <w:szCs w:val="21"/>
                      <w:lang w:val="en-US"/>
                      <w14:textFill>
                        <w14:solidFill>
                          <w14:schemeClr w14:val="tx1"/>
                        </w14:solidFill>
                      </w14:textFill>
                    </w:rPr>
                  </w:pPr>
                  <w:r>
                    <w:rPr>
                      <w:color w:val="000000" w:themeColor="text1"/>
                      <w:sz w:val="21"/>
                      <w:szCs w:val="21"/>
                      <w:lang w:val="en-US"/>
                      <w14:textFill>
                        <w14:solidFill>
                          <w14:schemeClr w14:val="tx1"/>
                        </w14:solidFill>
                      </w14:textFill>
                    </w:rPr>
                    <w:t>2</w:t>
                  </w:r>
                  <w:r>
                    <w:rPr>
                      <w:rFonts w:hint="eastAsia"/>
                      <w:color w:val="000000" w:themeColor="text1"/>
                      <w:sz w:val="21"/>
                      <w:szCs w:val="21"/>
                      <w:lang w:val="en-US"/>
                      <w14:textFill>
                        <w14:solidFill>
                          <w14:schemeClr w14:val="tx1"/>
                        </w14:solidFill>
                      </w14:textFill>
                    </w:rPr>
                    <w:t>.47</w:t>
                  </w:r>
                </w:p>
              </w:tc>
            </w:tr>
            <w:tr w14:paraId="3066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14:paraId="0F732C8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2024</w:t>
                  </w:r>
                </w:p>
              </w:tc>
              <w:tc>
                <w:tcPr>
                  <w:tcW w:w="333" w:type="pct"/>
                  <w:tcBorders>
                    <w:top w:val="single" w:color="auto" w:sz="4" w:space="0"/>
                    <w:left w:val="single" w:color="auto" w:sz="4" w:space="0"/>
                    <w:bottom w:val="single" w:color="auto" w:sz="4" w:space="0"/>
                    <w:right w:val="single" w:color="auto" w:sz="4" w:space="0"/>
                  </w:tcBorders>
                  <w:vAlign w:val="center"/>
                </w:tcPr>
                <w:p w14:paraId="5080220A">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2.84</w:t>
                  </w:r>
                </w:p>
              </w:tc>
              <w:tc>
                <w:tcPr>
                  <w:tcW w:w="333" w:type="pct"/>
                  <w:tcBorders>
                    <w:top w:val="single" w:color="auto" w:sz="4" w:space="0"/>
                    <w:left w:val="single" w:color="auto" w:sz="4" w:space="0"/>
                    <w:bottom w:val="single" w:color="auto" w:sz="4" w:space="0"/>
                    <w:right w:val="single" w:color="auto" w:sz="4" w:space="0"/>
                  </w:tcBorders>
                  <w:vAlign w:val="center"/>
                </w:tcPr>
                <w:p w14:paraId="5EA6C22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2.56</w:t>
                  </w:r>
                </w:p>
              </w:tc>
              <w:tc>
                <w:tcPr>
                  <w:tcW w:w="333" w:type="pct"/>
                  <w:tcBorders>
                    <w:top w:val="single" w:color="auto" w:sz="4" w:space="0"/>
                    <w:left w:val="single" w:color="auto" w:sz="4" w:space="0"/>
                    <w:bottom w:val="single" w:color="auto" w:sz="4" w:space="0"/>
                    <w:right w:val="single" w:color="auto" w:sz="4" w:space="0"/>
                  </w:tcBorders>
                  <w:vAlign w:val="center"/>
                </w:tcPr>
                <w:p w14:paraId="3E736148">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2.33</w:t>
                  </w:r>
                </w:p>
              </w:tc>
              <w:tc>
                <w:tcPr>
                  <w:tcW w:w="333" w:type="pct"/>
                  <w:tcBorders>
                    <w:top w:val="single" w:color="auto" w:sz="4" w:space="0"/>
                    <w:left w:val="single" w:color="auto" w:sz="4" w:space="0"/>
                    <w:bottom w:val="single" w:color="auto" w:sz="4" w:space="0"/>
                    <w:right w:val="single" w:color="auto" w:sz="4" w:space="0"/>
                  </w:tcBorders>
                  <w:vAlign w:val="center"/>
                </w:tcPr>
                <w:p w14:paraId="6B67DE72">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2.67</w:t>
                  </w:r>
                </w:p>
              </w:tc>
              <w:tc>
                <w:tcPr>
                  <w:tcW w:w="333" w:type="pct"/>
                  <w:tcBorders>
                    <w:top w:val="single" w:color="auto" w:sz="4" w:space="0"/>
                    <w:left w:val="single" w:color="auto" w:sz="4" w:space="0"/>
                    <w:bottom w:val="single" w:color="auto" w:sz="4" w:space="0"/>
                    <w:right w:val="single" w:color="auto" w:sz="4" w:space="0"/>
                  </w:tcBorders>
                  <w:vAlign w:val="center"/>
                </w:tcPr>
                <w:p w14:paraId="0ACDACB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2.66</w:t>
                  </w:r>
                </w:p>
              </w:tc>
              <w:tc>
                <w:tcPr>
                  <w:tcW w:w="333" w:type="pct"/>
                  <w:tcBorders>
                    <w:top w:val="single" w:color="auto" w:sz="4" w:space="0"/>
                    <w:left w:val="single" w:color="auto" w:sz="4" w:space="0"/>
                    <w:bottom w:val="single" w:color="auto" w:sz="4" w:space="0"/>
                    <w:right w:val="single" w:color="auto" w:sz="4" w:space="0"/>
                  </w:tcBorders>
                  <w:vAlign w:val="center"/>
                </w:tcPr>
                <w:p w14:paraId="0F6767CF">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2.31</w:t>
                  </w:r>
                </w:p>
              </w:tc>
              <w:tc>
                <w:tcPr>
                  <w:tcW w:w="333" w:type="pct"/>
                  <w:tcBorders>
                    <w:top w:val="single" w:color="auto" w:sz="4" w:space="0"/>
                    <w:left w:val="single" w:color="auto" w:sz="4" w:space="0"/>
                    <w:bottom w:val="single" w:color="auto" w:sz="4" w:space="0"/>
                    <w:right w:val="single" w:color="auto" w:sz="4" w:space="0"/>
                  </w:tcBorders>
                  <w:vAlign w:val="center"/>
                </w:tcPr>
                <w:p w14:paraId="0D0631B1">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2.21</w:t>
                  </w:r>
                </w:p>
              </w:tc>
              <w:tc>
                <w:tcPr>
                  <w:tcW w:w="333" w:type="pct"/>
                  <w:tcBorders>
                    <w:top w:val="single" w:color="auto" w:sz="4" w:space="0"/>
                    <w:left w:val="single" w:color="auto" w:sz="4" w:space="0"/>
                    <w:bottom w:val="single" w:color="auto" w:sz="4" w:space="0"/>
                    <w:right w:val="single" w:color="auto" w:sz="4" w:space="0"/>
                  </w:tcBorders>
                  <w:vAlign w:val="center"/>
                </w:tcPr>
                <w:p w14:paraId="41ACFD5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2.15</w:t>
                  </w:r>
                </w:p>
              </w:tc>
              <w:tc>
                <w:tcPr>
                  <w:tcW w:w="333" w:type="pct"/>
                  <w:tcBorders>
                    <w:top w:val="single" w:color="auto" w:sz="4" w:space="0"/>
                    <w:left w:val="single" w:color="auto" w:sz="4" w:space="0"/>
                    <w:bottom w:val="single" w:color="auto" w:sz="4" w:space="0"/>
                    <w:right w:val="single" w:color="auto" w:sz="4" w:space="0"/>
                  </w:tcBorders>
                  <w:vAlign w:val="center"/>
                </w:tcPr>
                <w:p w14:paraId="247FA243">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2.21</w:t>
                  </w:r>
                </w:p>
              </w:tc>
              <w:tc>
                <w:tcPr>
                  <w:tcW w:w="333" w:type="pct"/>
                  <w:tcBorders>
                    <w:top w:val="single" w:color="auto" w:sz="4" w:space="0"/>
                    <w:left w:val="single" w:color="auto" w:sz="4" w:space="0"/>
                    <w:bottom w:val="single" w:color="auto" w:sz="4" w:space="0"/>
                    <w:right w:val="single" w:color="auto" w:sz="4" w:space="0"/>
                  </w:tcBorders>
                  <w:vAlign w:val="center"/>
                </w:tcPr>
                <w:p w14:paraId="4F80ABE5">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2.36</w:t>
                  </w:r>
                </w:p>
              </w:tc>
              <w:tc>
                <w:tcPr>
                  <w:tcW w:w="333" w:type="pct"/>
                  <w:tcBorders>
                    <w:top w:val="single" w:color="auto" w:sz="4" w:space="0"/>
                    <w:left w:val="single" w:color="auto" w:sz="4" w:space="0"/>
                    <w:bottom w:val="single" w:color="auto" w:sz="4" w:space="0"/>
                    <w:right w:val="single" w:color="auto" w:sz="4" w:space="0"/>
                  </w:tcBorders>
                  <w:vAlign w:val="center"/>
                </w:tcPr>
                <w:p w14:paraId="164F5BF1">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2.32</w:t>
                  </w:r>
                </w:p>
              </w:tc>
              <w:tc>
                <w:tcPr>
                  <w:tcW w:w="333" w:type="pct"/>
                  <w:tcBorders>
                    <w:top w:val="single" w:color="auto" w:sz="4" w:space="0"/>
                    <w:left w:val="single" w:color="auto" w:sz="4" w:space="0"/>
                    <w:bottom w:val="single" w:color="auto" w:sz="4" w:space="0"/>
                    <w:right w:val="single" w:color="auto" w:sz="4" w:space="0"/>
                  </w:tcBorders>
                  <w:vAlign w:val="center"/>
                </w:tcPr>
                <w:p w14:paraId="7D86E7AA">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2.47</w:t>
                  </w:r>
                </w:p>
              </w:tc>
              <w:tc>
                <w:tcPr>
                  <w:tcW w:w="363" w:type="pct"/>
                  <w:tcBorders>
                    <w:top w:val="single" w:color="auto" w:sz="4" w:space="0"/>
                    <w:left w:val="single" w:color="auto" w:sz="4" w:space="0"/>
                    <w:bottom w:val="single" w:color="auto" w:sz="4" w:space="0"/>
                    <w:right w:val="single" w:color="auto" w:sz="4" w:space="0"/>
                  </w:tcBorders>
                  <w:vAlign w:val="center"/>
                </w:tcPr>
                <w:p w14:paraId="3B727106">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2.42</w:t>
                  </w:r>
                </w:p>
              </w:tc>
            </w:tr>
            <w:tr w14:paraId="043F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637" w:type="pct"/>
                  <w:gridSpan w:val="13"/>
                  <w:tcBorders>
                    <w:top w:val="single" w:color="auto" w:sz="4" w:space="0"/>
                    <w:left w:val="single" w:color="auto" w:sz="4" w:space="0"/>
                    <w:bottom w:val="single" w:color="auto" w:sz="4" w:space="0"/>
                    <w:right w:val="single" w:color="auto" w:sz="4" w:space="0"/>
                  </w:tcBorders>
                  <w:vAlign w:val="center"/>
                </w:tcPr>
                <w:p w14:paraId="7302086B">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五年平均风速</w:t>
                  </w:r>
                </w:p>
              </w:tc>
              <w:tc>
                <w:tcPr>
                  <w:tcW w:w="363" w:type="pct"/>
                  <w:tcBorders>
                    <w:top w:val="single" w:color="auto" w:sz="4" w:space="0"/>
                    <w:left w:val="single" w:color="auto" w:sz="4" w:space="0"/>
                    <w:bottom w:val="single" w:color="auto" w:sz="4" w:space="0"/>
                    <w:right w:val="single" w:color="auto" w:sz="4" w:space="0"/>
                  </w:tcBorders>
                  <w:vAlign w:val="center"/>
                </w:tcPr>
                <w:p w14:paraId="3009D50D">
                  <w:pPr>
                    <w:pStyle w:val="206"/>
                    <w:spacing w:line="240" w:lineRule="auto"/>
                    <w:ind w:firstLine="0" w:firstLineChars="0"/>
                    <w:jc w:val="center"/>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2.42</w:t>
                  </w:r>
                </w:p>
              </w:tc>
            </w:tr>
          </w:tbl>
          <w:p w14:paraId="30218091">
            <w:pPr>
              <w:pStyle w:val="206"/>
              <w:spacing w:line="360" w:lineRule="auto"/>
              <w:ind w:firstLine="480"/>
              <w:rPr>
                <w:color w:val="000000" w:themeColor="text1"/>
                <w:lang w:val="en-US"/>
                <w14:textFill>
                  <w14:solidFill>
                    <w14:schemeClr w14:val="tx1"/>
                  </w14:solidFill>
                </w14:textFill>
              </w:rPr>
            </w:pPr>
            <w:r>
              <w:rPr>
                <w:rFonts w:hint="eastAsia"/>
                <w:color w:val="000000" w:themeColor="text1"/>
                <w:lang w:val="en-US"/>
                <w14:textFill>
                  <w14:solidFill>
                    <w14:schemeClr w14:val="tx1"/>
                  </w14:solidFill>
                </w14:textFill>
              </w:rPr>
              <w:t>则当地近五年平均风速为2.42m/s，</w:t>
            </w:r>
            <w:r>
              <w:rPr>
                <w:color w:val="000000" w:themeColor="text1"/>
                <w:lang w:val="en-US"/>
                <w14:textFill>
                  <w14:solidFill>
                    <w14:schemeClr w14:val="tx1"/>
                  </w14:solidFill>
                </w14:textFill>
              </w:rPr>
              <w:t>项目L≤1000，A取Ⅱ值470、B取0.021、C取1.85、D 0.84。</w:t>
            </w:r>
          </w:p>
          <w:p w14:paraId="77B4A358">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卫生防护距离计算结果见图4-</w:t>
            </w:r>
            <w:r>
              <w:rPr>
                <w:rFonts w:hint="eastAsia" w:cs="Times New Roman"/>
                <w:color w:val="000000" w:themeColor="text1"/>
                <w14:textFill>
                  <w14:solidFill>
                    <w14:schemeClr w14:val="tx1"/>
                  </w14:solidFill>
                </w14:textFill>
              </w:rPr>
              <w:t>1</w:t>
            </w:r>
            <w:r>
              <w:rPr>
                <w:rFonts w:cs="Times New Roman"/>
                <w:color w:val="000000" w:themeColor="text1"/>
                <w14:textFill>
                  <w14:solidFill>
                    <w14:schemeClr w14:val="tx1"/>
                  </w14:solidFill>
                </w14:textFill>
              </w:rPr>
              <w:t>、表4-</w:t>
            </w:r>
            <w:r>
              <w:rPr>
                <w:rFonts w:hint="eastAsia" w:cs="Times New Roman"/>
                <w:color w:val="000000" w:themeColor="text1"/>
                <w14:textFill>
                  <w14:solidFill>
                    <w14:schemeClr w14:val="tx1"/>
                  </w14:solidFill>
                </w14:textFill>
              </w:rPr>
              <w:t>8</w:t>
            </w:r>
            <w:r>
              <w:rPr>
                <w:rFonts w:cs="Times New Roman"/>
                <w:color w:val="000000" w:themeColor="text1"/>
                <w14:textFill>
                  <w14:solidFill>
                    <w14:schemeClr w14:val="tx1"/>
                  </w14:solidFill>
                </w14:textFill>
              </w:rPr>
              <w:t>所示。</w:t>
            </w:r>
          </w:p>
          <w:p w14:paraId="67EB6525">
            <w:pPr>
              <w:pStyle w:val="172"/>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771515" cy="3800475"/>
                  <wp:effectExtent l="0" t="0" r="635" b="0"/>
                  <wp:docPr id="16900068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006895" name="图片 1"/>
                          <pic:cNvPicPr>
                            <a:picLocks noChangeAspect="1"/>
                          </pic:cNvPicPr>
                        </pic:nvPicPr>
                        <pic:blipFill>
                          <a:blip r:embed="rId16"/>
                          <a:stretch>
                            <a:fillRect/>
                          </a:stretch>
                        </pic:blipFill>
                        <pic:spPr>
                          <a:xfrm>
                            <a:off x="0" y="0"/>
                            <a:ext cx="5777344" cy="3804286"/>
                          </a:xfrm>
                          <a:prstGeom prst="rect">
                            <a:avLst/>
                          </a:prstGeom>
                        </pic:spPr>
                      </pic:pic>
                    </a:graphicData>
                  </a:graphic>
                </wp:inline>
              </w:drawing>
            </w:r>
          </w:p>
          <w:p w14:paraId="4C943826">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图4-</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卫生防护距离计算截图</w:t>
            </w:r>
          </w:p>
          <w:p w14:paraId="6D3ADF5F">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 xml:space="preserve">  无组织废气卫生防护距离计算结果一览表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6"/>
              <w:gridCol w:w="2144"/>
              <w:gridCol w:w="2411"/>
              <w:gridCol w:w="2412"/>
            </w:tblGrid>
            <w:tr w14:paraId="3FBB4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5" w:type="dxa"/>
                  <w:vAlign w:val="center"/>
                </w:tcPr>
                <w:p w14:paraId="069829FD">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污染源</w:t>
                  </w:r>
                </w:p>
              </w:tc>
              <w:tc>
                <w:tcPr>
                  <w:tcW w:w="2015" w:type="dxa"/>
                  <w:vAlign w:val="center"/>
                </w:tcPr>
                <w:p w14:paraId="168F86BC">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污染物</w:t>
                  </w:r>
                </w:p>
              </w:tc>
              <w:tc>
                <w:tcPr>
                  <w:tcW w:w="2266" w:type="dxa"/>
                  <w:vAlign w:val="center"/>
                </w:tcPr>
                <w:p w14:paraId="1B309A23">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计算结果（m）</w:t>
                  </w:r>
                </w:p>
              </w:tc>
              <w:tc>
                <w:tcPr>
                  <w:tcW w:w="2266" w:type="dxa"/>
                  <w:vAlign w:val="center"/>
                </w:tcPr>
                <w:p w14:paraId="32960144">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取值（m）</w:t>
                  </w:r>
                </w:p>
              </w:tc>
            </w:tr>
            <w:tr w14:paraId="0AC65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5" w:type="dxa"/>
                  <w:vAlign w:val="center"/>
                </w:tcPr>
                <w:p w14:paraId="0F4461ED">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生产车间</w:t>
                  </w:r>
                </w:p>
              </w:tc>
              <w:tc>
                <w:tcPr>
                  <w:tcW w:w="2015" w:type="dxa"/>
                  <w:vAlign w:val="center"/>
                </w:tcPr>
                <w:p w14:paraId="4D6D873B">
                  <w:pPr>
                    <w:snapToGrid w:val="0"/>
                    <w:jc w:val="center"/>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二甲苯</w:t>
                  </w:r>
                </w:p>
              </w:tc>
              <w:tc>
                <w:tcPr>
                  <w:tcW w:w="2266" w:type="dxa"/>
                  <w:vAlign w:val="center"/>
                </w:tcPr>
                <w:p w14:paraId="7DE9BCDE">
                  <w:pPr>
                    <w:pStyle w:val="181"/>
                    <w:framePr w:hSpace="0" w:wrap="auto" w:vAnchor="margin" w:hAnchor="text" w:xAlign="left" w:yAlign="inline"/>
                    <w:rPr>
                      <w:color w:val="000000" w:themeColor="text1"/>
                      <w14:textFill>
                        <w14:solidFill>
                          <w14:schemeClr w14:val="tx1"/>
                        </w14:solidFill>
                      </w14:textFill>
                    </w:rPr>
                  </w:pPr>
                  <w:r>
                    <w:rPr>
                      <w:rFonts w:hint="eastAsia"/>
                      <w:color w:val="000000" w:themeColor="text1"/>
                      <w14:textFill>
                        <w14:solidFill>
                          <w14:schemeClr w14:val="tx1"/>
                        </w14:solidFill>
                      </w14:textFill>
                    </w:rPr>
                    <w:t>6.810</w:t>
                  </w:r>
                </w:p>
              </w:tc>
              <w:tc>
                <w:tcPr>
                  <w:tcW w:w="2266" w:type="dxa"/>
                  <w:vAlign w:val="center"/>
                </w:tcPr>
                <w:p w14:paraId="0AFF9A12">
                  <w:pPr>
                    <w:pStyle w:val="181"/>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50</w:t>
                  </w:r>
                </w:p>
              </w:tc>
            </w:tr>
          </w:tbl>
          <w:p w14:paraId="76EEDA54">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根据《大气有害物质无组织排放卫生防护距离推导技术导则》（GB/T 39499-2020）关于级差的规定：“卫生防护距离初值小于50m时，级差为50m”。</w:t>
            </w:r>
          </w:p>
          <w:p w14:paraId="443ABC94">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结合本项目各污染物卫生防护计算结果，项目将针对生产车间设置50m卫生防护距离。结合项目周围敏感点分布情况，本项目卫生防护距离范围内无居民集中区、医院、学校及食品、药品企业等环境敏感目标，符合卫生防护距离的要求。项目建成后该范围内将不再规划居住用地，同时要求卫生防护距离内禁止新建食品等需要特殊保护企业及学校、医院等需要特殊保护的敏感目标。项目实施后卫生防护距离包络线详见附图</w:t>
            </w:r>
            <w:r>
              <w:rPr>
                <w:rFonts w:hint="eastAsia" w:cs="Times New Roman"/>
                <w:color w:val="000000" w:themeColor="text1"/>
                <w14:textFill>
                  <w14:solidFill>
                    <w14:schemeClr w14:val="tx1"/>
                  </w14:solidFill>
                </w14:textFill>
              </w:rPr>
              <w:t>5</w:t>
            </w:r>
            <w:r>
              <w:rPr>
                <w:rFonts w:cs="Times New Roman"/>
                <w:color w:val="000000" w:themeColor="text1"/>
                <w14:textFill>
                  <w14:solidFill>
                    <w14:schemeClr w14:val="tx1"/>
                  </w14:solidFill>
                </w14:textFill>
              </w:rPr>
              <w:t>。</w:t>
            </w:r>
          </w:p>
          <w:p w14:paraId="1C61618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综上，项目排放的无组织废气对周围环境影响不大，项目最近敏感点为厂界</w:t>
            </w:r>
            <w:r>
              <w:rPr>
                <w:rFonts w:hint="eastAsia" w:cs="Times New Roman"/>
                <w:color w:val="000000" w:themeColor="text1"/>
                <w14:textFill>
                  <w14:solidFill>
                    <w14:schemeClr w14:val="tx1"/>
                  </w14:solidFill>
                </w14:textFill>
              </w:rPr>
              <w:t>东</w:t>
            </w:r>
            <w:r>
              <w:rPr>
                <w:rFonts w:cs="Times New Roman"/>
                <w:color w:val="000000" w:themeColor="text1"/>
                <w14:textFill>
                  <w14:solidFill>
                    <w14:schemeClr w14:val="tx1"/>
                  </w14:solidFill>
                </w14:textFill>
              </w:rPr>
              <w:t>面</w:t>
            </w:r>
            <w:r>
              <w:rPr>
                <w:rFonts w:hint="eastAsia" w:cs="Times New Roman"/>
                <w:color w:val="000000" w:themeColor="text1"/>
                <w14:textFill>
                  <w14:solidFill>
                    <w14:schemeClr w14:val="tx1"/>
                  </w14:solidFill>
                </w14:textFill>
              </w:rPr>
              <w:t>530</w:t>
            </w:r>
            <w:r>
              <w:rPr>
                <w:rFonts w:cs="Times New Roman"/>
                <w:color w:val="000000" w:themeColor="text1"/>
                <w14:textFill>
                  <w14:solidFill>
                    <w14:schemeClr w14:val="tx1"/>
                  </w14:solidFill>
                </w14:textFill>
              </w:rPr>
              <w:t>m的</w:t>
            </w:r>
            <w:r>
              <w:rPr>
                <w:rFonts w:hint="eastAsia" w:cs="Times New Roman"/>
                <w:color w:val="000000" w:themeColor="text1"/>
                <w14:textFill>
                  <w14:solidFill>
                    <w14:schemeClr w14:val="tx1"/>
                  </w14:solidFill>
                </w14:textFill>
              </w:rPr>
              <w:t>野鸡窝</w:t>
            </w:r>
            <w:r>
              <w:rPr>
                <w:rFonts w:cs="Times New Roman"/>
                <w:color w:val="000000" w:themeColor="text1"/>
                <w14:textFill>
                  <w14:solidFill>
                    <w14:schemeClr w14:val="tx1"/>
                  </w14:solidFill>
                </w14:textFill>
              </w:rPr>
              <w:t>，因此针对生产车间设置50m卫生防护距离是可行的。同时根据本项目特点，建议项目加强生产管理等措施，减少无组织废气对周边环境的影响。</w:t>
            </w:r>
          </w:p>
          <w:p w14:paraId="5EE7DAED">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5、排放量核算</w:t>
            </w:r>
          </w:p>
          <w:p w14:paraId="7FC6903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（1）有组织污染物排放量核算</w:t>
            </w:r>
          </w:p>
          <w:p w14:paraId="7F983B57">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9</w:t>
            </w:r>
            <w:r>
              <w:rPr>
                <w:rFonts w:eastAsiaTheme="minorEastAsia"/>
                <w:color w:val="000000" w:themeColor="text1"/>
                <w14:textFill>
                  <w14:solidFill>
                    <w14:schemeClr w14:val="tx1"/>
                  </w14:solidFill>
                </w14:textFill>
              </w:rPr>
              <w:t xml:space="preserve">  大气污染物有组织排放量核算表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2083"/>
              <w:gridCol w:w="1564"/>
              <w:gridCol w:w="1823"/>
              <w:gridCol w:w="1824"/>
              <w:gridCol w:w="1564"/>
            </w:tblGrid>
            <w:tr w14:paraId="0DD12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407" w:type="pct"/>
                  <w:vMerge w:val="restart"/>
                  <w:vAlign w:val="center"/>
                </w:tcPr>
                <w:p w14:paraId="0E296807">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序号</w:t>
                  </w:r>
                </w:p>
              </w:tc>
              <w:tc>
                <w:tcPr>
                  <w:tcW w:w="1080" w:type="pct"/>
                  <w:vMerge w:val="restart"/>
                  <w:vAlign w:val="center"/>
                </w:tcPr>
                <w:p w14:paraId="65888BEA">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排放口名称</w:t>
                  </w:r>
                </w:p>
              </w:tc>
              <w:tc>
                <w:tcPr>
                  <w:tcW w:w="811" w:type="pct"/>
                  <w:vMerge w:val="restart"/>
                  <w:vAlign w:val="center"/>
                </w:tcPr>
                <w:p w14:paraId="426C72C3">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污染物</w:t>
                  </w:r>
                </w:p>
              </w:tc>
              <w:tc>
                <w:tcPr>
                  <w:tcW w:w="945" w:type="pct"/>
                  <w:vAlign w:val="center"/>
                </w:tcPr>
                <w:p w14:paraId="557B8C1D">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核算排放浓度</w:t>
                  </w:r>
                </w:p>
              </w:tc>
              <w:tc>
                <w:tcPr>
                  <w:tcW w:w="946" w:type="pct"/>
                  <w:vAlign w:val="center"/>
                </w:tcPr>
                <w:p w14:paraId="7FBB163D">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核算排放速率</w:t>
                  </w:r>
                </w:p>
              </w:tc>
              <w:tc>
                <w:tcPr>
                  <w:tcW w:w="811" w:type="pct"/>
                  <w:vAlign w:val="center"/>
                </w:tcPr>
                <w:p w14:paraId="47511CF8">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核算年排放</w:t>
                  </w:r>
                </w:p>
              </w:tc>
            </w:tr>
            <w:tr w14:paraId="6353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07" w:type="pct"/>
                  <w:vMerge w:val="continue"/>
                  <w:vAlign w:val="center"/>
                </w:tcPr>
                <w:p w14:paraId="2B7F48A3">
                  <w:pPr>
                    <w:widowControl/>
                    <w:jc w:val="center"/>
                    <w:rPr>
                      <w:rFonts w:eastAsiaTheme="minorEastAsia"/>
                      <w:bCs/>
                      <w:color w:val="000000" w:themeColor="text1"/>
                      <w:kern w:val="0"/>
                      <w:szCs w:val="21"/>
                      <w14:textFill>
                        <w14:solidFill>
                          <w14:schemeClr w14:val="tx1"/>
                        </w14:solidFill>
                      </w14:textFill>
                    </w:rPr>
                  </w:pPr>
                </w:p>
              </w:tc>
              <w:tc>
                <w:tcPr>
                  <w:tcW w:w="1080" w:type="pct"/>
                  <w:vMerge w:val="continue"/>
                  <w:vAlign w:val="center"/>
                </w:tcPr>
                <w:p w14:paraId="4D126AB5">
                  <w:pPr>
                    <w:widowControl/>
                    <w:jc w:val="center"/>
                    <w:rPr>
                      <w:rFonts w:eastAsiaTheme="minorEastAsia"/>
                      <w:bCs/>
                      <w:color w:val="000000" w:themeColor="text1"/>
                      <w:kern w:val="0"/>
                      <w:szCs w:val="21"/>
                      <w14:textFill>
                        <w14:solidFill>
                          <w14:schemeClr w14:val="tx1"/>
                        </w14:solidFill>
                      </w14:textFill>
                    </w:rPr>
                  </w:pPr>
                </w:p>
              </w:tc>
              <w:tc>
                <w:tcPr>
                  <w:tcW w:w="811" w:type="pct"/>
                  <w:vMerge w:val="continue"/>
                  <w:vAlign w:val="center"/>
                </w:tcPr>
                <w:p w14:paraId="56948542">
                  <w:pPr>
                    <w:widowControl/>
                    <w:jc w:val="center"/>
                    <w:rPr>
                      <w:rFonts w:eastAsiaTheme="minorEastAsia"/>
                      <w:bCs/>
                      <w:color w:val="000000" w:themeColor="text1"/>
                      <w:kern w:val="0"/>
                      <w:szCs w:val="21"/>
                      <w14:textFill>
                        <w14:solidFill>
                          <w14:schemeClr w14:val="tx1"/>
                        </w14:solidFill>
                      </w14:textFill>
                    </w:rPr>
                  </w:pPr>
                </w:p>
              </w:tc>
              <w:tc>
                <w:tcPr>
                  <w:tcW w:w="945" w:type="pct"/>
                  <w:vAlign w:val="center"/>
                </w:tcPr>
                <w:p w14:paraId="1AC91736">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（mg/m</w:t>
                  </w:r>
                  <w:r>
                    <w:rPr>
                      <w:rFonts w:eastAsiaTheme="minorEastAsia"/>
                      <w:bCs/>
                      <w:color w:val="000000" w:themeColor="text1"/>
                      <w:kern w:val="0"/>
                      <w:szCs w:val="21"/>
                      <w:vertAlign w:val="superscript"/>
                      <w14:textFill>
                        <w14:solidFill>
                          <w14:schemeClr w14:val="tx1"/>
                        </w14:solidFill>
                      </w14:textFill>
                    </w:rPr>
                    <w:t>3</w:t>
                  </w:r>
                  <w:r>
                    <w:rPr>
                      <w:rFonts w:eastAsiaTheme="minorEastAsia"/>
                      <w:bCs/>
                      <w:color w:val="000000" w:themeColor="text1"/>
                      <w:kern w:val="0"/>
                      <w:szCs w:val="21"/>
                      <w14:textFill>
                        <w14:solidFill>
                          <w14:schemeClr w14:val="tx1"/>
                        </w14:solidFill>
                      </w14:textFill>
                    </w:rPr>
                    <w:t>）</w:t>
                  </w:r>
                </w:p>
              </w:tc>
              <w:tc>
                <w:tcPr>
                  <w:tcW w:w="946" w:type="pct"/>
                  <w:vAlign w:val="center"/>
                </w:tcPr>
                <w:p w14:paraId="2F8C2B1D">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（kg/h）</w:t>
                  </w:r>
                </w:p>
              </w:tc>
              <w:tc>
                <w:tcPr>
                  <w:tcW w:w="811" w:type="pct"/>
                  <w:vAlign w:val="center"/>
                </w:tcPr>
                <w:p w14:paraId="2F5ECFBA">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（t/a）</w:t>
                  </w:r>
                </w:p>
              </w:tc>
            </w:tr>
            <w:tr w14:paraId="202B6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000" w:type="pct"/>
                  <w:gridSpan w:val="6"/>
                  <w:vAlign w:val="center"/>
                </w:tcPr>
                <w:p w14:paraId="246DB7A8">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主要排放口</w:t>
                  </w:r>
                </w:p>
              </w:tc>
            </w:tr>
            <w:tr w14:paraId="505C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000" w:type="pct"/>
                  <w:gridSpan w:val="6"/>
                  <w:vAlign w:val="center"/>
                </w:tcPr>
                <w:p w14:paraId="3D285BF5">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无</w:t>
                  </w:r>
                </w:p>
              </w:tc>
            </w:tr>
            <w:tr w14:paraId="1BFB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000" w:type="pct"/>
                  <w:gridSpan w:val="6"/>
                  <w:vAlign w:val="center"/>
                </w:tcPr>
                <w:p w14:paraId="094AF73A">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一般排放口</w:t>
                  </w:r>
                </w:p>
              </w:tc>
            </w:tr>
            <w:tr w14:paraId="5C45B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07" w:type="pct"/>
                  <w:vMerge w:val="restart"/>
                  <w:vAlign w:val="center"/>
                </w:tcPr>
                <w:p w14:paraId="0BB9B240">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1</w:t>
                  </w:r>
                </w:p>
              </w:tc>
              <w:tc>
                <w:tcPr>
                  <w:tcW w:w="1080" w:type="pct"/>
                  <w:vMerge w:val="restart"/>
                  <w:vAlign w:val="center"/>
                </w:tcPr>
                <w:p w14:paraId="6DF7FE17">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排气筒DA001</w:t>
                  </w:r>
                </w:p>
                <w:p w14:paraId="5DDBA513">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（喷漆房废气）</w:t>
                  </w:r>
                </w:p>
              </w:tc>
              <w:tc>
                <w:tcPr>
                  <w:tcW w:w="811" w:type="pct"/>
                  <w:vAlign w:val="center"/>
                </w:tcPr>
                <w:p w14:paraId="4E58B952">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945" w:type="pct"/>
                  <w:vAlign w:val="center"/>
                </w:tcPr>
                <w:p w14:paraId="3CCA5C73">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0.926</w:t>
                  </w:r>
                </w:p>
              </w:tc>
              <w:tc>
                <w:tcPr>
                  <w:tcW w:w="946" w:type="pct"/>
                  <w:vAlign w:val="center"/>
                </w:tcPr>
                <w:p w14:paraId="3A498391">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0.014</w:t>
                  </w:r>
                </w:p>
              </w:tc>
              <w:tc>
                <w:tcPr>
                  <w:tcW w:w="811" w:type="pct"/>
                  <w:vAlign w:val="center"/>
                </w:tcPr>
                <w:p w14:paraId="314918B6">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0.025</w:t>
                  </w:r>
                </w:p>
              </w:tc>
            </w:tr>
            <w:tr w14:paraId="6A360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07" w:type="pct"/>
                  <w:vMerge w:val="continue"/>
                  <w:vAlign w:val="center"/>
                </w:tcPr>
                <w:p w14:paraId="79DA58F4">
                  <w:pPr>
                    <w:widowControl/>
                    <w:jc w:val="center"/>
                    <w:rPr>
                      <w:rFonts w:eastAsiaTheme="minorEastAsia"/>
                      <w:bCs/>
                      <w:color w:val="000000" w:themeColor="text1"/>
                      <w:kern w:val="0"/>
                      <w:szCs w:val="21"/>
                      <w14:textFill>
                        <w14:solidFill>
                          <w14:schemeClr w14:val="tx1"/>
                        </w14:solidFill>
                      </w14:textFill>
                    </w:rPr>
                  </w:pPr>
                </w:p>
              </w:tc>
              <w:tc>
                <w:tcPr>
                  <w:tcW w:w="1080" w:type="pct"/>
                  <w:vMerge w:val="continue"/>
                  <w:vAlign w:val="center"/>
                </w:tcPr>
                <w:p w14:paraId="48939249">
                  <w:pPr>
                    <w:widowControl/>
                    <w:jc w:val="center"/>
                    <w:rPr>
                      <w:color w:val="000000" w:themeColor="text1"/>
                      <w:szCs w:val="21"/>
                      <w14:textFill>
                        <w14:solidFill>
                          <w14:schemeClr w14:val="tx1"/>
                        </w14:solidFill>
                      </w14:textFill>
                    </w:rPr>
                  </w:pPr>
                </w:p>
              </w:tc>
              <w:tc>
                <w:tcPr>
                  <w:tcW w:w="811" w:type="pct"/>
                  <w:vAlign w:val="center"/>
                </w:tcPr>
                <w:p w14:paraId="605FC7EB">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非甲烷总烃</w:t>
                  </w:r>
                </w:p>
              </w:tc>
              <w:tc>
                <w:tcPr>
                  <w:tcW w:w="945" w:type="pct"/>
                  <w:vAlign w:val="center"/>
                </w:tcPr>
                <w:p w14:paraId="55857490">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52.241</w:t>
                  </w:r>
                </w:p>
              </w:tc>
              <w:tc>
                <w:tcPr>
                  <w:tcW w:w="946" w:type="pct"/>
                  <w:vAlign w:val="center"/>
                </w:tcPr>
                <w:p w14:paraId="7BD58B41">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0.784</w:t>
                  </w:r>
                </w:p>
              </w:tc>
              <w:tc>
                <w:tcPr>
                  <w:tcW w:w="811" w:type="pct"/>
                  <w:vAlign w:val="center"/>
                </w:tcPr>
                <w:p w14:paraId="4A4C3FBD">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0.882</w:t>
                  </w:r>
                </w:p>
              </w:tc>
            </w:tr>
            <w:tr w14:paraId="3B3CB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07" w:type="pct"/>
                  <w:vMerge w:val="continue"/>
                  <w:vAlign w:val="center"/>
                </w:tcPr>
                <w:p w14:paraId="36457B73">
                  <w:pPr>
                    <w:widowControl/>
                    <w:jc w:val="center"/>
                    <w:rPr>
                      <w:rFonts w:eastAsiaTheme="minorEastAsia"/>
                      <w:bCs/>
                      <w:color w:val="000000" w:themeColor="text1"/>
                      <w:kern w:val="0"/>
                      <w:szCs w:val="21"/>
                      <w14:textFill>
                        <w14:solidFill>
                          <w14:schemeClr w14:val="tx1"/>
                        </w14:solidFill>
                      </w14:textFill>
                    </w:rPr>
                  </w:pPr>
                </w:p>
              </w:tc>
              <w:tc>
                <w:tcPr>
                  <w:tcW w:w="1080" w:type="pct"/>
                  <w:vMerge w:val="continue"/>
                  <w:vAlign w:val="center"/>
                </w:tcPr>
                <w:p w14:paraId="229DBF60">
                  <w:pPr>
                    <w:widowControl/>
                    <w:jc w:val="center"/>
                    <w:rPr>
                      <w:color w:val="000000" w:themeColor="text1"/>
                      <w:szCs w:val="21"/>
                      <w14:textFill>
                        <w14:solidFill>
                          <w14:schemeClr w14:val="tx1"/>
                        </w14:solidFill>
                      </w14:textFill>
                    </w:rPr>
                  </w:pPr>
                </w:p>
              </w:tc>
              <w:tc>
                <w:tcPr>
                  <w:tcW w:w="811" w:type="pct"/>
                  <w:vAlign w:val="center"/>
                </w:tcPr>
                <w:p w14:paraId="18C37C20">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二甲苯</w:t>
                  </w:r>
                </w:p>
              </w:tc>
              <w:tc>
                <w:tcPr>
                  <w:tcW w:w="945" w:type="pct"/>
                  <w:vAlign w:val="center"/>
                </w:tcPr>
                <w:p w14:paraId="1E7D9E96">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6.963</w:t>
                  </w:r>
                </w:p>
              </w:tc>
              <w:tc>
                <w:tcPr>
                  <w:tcW w:w="946" w:type="pct"/>
                  <w:vAlign w:val="center"/>
                </w:tcPr>
                <w:p w14:paraId="5439947E">
                  <w:pPr>
                    <w:widowControl/>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0.104</w:t>
                  </w:r>
                </w:p>
              </w:tc>
              <w:tc>
                <w:tcPr>
                  <w:tcW w:w="811" w:type="pct"/>
                  <w:vAlign w:val="center"/>
                </w:tcPr>
                <w:p w14:paraId="400281DC">
                  <w:pPr>
                    <w:widowControl/>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0.117</w:t>
                  </w:r>
                </w:p>
              </w:tc>
            </w:tr>
            <w:tr w14:paraId="0B153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restart"/>
                  <w:vAlign w:val="center"/>
                </w:tcPr>
                <w:p w14:paraId="236510DE">
                  <w:pPr>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一般排放口合计</w:t>
                  </w:r>
                </w:p>
              </w:tc>
              <w:tc>
                <w:tcPr>
                  <w:tcW w:w="2702" w:type="pct"/>
                  <w:gridSpan w:val="3"/>
                  <w:vAlign w:val="center"/>
                </w:tcPr>
                <w:p w14:paraId="7744C7BF">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811" w:type="pct"/>
                  <w:vAlign w:val="center"/>
                </w:tcPr>
                <w:p w14:paraId="24AFE5F2">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0.025</w:t>
                  </w:r>
                </w:p>
              </w:tc>
            </w:tr>
            <w:tr w14:paraId="4BFDA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continue"/>
                  <w:vAlign w:val="center"/>
                </w:tcPr>
                <w:p w14:paraId="48C37315">
                  <w:pPr>
                    <w:widowControl/>
                    <w:jc w:val="center"/>
                    <w:rPr>
                      <w:rFonts w:eastAsiaTheme="minorEastAsia"/>
                      <w:bCs/>
                      <w:color w:val="000000" w:themeColor="text1"/>
                      <w:kern w:val="0"/>
                      <w:szCs w:val="21"/>
                      <w14:textFill>
                        <w14:solidFill>
                          <w14:schemeClr w14:val="tx1"/>
                        </w14:solidFill>
                      </w14:textFill>
                    </w:rPr>
                  </w:pPr>
                </w:p>
              </w:tc>
              <w:tc>
                <w:tcPr>
                  <w:tcW w:w="2702" w:type="pct"/>
                  <w:gridSpan w:val="3"/>
                  <w:vAlign w:val="center"/>
                </w:tcPr>
                <w:p w14:paraId="0D22C5DF">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非甲烷总烃</w:t>
                  </w:r>
                </w:p>
              </w:tc>
              <w:tc>
                <w:tcPr>
                  <w:tcW w:w="811" w:type="pct"/>
                  <w:vAlign w:val="center"/>
                </w:tcPr>
                <w:p w14:paraId="0A0DBC4E">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0.882</w:t>
                  </w:r>
                </w:p>
              </w:tc>
            </w:tr>
            <w:tr w14:paraId="192BE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continue"/>
                  <w:vAlign w:val="center"/>
                </w:tcPr>
                <w:p w14:paraId="5D6E5A52">
                  <w:pPr>
                    <w:widowControl/>
                    <w:jc w:val="center"/>
                    <w:rPr>
                      <w:rFonts w:eastAsiaTheme="minorEastAsia"/>
                      <w:bCs/>
                      <w:color w:val="000000" w:themeColor="text1"/>
                      <w:kern w:val="0"/>
                      <w:szCs w:val="21"/>
                      <w14:textFill>
                        <w14:solidFill>
                          <w14:schemeClr w14:val="tx1"/>
                        </w14:solidFill>
                      </w14:textFill>
                    </w:rPr>
                  </w:pPr>
                </w:p>
              </w:tc>
              <w:tc>
                <w:tcPr>
                  <w:tcW w:w="2702" w:type="pct"/>
                  <w:gridSpan w:val="3"/>
                  <w:vAlign w:val="center"/>
                </w:tcPr>
                <w:p w14:paraId="6D8BE3B6">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二甲苯</w:t>
                  </w:r>
                </w:p>
              </w:tc>
              <w:tc>
                <w:tcPr>
                  <w:tcW w:w="811" w:type="pct"/>
                  <w:vAlign w:val="center"/>
                </w:tcPr>
                <w:p w14:paraId="2AABBAD9">
                  <w:pPr>
                    <w:widowControl/>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0.117</w:t>
                  </w:r>
                </w:p>
              </w:tc>
            </w:tr>
            <w:tr w14:paraId="29BC7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000" w:type="pct"/>
                  <w:gridSpan w:val="6"/>
                  <w:vAlign w:val="center"/>
                </w:tcPr>
                <w:p w14:paraId="4491D59B">
                  <w:pPr>
                    <w:widowControl/>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有组织排放总计</w:t>
                  </w:r>
                </w:p>
              </w:tc>
            </w:tr>
            <w:tr w14:paraId="6D973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restart"/>
                  <w:vAlign w:val="center"/>
                </w:tcPr>
                <w:p w14:paraId="3ED2B9DF">
                  <w:pPr>
                    <w:jc w:val="center"/>
                    <w:rPr>
                      <w:rFonts w:eastAsiaTheme="minorEastAsia"/>
                      <w:bCs/>
                      <w:color w:val="000000" w:themeColor="text1"/>
                      <w:kern w:val="0"/>
                      <w:szCs w:val="21"/>
                      <w14:textFill>
                        <w14:solidFill>
                          <w14:schemeClr w14:val="tx1"/>
                        </w14:solidFill>
                      </w14:textFill>
                    </w:rPr>
                  </w:pPr>
                  <w:r>
                    <w:rPr>
                      <w:rFonts w:eastAsiaTheme="minorEastAsia"/>
                      <w:bCs/>
                      <w:color w:val="000000" w:themeColor="text1"/>
                      <w:kern w:val="0"/>
                      <w:szCs w:val="21"/>
                      <w14:textFill>
                        <w14:solidFill>
                          <w14:schemeClr w14:val="tx1"/>
                        </w14:solidFill>
                      </w14:textFill>
                    </w:rPr>
                    <w:t>有组织排放总计</w:t>
                  </w:r>
                </w:p>
              </w:tc>
              <w:tc>
                <w:tcPr>
                  <w:tcW w:w="2702" w:type="pct"/>
                  <w:gridSpan w:val="3"/>
                  <w:vAlign w:val="center"/>
                </w:tcPr>
                <w:p w14:paraId="353180BF">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811" w:type="pct"/>
                  <w:vAlign w:val="center"/>
                </w:tcPr>
                <w:p w14:paraId="4724E5F8">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0.025</w:t>
                  </w:r>
                </w:p>
              </w:tc>
            </w:tr>
            <w:tr w14:paraId="5260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continue"/>
                  <w:vAlign w:val="center"/>
                </w:tcPr>
                <w:p w14:paraId="5D71BF83">
                  <w:pPr>
                    <w:widowControl/>
                    <w:jc w:val="center"/>
                    <w:rPr>
                      <w:rFonts w:eastAsiaTheme="minorEastAsia"/>
                      <w:bCs/>
                      <w:color w:val="000000" w:themeColor="text1"/>
                      <w:kern w:val="0"/>
                      <w:szCs w:val="21"/>
                      <w14:textFill>
                        <w14:solidFill>
                          <w14:schemeClr w14:val="tx1"/>
                        </w14:solidFill>
                      </w14:textFill>
                    </w:rPr>
                  </w:pPr>
                </w:p>
              </w:tc>
              <w:tc>
                <w:tcPr>
                  <w:tcW w:w="2702" w:type="pct"/>
                  <w:gridSpan w:val="3"/>
                  <w:vAlign w:val="center"/>
                </w:tcPr>
                <w:p w14:paraId="6FCCE59F">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非甲烷总烃</w:t>
                  </w:r>
                </w:p>
              </w:tc>
              <w:tc>
                <w:tcPr>
                  <w:tcW w:w="811" w:type="pct"/>
                  <w:vAlign w:val="center"/>
                </w:tcPr>
                <w:p w14:paraId="2291E738">
                  <w:pPr>
                    <w:widowControl/>
                    <w:jc w:val="center"/>
                    <w:rPr>
                      <w:rFonts w:eastAsiaTheme="minorEastAsia"/>
                      <w:bCs/>
                      <w:color w:val="000000" w:themeColor="text1"/>
                      <w:kern w:val="0"/>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0.882</w:t>
                  </w:r>
                </w:p>
              </w:tc>
            </w:tr>
            <w:tr w14:paraId="77BDD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487" w:type="pct"/>
                  <w:gridSpan w:val="2"/>
                  <w:vMerge w:val="continue"/>
                  <w:vAlign w:val="center"/>
                </w:tcPr>
                <w:p w14:paraId="4C4156F4">
                  <w:pPr>
                    <w:widowControl/>
                    <w:jc w:val="center"/>
                    <w:rPr>
                      <w:rFonts w:eastAsiaTheme="minorEastAsia"/>
                      <w:bCs/>
                      <w:color w:val="000000" w:themeColor="text1"/>
                      <w:kern w:val="0"/>
                      <w:szCs w:val="21"/>
                      <w14:textFill>
                        <w14:solidFill>
                          <w14:schemeClr w14:val="tx1"/>
                        </w14:solidFill>
                      </w14:textFill>
                    </w:rPr>
                  </w:pPr>
                </w:p>
              </w:tc>
              <w:tc>
                <w:tcPr>
                  <w:tcW w:w="2702" w:type="pct"/>
                  <w:gridSpan w:val="3"/>
                  <w:vAlign w:val="center"/>
                </w:tcPr>
                <w:p w14:paraId="01B1BFB6">
                  <w:pPr>
                    <w:widowControl/>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二甲苯</w:t>
                  </w:r>
                </w:p>
              </w:tc>
              <w:tc>
                <w:tcPr>
                  <w:tcW w:w="811" w:type="pct"/>
                  <w:vAlign w:val="center"/>
                </w:tcPr>
                <w:p w14:paraId="1B146044">
                  <w:pPr>
                    <w:widowControl/>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0.117</w:t>
                  </w:r>
                </w:p>
              </w:tc>
            </w:tr>
          </w:tbl>
          <w:p w14:paraId="4A0FD3D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（2）无组织污染物排放量核算</w:t>
            </w:r>
          </w:p>
          <w:p w14:paraId="5C3F9CE0">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10</w:t>
            </w:r>
            <w:r>
              <w:rPr>
                <w:rFonts w:eastAsiaTheme="minorEastAsia"/>
                <w:color w:val="000000" w:themeColor="text1"/>
                <w14:textFill>
                  <w14:solidFill>
                    <w14:schemeClr w14:val="tx1"/>
                  </w14:solidFill>
                </w14:textFill>
              </w:rPr>
              <w:t xml:space="preserve">  大气污染物无组织排放量核算表</w:t>
            </w:r>
          </w:p>
          <w:tbl>
            <w:tblPr>
              <w:tblStyle w:val="4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723"/>
              <w:gridCol w:w="1040"/>
              <w:gridCol w:w="153"/>
              <w:gridCol w:w="1089"/>
              <w:gridCol w:w="2425"/>
              <w:gridCol w:w="957"/>
              <w:gridCol w:w="1815"/>
              <w:gridCol w:w="991"/>
            </w:tblGrid>
            <w:tr w14:paraId="716CD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52" w:type="dxa"/>
                  <w:vMerge w:val="restart"/>
                  <w:vAlign w:val="center"/>
                </w:tcPr>
                <w:p w14:paraId="0F72242E">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序号</w:t>
                  </w:r>
                </w:p>
              </w:tc>
              <w:tc>
                <w:tcPr>
                  <w:tcW w:w="729" w:type="dxa"/>
                  <w:vMerge w:val="restart"/>
                  <w:vAlign w:val="center"/>
                </w:tcPr>
                <w:p w14:paraId="28E2B448">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排放源</w:t>
                  </w:r>
                </w:p>
              </w:tc>
              <w:tc>
                <w:tcPr>
                  <w:tcW w:w="1080" w:type="dxa"/>
                  <w:vMerge w:val="restart"/>
                  <w:vAlign w:val="center"/>
                </w:tcPr>
                <w:p w14:paraId="1C2AF125">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污染物</w:t>
                  </w:r>
                </w:p>
              </w:tc>
              <w:tc>
                <w:tcPr>
                  <w:tcW w:w="1282" w:type="dxa"/>
                  <w:gridSpan w:val="2"/>
                  <w:vMerge w:val="restart"/>
                  <w:vAlign w:val="center"/>
                </w:tcPr>
                <w:p w14:paraId="3671DAC1">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主要污染防治措施</w:t>
                  </w:r>
                </w:p>
              </w:tc>
              <w:tc>
                <w:tcPr>
                  <w:tcW w:w="4531" w:type="dxa"/>
                  <w:gridSpan w:val="3"/>
                  <w:vAlign w:val="center"/>
                </w:tcPr>
                <w:p w14:paraId="48E1EE70">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国家或地方污染物排放标准</w:t>
                  </w:r>
                </w:p>
              </w:tc>
              <w:tc>
                <w:tcPr>
                  <w:tcW w:w="992" w:type="dxa"/>
                  <w:vMerge w:val="restart"/>
                  <w:vAlign w:val="center"/>
                </w:tcPr>
                <w:p w14:paraId="1E850DBD">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年排放量（t/a）</w:t>
                  </w:r>
                </w:p>
              </w:tc>
            </w:tr>
            <w:tr w14:paraId="3590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52" w:type="dxa"/>
                  <w:vMerge w:val="continue"/>
                  <w:vAlign w:val="center"/>
                </w:tcPr>
                <w:p w14:paraId="778DE99D">
                  <w:pPr>
                    <w:widowControl/>
                    <w:jc w:val="center"/>
                    <w:rPr>
                      <w:b/>
                      <w:bCs/>
                      <w:color w:val="000000" w:themeColor="text1"/>
                      <w:kern w:val="0"/>
                      <w:szCs w:val="21"/>
                      <w14:textFill>
                        <w14:solidFill>
                          <w14:schemeClr w14:val="tx1"/>
                        </w14:solidFill>
                      </w14:textFill>
                    </w:rPr>
                  </w:pPr>
                </w:p>
              </w:tc>
              <w:tc>
                <w:tcPr>
                  <w:tcW w:w="729" w:type="dxa"/>
                  <w:vMerge w:val="continue"/>
                  <w:vAlign w:val="center"/>
                </w:tcPr>
                <w:p w14:paraId="1A48111E">
                  <w:pPr>
                    <w:widowControl/>
                    <w:jc w:val="center"/>
                    <w:rPr>
                      <w:b/>
                      <w:bCs/>
                      <w:color w:val="000000" w:themeColor="text1"/>
                      <w:kern w:val="0"/>
                      <w:szCs w:val="21"/>
                      <w14:textFill>
                        <w14:solidFill>
                          <w14:schemeClr w14:val="tx1"/>
                        </w14:solidFill>
                      </w14:textFill>
                    </w:rPr>
                  </w:pPr>
                </w:p>
              </w:tc>
              <w:tc>
                <w:tcPr>
                  <w:tcW w:w="1080" w:type="dxa"/>
                  <w:vMerge w:val="continue"/>
                  <w:vAlign w:val="center"/>
                </w:tcPr>
                <w:p w14:paraId="59C560B9">
                  <w:pPr>
                    <w:widowControl/>
                    <w:jc w:val="center"/>
                    <w:rPr>
                      <w:b/>
                      <w:bCs/>
                      <w:color w:val="000000" w:themeColor="text1"/>
                      <w:kern w:val="0"/>
                      <w:szCs w:val="21"/>
                      <w14:textFill>
                        <w14:solidFill>
                          <w14:schemeClr w14:val="tx1"/>
                        </w14:solidFill>
                      </w14:textFill>
                    </w:rPr>
                  </w:pPr>
                </w:p>
              </w:tc>
              <w:tc>
                <w:tcPr>
                  <w:tcW w:w="1282" w:type="dxa"/>
                  <w:gridSpan w:val="2"/>
                  <w:vMerge w:val="continue"/>
                  <w:vAlign w:val="center"/>
                </w:tcPr>
                <w:p w14:paraId="041C7539">
                  <w:pPr>
                    <w:widowControl/>
                    <w:jc w:val="center"/>
                    <w:rPr>
                      <w:b/>
                      <w:bCs/>
                      <w:color w:val="000000" w:themeColor="text1"/>
                      <w:kern w:val="0"/>
                      <w:szCs w:val="21"/>
                      <w14:textFill>
                        <w14:solidFill>
                          <w14:schemeClr w14:val="tx1"/>
                        </w14:solidFill>
                      </w14:textFill>
                    </w:rPr>
                  </w:pPr>
                </w:p>
              </w:tc>
              <w:tc>
                <w:tcPr>
                  <w:tcW w:w="2689" w:type="dxa"/>
                  <w:gridSpan w:val="2"/>
                  <w:vAlign w:val="center"/>
                </w:tcPr>
                <w:p w14:paraId="52C9C148">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标准名称</w:t>
                  </w:r>
                </w:p>
              </w:tc>
              <w:tc>
                <w:tcPr>
                  <w:tcW w:w="1842" w:type="dxa"/>
                  <w:vAlign w:val="center"/>
                </w:tcPr>
                <w:p w14:paraId="2108BC21">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浓度限值（mg/m</w:t>
                  </w:r>
                  <w:r>
                    <w:rPr>
                      <w:b/>
                      <w:bCs/>
                      <w:color w:val="000000" w:themeColor="text1"/>
                      <w:kern w:val="0"/>
                      <w:szCs w:val="21"/>
                      <w:vertAlign w:val="superscript"/>
                      <w14:textFill>
                        <w14:solidFill>
                          <w14:schemeClr w14:val="tx1"/>
                        </w14:solidFill>
                      </w14:textFill>
                    </w:rPr>
                    <w:t>3</w:t>
                  </w:r>
                  <w:r>
                    <w:rPr>
                      <w:b/>
                      <w:bCs/>
                      <w:color w:val="000000" w:themeColor="text1"/>
                      <w:kern w:val="0"/>
                      <w:szCs w:val="21"/>
                      <w14:textFill>
                        <w14:solidFill>
                          <w14:schemeClr w14:val="tx1"/>
                        </w14:solidFill>
                      </w14:textFill>
                    </w:rPr>
                    <w:t>）</w:t>
                  </w:r>
                </w:p>
              </w:tc>
              <w:tc>
                <w:tcPr>
                  <w:tcW w:w="992" w:type="dxa"/>
                  <w:vMerge w:val="continue"/>
                  <w:vAlign w:val="center"/>
                </w:tcPr>
                <w:p w14:paraId="6725F0B6">
                  <w:pPr>
                    <w:widowControl/>
                    <w:jc w:val="center"/>
                    <w:rPr>
                      <w:b/>
                      <w:bCs/>
                      <w:color w:val="000000" w:themeColor="text1"/>
                      <w:kern w:val="0"/>
                      <w:szCs w:val="21"/>
                      <w14:textFill>
                        <w14:solidFill>
                          <w14:schemeClr w14:val="tx1"/>
                        </w14:solidFill>
                      </w14:textFill>
                    </w:rPr>
                  </w:pPr>
                </w:p>
              </w:tc>
            </w:tr>
            <w:tr w14:paraId="17AD2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52" w:type="dxa"/>
                  <w:vMerge w:val="restart"/>
                  <w:vAlign w:val="center"/>
                </w:tcPr>
                <w:p w14:paraId="01ECDB68">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w:t>
                  </w:r>
                </w:p>
              </w:tc>
              <w:tc>
                <w:tcPr>
                  <w:tcW w:w="729" w:type="dxa"/>
                  <w:vMerge w:val="restart"/>
                  <w:vAlign w:val="center"/>
                </w:tcPr>
                <w:p w14:paraId="76A9C8E5">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生产</w:t>
                  </w:r>
                  <w:r>
                    <w:rPr>
                      <w:rFonts w:hint="eastAsia"/>
                      <w:bCs/>
                      <w:color w:val="000000" w:themeColor="text1"/>
                      <w:kern w:val="0"/>
                      <w:szCs w:val="21"/>
                      <w14:textFill>
                        <w14:solidFill>
                          <w14:schemeClr w14:val="tx1"/>
                        </w14:solidFill>
                      </w14:textFill>
                    </w:rPr>
                    <w:t>车间</w:t>
                  </w:r>
                  <w:r>
                    <w:rPr>
                      <w:bCs/>
                      <w:color w:val="000000" w:themeColor="text1"/>
                      <w:kern w:val="0"/>
                      <w:szCs w:val="21"/>
                      <w14:textFill>
                        <w14:solidFill>
                          <w14:schemeClr w14:val="tx1"/>
                        </w14:solidFill>
                      </w14:textFill>
                    </w:rPr>
                    <w:t>（未收集喷漆房废气）</w:t>
                  </w:r>
                </w:p>
              </w:tc>
              <w:tc>
                <w:tcPr>
                  <w:tcW w:w="1080" w:type="dxa"/>
                  <w:vAlign w:val="center"/>
                </w:tcPr>
                <w:p w14:paraId="6A8CE829">
                  <w:pPr>
                    <w:jc w:val="center"/>
                    <w:rPr>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1282" w:type="dxa"/>
                  <w:gridSpan w:val="2"/>
                  <w:vMerge w:val="restart"/>
                  <w:vAlign w:val="center"/>
                </w:tcPr>
                <w:p w14:paraId="3AB35E1D">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加强喷漆房</w:t>
                  </w:r>
                  <w:r>
                    <w:rPr>
                      <w:rFonts w:hint="eastAsia"/>
                      <w:bCs/>
                      <w:color w:val="000000" w:themeColor="text1"/>
                      <w:kern w:val="0"/>
                      <w:szCs w:val="21"/>
                      <w14:textFill>
                        <w14:solidFill>
                          <w14:schemeClr w14:val="tx1"/>
                        </w14:solidFill>
                      </w14:textFill>
                    </w:rPr>
                    <w:t>、烘干房</w:t>
                  </w:r>
                  <w:r>
                    <w:rPr>
                      <w:bCs/>
                      <w:color w:val="000000" w:themeColor="text1"/>
                      <w:kern w:val="0"/>
                      <w:szCs w:val="21"/>
                      <w14:textFill>
                        <w14:solidFill>
                          <w14:schemeClr w14:val="tx1"/>
                        </w14:solidFill>
                      </w14:textFill>
                    </w:rPr>
                    <w:t>密闭、车间通风</w:t>
                  </w:r>
                </w:p>
              </w:tc>
              <w:tc>
                <w:tcPr>
                  <w:tcW w:w="2689" w:type="dxa"/>
                  <w:gridSpan w:val="2"/>
                  <w:vMerge w:val="restart"/>
                  <w:vAlign w:val="center"/>
                </w:tcPr>
                <w:p w14:paraId="0E2E439F">
                  <w:pPr>
                    <w:jc w:val="center"/>
                    <w:rPr>
                      <w:color w:val="000000" w:themeColor="text1"/>
                      <w14:textFill>
                        <w14:solidFill>
                          <w14:schemeClr w14:val="tx1"/>
                        </w14:solidFill>
                      </w14:textFill>
                    </w:rPr>
                  </w:pPr>
                  <w:r>
                    <w:rPr>
                      <w:bCs/>
                      <w:color w:val="000000" w:themeColor="text1"/>
                      <w:szCs w:val="22"/>
                      <w14:textFill>
                        <w14:solidFill>
                          <w14:schemeClr w14:val="tx1"/>
                        </w14:solidFill>
                      </w14:textFill>
                    </w:rPr>
                    <w:t>《大气污染物综合排放标准》（GB 16297-1996）</w:t>
                  </w:r>
                  <w:r>
                    <w:rPr>
                      <w:color w:val="000000" w:themeColor="text1"/>
                      <w14:textFill>
                        <w14:solidFill>
                          <w14:schemeClr w14:val="tx1"/>
                        </w14:solidFill>
                      </w14:textFill>
                    </w:rPr>
                    <w:t>表2中无组织排放</w:t>
                  </w:r>
                  <w:r>
                    <w:rPr>
                      <w:bCs/>
                      <w:color w:val="000000" w:themeColor="text1"/>
                      <w:szCs w:val="22"/>
                      <w14:textFill>
                        <w14:solidFill>
                          <w14:schemeClr w14:val="tx1"/>
                        </w14:solidFill>
                      </w14:textFill>
                    </w:rPr>
                    <w:t>（厂界）</w:t>
                  </w:r>
                </w:p>
              </w:tc>
              <w:tc>
                <w:tcPr>
                  <w:tcW w:w="1842" w:type="dxa"/>
                  <w:vAlign w:val="center"/>
                </w:tcPr>
                <w:p w14:paraId="1FE4F05F">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1.0</w:t>
                  </w:r>
                </w:p>
              </w:tc>
              <w:tc>
                <w:tcPr>
                  <w:tcW w:w="992" w:type="dxa"/>
                  <w:vAlign w:val="center"/>
                </w:tcPr>
                <w:p w14:paraId="2CE63C89">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0.069</w:t>
                  </w:r>
                </w:p>
              </w:tc>
            </w:tr>
            <w:tr w14:paraId="07010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52" w:type="dxa"/>
                  <w:vMerge w:val="continue"/>
                  <w:vAlign w:val="center"/>
                </w:tcPr>
                <w:p w14:paraId="4B34B319">
                  <w:pPr>
                    <w:widowControl/>
                    <w:jc w:val="center"/>
                    <w:rPr>
                      <w:bCs/>
                      <w:color w:val="000000" w:themeColor="text1"/>
                      <w:kern w:val="0"/>
                      <w:szCs w:val="21"/>
                      <w14:textFill>
                        <w14:solidFill>
                          <w14:schemeClr w14:val="tx1"/>
                        </w14:solidFill>
                      </w14:textFill>
                    </w:rPr>
                  </w:pPr>
                </w:p>
              </w:tc>
              <w:tc>
                <w:tcPr>
                  <w:tcW w:w="729" w:type="dxa"/>
                  <w:vMerge w:val="continue"/>
                  <w:vAlign w:val="center"/>
                </w:tcPr>
                <w:p w14:paraId="3FC7931C">
                  <w:pPr>
                    <w:widowControl/>
                    <w:jc w:val="center"/>
                    <w:rPr>
                      <w:bCs/>
                      <w:color w:val="000000" w:themeColor="text1"/>
                      <w:kern w:val="0"/>
                      <w:szCs w:val="21"/>
                      <w14:textFill>
                        <w14:solidFill>
                          <w14:schemeClr w14:val="tx1"/>
                        </w14:solidFill>
                      </w14:textFill>
                    </w:rPr>
                  </w:pPr>
                </w:p>
              </w:tc>
              <w:tc>
                <w:tcPr>
                  <w:tcW w:w="1080" w:type="dxa"/>
                  <w:vAlign w:val="center"/>
                </w:tcPr>
                <w:p w14:paraId="66636885">
                  <w:pPr>
                    <w:jc w:val="center"/>
                    <w:rPr>
                      <w:bCs/>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1282" w:type="dxa"/>
                  <w:gridSpan w:val="2"/>
                  <w:vMerge w:val="continue"/>
                  <w:vAlign w:val="center"/>
                </w:tcPr>
                <w:p w14:paraId="0EAD9DDF">
                  <w:pPr>
                    <w:widowControl/>
                    <w:jc w:val="center"/>
                    <w:rPr>
                      <w:bCs/>
                      <w:color w:val="000000" w:themeColor="text1"/>
                      <w:kern w:val="0"/>
                      <w:szCs w:val="21"/>
                      <w14:textFill>
                        <w14:solidFill>
                          <w14:schemeClr w14:val="tx1"/>
                        </w14:solidFill>
                      </w14:textFill>
                    </w:rPr>
                  </w:pPr>
                </w:p>
              </w:tc>
              <w:tc>
                <w:tcPr>
                  <w:tcW w:w="2689" w:type="dxa"/>
                  <w:gridSpan w:val="2"/>
                  <w:vMerge w:val="continue"/>
                  <w:vAlign w:val="center"/>
                </w:tcPr>
                <w:p w14:paraId="358E288A">
                  <w:pPr>
                    <w:rPr>
                      <w:color w:val="000000" w:themeColor="text1"/>
                      <w14:textFill>
                        <w14:solidFill>
                          <w14:schemeClr w14:val="tx1"/>
                        </w14:solidFill>
                      </w14:textFill>
                    </w:rPr>
                  </w:pPr>
                </w:p>
              </w:tc>
              <w:tc>
                <w:tcPr>
                  <w:tcW w:w="1842" w:type="dxa"/>
                  <w:vAlign w:val="center"/>
                </w:tcPr>
                <w:p w14:paraId="29B5F646">
                  <w:pPr>
                    <w:widowControl/>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1.2</w:t>
                  </w:r>
                </w:p>
              </w:tc>
              <w:tc>
                <w:tcPr>
                  <w:tcW w:w="992" w:type="dxa"/>
                  <w:vAlign w:val="center"/>
                </w:tcPr>
                <w:p w14:paraId="44B5A17D">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0.245</w:t>
                  </w:r>
                </w:p>
              </w:tc>
            </w:tr>
            <w:tr w14:paraId="6699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452" w:type="dxa"/>
                  <w:vMerge w:val="continue"/>
                  <w:vAlign w:val="center"/>
                </w:tcPr>
                <w:p w14:paraId="5D8DA9E6">
                  <w:pPr>
                    <w:widowControl/>
                    <w:jc w:val="center"/>
                    <w:rPr>
                      <w:bCs/>
                      <w:color w:val="000000" w:themeColor="text1"/>
                      <w:kern w:val="0"/>
                      <w:szCs w:val="21"/>
                      <w14:textFill>
                        <w14:solidFill>
                          <w14:schemeClr w14:val="tx1"/>
                        </w14:solidFill>
                      </w14:textFill>
                    </w:rPr>
                  </w:pPr>
                </w:p>
              </w:tc>
              <w:tc>
                <w:tcPr>
                  <w:tcW w:w="729" w:type="dxa"/>
                  <w:vMerge w:val="continue"/>
                  <w:vAlign w:val="center"/>
                </w:tcPr>
                <w:p w14:paraId="1EBBD3C5">
                  <w:pPr>
                    <w:widowControl/>
                    <w:jc w:val="center"/>
                    <w:rPr>
                      <w:bCs/>
                      <w:color w:val="000000" w:themeColor="text1"/>
                      <w:kern w:val="0"/>
                      <w:szCs w:val="21"/>
                      <w14:textFill>
                        <w14:solidFill>
                          <w14:schemeClr w14:val="tx1"/>
                        </w14:solidFill>
                      </w14:textFill>
                    </w:rPr>
                  </w:pPr>
                </w:p>
              </w:tc>
              <w:tc>
                <w:tcPr>
                  <w:tcW w:w="1080" w:type="dxa"/>
                  <w:vMerge w:val="restart"/>
                  <w:vAlign w:val="center"/>
                </w:tcPr>
                <w:p w14:paraId="26B7DFAB">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非甲烷总烃</w:t>
                  </w:r>
                </w:p>
              </w:tc>
              <w:tc>
                <w:tcPr>
                  <w:tcW w:w="1282" w:type="dxa"/>
                  <w:gridSpan w:val="2"/>
                  <w:vMerge w:val="continue"/>
                  <w:vAlign w:val="center"/>
                </w:tcPr>
                <w:p w14:paraId="770C7850">
                  <w:pPr>
                    <w:widowControl/>
                    <w:jc w:val="center"/>
                    <w:rPr>
                      <w:bCs/>
                      <w:color w:val="000000" w:themeColor="text1"/>
                      <w:kern w:val="0"/>
                      <w:szCs w:val="21"/>
                      <w14:textFill>
                        <w14:solidFill>
                          <w14:schemeClr w14:val="tx1"/>
                        </w14:solidFill>
                      </w14:textFill>
                    </w:rPr>
                  </w:pPr>
                </w:p>
              </w:tc>
              <w:tc>
                <w:tcPr>
                  <w:tcW w:w="1697" w:type="dxa"/>
                  <w:vMerge w:val="restart"/>
                  <w:vAlign w:val="center"/>
                </w:tcPr>
                <w:p w14:paraId="5B53A1A3">
                  <w:pPr>
                    <w:jc w:val="center"/>
                    <w:rPr>
                      <w:bCs/>
                      <w:color w:val="000000" w:themeColor="text1"/>
                      <w:szCs w:val="22"/>
                      <w14:textFill>
                        <w14:solidFill>
                          <w14:schemeClr w14:val="tx1"/>
                        </w14:solidFill>
                      </w14:textFill>
                    </w:rPr>
                  </w:pPr>
                  <w:r>
                    <w:rPr>
                      <w:bCs/>
                      <w:color w:val="000000" w:themeColor="text1"/>
                      <w:szCs w:val="21"/>
                      <w14:textFill>
                        <w14:solidFill>
                          <w14:schemeClr w14:val="tx1"/>
                        </w14:solidFill>
                      </w14:textFill>
                    </w:rPr>
                    <w:t>《挥发性有机物综合排放控制标准（试行）》（DB36/2186-2025）</w:t>
                  </w:r>
                </w:p>
              </w:tc>
              <w:tc>
                <w:tcPr>
                  <w:tcW w:w="992" w:type="dxa"/>
                  <w:vMerge w:val="restart"/>
                  <w:vAlign w:val="center"/>
                </w:tcPr>
                <w:p w14:paraId="3470830F">
                  <w:pPr>
                    <w:jc w:val="center"/>
                    <w:rPr>
                      <w:bCs/>
                      <w:color w:val="000000" w:themeColor="text1"/>
                      <w:szCs w:val="22"/>
                      <w14:textFill>
                        <w14:solidFill>
                          <w14:schemeClr w14:val="tx1"/>
                        </w14:solidFill>
                      </w14:textFill>
                    </w:rPr>
                  </w:pPr>
                  <w:r>
                    <w:rPr>
                      <w:rFonts w:hint="eastAsia"/>
                      <w:bCs/>
                      <w:color w:val="000000" w:themeColor="text1"/>
                      <w:szCs w:val="22"/>
                      <w14:textFill>
                        <w14:solidFill>
                          <w14:schemeClr w14:val="tx1"/>
                        </w14:solidFill>
                      </w14:textFill>
                    </w:rPr>
                    <w:t>厂界</w:t>
                  </w:r>
                </w:p>
              </w:tc>
              <w:tc>
                <w:tcPr>
                  <w:tcW w:w="1842" w:type="dxa"/>
                  <w:vAlign w:val="center"/>
                </w:tcPr>
                <w:p w14:paraId="5B60A2CD">
                  <w:pPr>
                    <w:widowControl/>
                    <w:jc w:val="center"/>
                    <w:rPr>
                      <w:bCs/>
                      <w:color w:val="000000" w:themeColor="text1"/>
                      <w:kern w:val="0"/>
                      <w:szCs w:val="21"/>
                      <w14:textFill>
                        <w14:solidFill>
                          <w14:schemeClr w14:val="tx1"/>
                        </w14:solidFill>
                      </w14:textFill>
                    </w:rPr>
                  </w:pPr>
                  <w:r>
                    <w:rPr>
                      <w:rFonts w:hint="eastAsia"/>
                      <w:color w:val="000000" w:themeColor="text1"/>
                      <w:kern w:val="18"/>
                      <w:szCs w:val="21"/>
                      <w14:textFill>
                        <w14:solidFill>
                          <w14:schemeClr w14:val="tx1"/>
                        </w14:solidFill>
                      </w14:textFill>
                    </w:rPr>
                    <w:t>2</w:t>
                  </w:r>
                  <w:r>
                    <w:rPr>
                      <w:color w:val="000000" w:themeColor="text1"/>
                      <w:kern w:val="18"/>
                      <w:szCs w:val="21"/>
                      <w14:textFill>
                        <w14:solidFill>
                          <w14:schemeClr w14:val="tx1"/>
                        </w14:solidFill>
                      </w14:textFill>
                    </w:rPr>
                    <w:t>（监控点处1h平均浓度值）</w:t>
                  </w:r>
                </w:p>
              </w:tc>
              <w:tc>
                <w:tcPr>
                  <w:tcW w:w="992" w:type="dxa"/>
                  <w:vMerge w:val="restart"/>
                  <w:vAlign w:val="center"/>
                </w:tcPr>
                <w:p w14:paraId="25526FD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0.032</w:t>
                  </w:r>
                </w:p>
              </w:tc>
            </w:tr>
            <w:tr w14:paraId="718D2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452" w:type="dxa"/>
                  <w:vMerge w:val="continue"/>
                  <w:vAlign w:val="center"/>
                </w:tcPr>
                <w:p w14:paraId="06EEDCD6">
                  <w:pPr>
                    <w:widowControl/>
                    <w:jc w:val="center"/>
                    <w:rPr>
                      <w:bCs/>
                      <w:color w:val="000000" w:themeColor="text1"/>
                      <w:kern w:val="0"/>
                      <w:szCs w:val="21"/>
                      <w14:textFill>
                        <w14:solidFill>
                          <w14:schemeClr w14:val="tx1"/>
                        </w14:solidFill>
                      </w14:textFill>
                    </w:rPr>
                  </w:pPr>
                </w:p>
              </w:tc>
              <w:tc>
                <w:tcPr>
                  <w:tcW w:w="729" w:type="dxa"/>
                  <w:vMerge w:val="continue"/>
                  <w:vAlign w:val="center"/>
                </w:tcPr>
                <w:p w14:paraId="149AB20C">
                  <w:pPr>
                    <w:widowControl/>
                    <w:jc w:val="center"/>
                    <w:rPr>
                      <w:bCs/>
                      <w:color w:val="000000" w:themeColor="text1"/>
                      <w:kern w:val="0"/>
                      <w:szCs w:val="21"/>
                      <w14:textFill>
                        <w14:solidFill>
                          <w14:schemeClr w14:val="tx1"/>
                        </w14:solidFill>
                      </w14:textFill>
                    </w:rPr>
                  </w:pPr>
                </w:p>
              </w:tc>
              <w:tc>
                <w:tcPr>
                  <w:tcW w:w="1080" w:type="dxa"/>
                  <w:vMerge w:val="continue"/>
                  <w:vAlign w:val="center"/>
                </w:tcPr>
                <w:p w14:paraId="0DAD2199">
                  <w:pPr>
                    <w:jc w:val="center"/>
                    <w:rPr>
                      <w:bCs/>
                      <w:color w:val="000000" w:themeColor="text1"/>
                      <w:kern w:val="0"/>
                      <w:szCs w:val="21"/>
                      <w14:textFill>
                        <w14:solidFill>
                          <w14:schemeClr w14:val="tx1"/>
                        </w14:solidFill>
                      </w14:textFill>
                    </w:rPr>
                  </w:pPr>
                </w:p>
              </w:tc>
              <w:tc>
                <w:tcPr>
                  <w:tcW w:w="1282" w:type="dxa"/>
                  <w:gridSpan w:val="2"/>
                  <w:vMerge w:val="continue"/>
                  <w:vAlign w:val="center"/>
                </w:tcPr>
                <w:p w14:paraId="45EE96A4">
                  <w:pPr>
                    <w:widowControl/>
                    <w:jc w:val="center"/>
                    <w:rPr>
                      <w:bCs/>
                      <w:color w:val="000000" w:themeColor="text1"/>
                      <w:kern w:val="0"/>
                      <w:szCs w:val="21"/>
                      <w14:textFill>
                        <w14:solidFill>
                          <w14:schemeClr w14:val="tx1"/>
                        </w14:solidFill>
                      </w14:textFill>
                    </w:rPr>
                  </w:pPr>
                </w:p>
              </w:tc>
              <w:tc>
                <w:tcPr>
                  <w:tcW w:w="1697" w:type="dxa"/>
                  <w:vMerge w:val="continue"/>
                  <w:vAlign w:val="center"/>
                </w:tcPr>
                <w:p w14:paraId="6D15E3EC">
                  <w:pPr>
                    <w:jc w:val="center"/>
                    <w:rPr>
                      <w:bCs/>
                      <w:color w:val="000000" w:themeColor="text1"/>
                      <w:szCs w:val="21"/>
                      <w14:textFill>
                        <w14:solidFill>
                          <w14:schemeClr w14:val="tx1"/>
                        </w14:solidFill>
                      </w14:textFill>
                    </w:rPr>
                  </w:pPr>
                </w:p>
              </w:tc>
              <w:tc>
                <w:tcPr>
                  <w:tcW w:w="992" w:type="dxa"/>
                  <w:vMerge w:val="continue"/>
                  <w:vAlign w:val="center"/>
                </w:tcPr>
                <w:p w14:paraId="7BD5C679">
                  <w:pPr>
                    <w:jc w:val="center"/>
                    <w:rPr>
                      <w:bCs/>
                      <w:color w:val="000000" w:themeColor="text1"/>
                      <w:szCs w:val="22"/>
                      <w14:textFill>
                        <w14:solidFill>
                          <w14:schemeClr w14:val="tx1"/>
                        </w14:solidFill>
                      </w14:textFill>
                    </w:rPr>
                  </w:pPr>
                </w:p>
              </w:tc>
              <w:tc>
                <w:tcPr>
                  <w:tcW w:w="1842" w:type="dxa"/>
                  <w:vAlign w:val="center"/>
                </w:tcPr>
                <w:p w14:paraId="532C05F8">
                  <w:pPr>
                    <w:widowControl/>
                    <w:jc w:val="center"/>
                    <w:rPr>
                      <w:bCs/>
                      <w:color w:val="000000" w:themeColor="text1"/>
                      <w:kern w:val="0"/>
                      <w:szCs w:val="21"/>
                      <w14:textFill>
                        <w14:solidFill>
                          <w14:schemeClr w14:val="tx1"/>
                        </w14:solidFill>
                      </w14:textFill>
                    </w:rPr>
                  </w:pPr>
                  <w:r>
                    <w:rPr>
                      <w:rFonts w:hint="eastAsia"/>
                      <w:color w:val="000000" w:themeColor="text1"/>
                      <w:kern w:val="18"/>
                      <w:szCs w:val="21"/>
                      <w14:textFill>
                        <w14:solidFill>
                          <w14:schemeClr w14:val="tx1"/>
                        </w14:solidFill>
                      </w14:textFill>
                    </w:rPr>
                    <w:t>4</w:t>
                  </w:r>
                  <w:r>
                    <w:rPr>
                      <w:color w:val="000000" w:themeColor="text1"/>
                      <w:kern w:val="18"/>
                      <w:szCs w:val="21"/>
                      <w14:textFill>
                        <w14:solidFill>
                          <w14:schemeClr w14:val="tx1"/>
                        </w14:solidFill>
                      </w14:textFill>
                    </w:rPr>
                    <w:t>（监控点处任意一点浓度值）</w:t>
                  </w:r>
                </w:p>
              </w:tc>
              <w:tc>
                <w:tcPr>
                  <w:tcW w:w="992" w:type="dxa"/>
                  <w:vMerge w:val="continue"/>
                  <w:vAlign w:val="center"/>
                </w:tcPr>
                <w:p w14:paraId="5AEDD83A">
                  <w:pPr>
                    <w:jc w:val="center"/>
                    <w:rPr>
                      <w:color w:val="000000" w:themeColor="text1"/>
                      <w:szCs w:val="21"/>
                      <w14:textFill>
                        <w14:solidFill>
                          <w14:schemeClr w14:val="tx1"/>
                        </w14:solidFill>
                      </w14:textFill>
                    </w:rPr>
                  </w:pPr>
                </w:p>
              </w:tc>
            </w:tr>
            <w:tr w14:paraId="2CCB5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52" w:type="dxa"/>
                  <w:vMerge w:val="continue"/>
                  <w:vAlign w:val="center"/>
                </w:tcPr>
                <w:p w14:paraId="4E319DEA">
                  <w:pPr>
                    <w:widowControl/>
                    <w:jc w:val="center"/>
                    <w:rPr>
                      <w:bCs/>
                      <w:color w:val="000000" w:themeColor="text1"/>
                      <w:kern w:val="0"/>
                      <w:szCs w:val="21"/>
                      <w14:textFill>
                        <w14:solidFill>
                          <w14:schemeClr w14:val="tx1"/>
                        </w14:solidFill>
                      </w14:textFill>
                    </w:rPr>
                  </w:pPr>
                </w:p>
              </w:tc>
              <w:tc>
                <w:tcPr>
                  <w:tcW w:w="729" w:type="dxa"/>
                  <w:vMerge w:val="continue"/>
                  <w:vAlign w:val="center"/>
                </w:tcPr>
                <w:p w14:paraId="6083F86A">
                  <w:pPr>
                    <w:widowControl/>
                    <w:jc w:val="center"/>
                    <w:rPr>
                      <w:bCs/>
                      <w:color w:val="000000" w:themeColor="text1"/>
                      <w:kern w:val="0"/>
                      <w:szCs w:val="21"/>
                      <w14:textFill>
                        <w14:solidFill>
                          <w14:schemeClr w14:val="tx1"/>
                        </w14:solidFill>
                      </w14:textFill>
                    </w:rPr>
                  </w:pPr>
                </w:p>
              </w:tc>
              <w:tc>
                <w:tcPr>
                  <w:tcW w:w="1080" w:type="dxa"/>
                  <w:vMerge w:val="continue"/>
                  <w:vAlign w:val="center"/>
                </w:tcPr>
                <w:p w14:paraId="41DDF59D">
                  <w:pPr>
                    <w:jc w:val="center"/>
                    <w:rPr>
                      <w:bCs/>
                      <w:color w:val="000000" w:themeColor="text1"/>
                      <w:kern w:val="0"/>
                      <w:szCs w:val="21"/>
                      <w14:textFill>
                        <w14:solidFill>
                          <w14:schemeClr w14:val="tx1"/>
                        </w14:solidFill>
                      </w14:textFill>
                    </w:rPr>
                  </w:pPr>
                </w:p>
              </w:tc>
              <w:tc>
                <w:tcPr>
                  <w:tcW w:w="1282" w:type="dxa"/>
                  <w:gridSpan w:val="2"/>
                  <w:vMerge w:val="continue"/>
                  <w:vAlign w:val="center"/>
                </w:tcPr>
                <w:p w14:paraId="7B247294">
                  <w:pPr>
                    <w:widowControl/>
                    <w:jc w:val="center"/>
                    <w:rPr>
                      <w:bCs/>
                      <w:color w:val="000000" w:themeColor="text1"/>
                      <w:kern w:val="0"/>
                      <w:szCs w:val="21"/>
                      <w14:textFill>
                        <w14:solidFill>
                          <w14:schemeClr w14:val="tx1"/>
                        </w14:solidFill>
                      </w14:textFill>
                    </w:rPr>
                  </w:pPr>
                </w:p>
              </w:tc>
              <w:tc>
                <w:tcPr>
                  <w:tcW w:w="1697" w:type="dxa"/>
                  <w:vMerge w:val="continue"/>
                  <w:vAlign w:val="center"/>
                </w:tcPr>
                <w:p w14:paraId="41107EBD">
                  <w:pPr>
                    <w:widowControl/>
                    <w:jc w:val="center"/>
                    <w:rPr>
                      <w:bCs/>
                      <w:color w:val="000000" w:themeColor="text1"/>
                      <w:szCs w:val="22"/>
                      <w14:textFill>
                        <w14:solidFill>
                          <w14:schemeClr w14:val="tx1"/>
                        </w14:solidFill>
                      </w14:textFill>
                    </w:rPr>
                  </w:pPr>
                </w:p>
              </w:tc>
              <w:tc>
                <w:tcPr>
                  <w:tcW w:w="992" w:type="dxa"/>
                  <w:vMerge w:val="restart"/>
                  <w:vAlign w:val="center"/>
                </w:tcPr>
                <w:p w14:paraId="404CA335">
                  <w:pPr>
                    <w:widowControl/>
                    <w:jc w:val="center"/>
                    <w:rPr>
                      <w:bCs/>
                      <w:color w:val="000000" w:themeColor="text1"/>
                      <w:szCs w:val="22"/>
                      <w14:textFill>
                        <w14:solidFill>
                          <w14:schemeClr w14:val="tx1"/>
                        </w14:solidFill>
                      </w14:textFill>
                    </w:rPr>
                  </w:pPr>
                  <w:r>
                    <w:rPr>
                      <w:rFonts w:hint="eastAsia"/>
                      <w:bCs/>
                      <w:color w:val="000000" w:themeColor="text1"/>
                      <w:szCs w:val="22"/>
                      <w14:textFill>
                        <w14:solidFill>
                          <w14:schemeClr w14:val="tx1"/>
                        </w14:solidFill>
                      </w14:textFill>
                    </w:rPr>
                    <w:t>厂区内</w:t>
                  </w:r>
                </w:p>
              </w:tc>
              <w:tc>
                <w:tcPr>
                  <w:tcW w:w="1842" w:type="dxa"/>
                  <w:vAlign w:val="center"/>
                </w:tcPr>
                <w:p w14:paraId="571E0371">
                  <w:pPr>
                    <w:widowControl/>
                    <w:jc w:val="center"/>
                    <w:rPr>
                      <w:bCs/>
                      <w:color w:val="000000" w:themeColor="text1"/>
                      <w:kern w:val="0"/>
                      <w:szCs w:val="21"/>
                      <w14:textFill>
                        <w14:solidFill>
                          <w14:schemeClr w14:val="tx1"/>
                        </w14:solidFill>
                      </w14:textFill>
                    </w:rPr>
                  </w:pPr>
                  <w:r>
                    <w:rPr>
                      <w:color w:val="000000" w:themeColor="text1"/>
                      <w:kern w:val="18"/>
                      <w:szCs w:val="21"/>
                      <w14:textFill>
                        <w14:solidFill>
                          <w14:schemeClr w14:val="tx1"/>
                        </w14:solidFill>
                      </w14:textFill>
                    </w:rPr>
                    <w:t>10（监控点处1h平均浓度值）</w:t>
                  </w:r>
                </w:p>
              </w:tc>
              <w:tc>
                <w:tcPr>
                  <w:tcW w:w="992" w:type="dxa"/>
                  <w:vMerge w:val="continue"/>
                  <w:vAlign w:val="center"/>
                </w:tcPr>
                <w:p w14:paraId="3576E210">
                  <w:pPr>
                    <w:jc w:val="center"/>
                    <w:rPr>
                      <w:color w:val="000000" w:themeColor="text1"/>
                      <w:szCs w:val="21"/>
                      <w14:textFill>
                        <w14:solidFill>
                          <w14:schemeClr w14:val="tx1"/>
                        </w14:solidFill>
                      </w14:textFill>
                    </w:rPr>
                  </w:pPr>
                </w:p>
              </w:tc>
            </w:tr>
            <w:tr w14:paraId="185A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52" w:type="dxa"/>
                  <w:vMerge w:val="continue"/>
                  <w:vAlign w:val="center"/>
                </w:tcPr>
                <w:p w14:paraId="108BA9B9">
                  <w:pPr>
                    <w:widowControl/>
                    <w:jc w:val="center"/>
                    <w:rPr>
                      <w:bCs/>
                      <w:color w:val="000000" w:themeColor="text1"/>
                      <w:kern w:val="0"/>
                      <w:szCs w:val="21"/>
                      <w14:textFill>
                        <w14:solidFill>
                          <w14:schemeClr w14:val="tx1"/>
                        </w14:solidFill>
                      </w14:textFill>
                    </w:rPr>
                  </w:pPr>
                </w:p>
              </w:tc>
              <w:tc>
                <w:tcPr>
                  <w:tcW w:w="729" w:type="dxa"/>
                  <w:vMerge w:val="continue"/>
                  <w:vAlign w:val="center"/>
                </w:tcPr>
                <w:p w14:paraId="58FAD0EF">
                  <w:pPr>
                    <w:widowControl/>
                    <w:jc w:val="center"/>
                    <w:rPr>
                      <w:bCs/>
                      <w:color w:val="000000" w:themeColor="text1"/>
                      <w:kern w:val="0"/>
                      <w:szCs w:val="21"/>
                      <w14:textFill>
                        <w14:solidFill>
                          <w14:schemeClr w14:val="tx1"/>
                        </w14:solidFill>
                      </w14:textFill>
                    </w:rPr>
                  </w:pPr>
                </w:p>
              </w:tc>
              <w:tc>
                <w:tcPr>
                  <w:tcW w:w="1080" w:type="dxa"/>
                  <w:vMerge w:val="continue"/>
                  <w:vAlign w:val="center"/>
                </w:tcPr>
                <w:p w14:paraId="292E398B">
                  <w:pPr>
                    <w:jc w:val="center"/>
                    <w:rPr>
                      <w:bCs/>
                      <w:color w:val="000000" w:themeColor="text1"/>
                      <w:kern w:val="0"/>
                      <w:szCs w:val="21"/>
                      <w14:textFill>
                        <w14:solidFill>
                          <w14:schemeClr w14:val="tx1"/>
                        </w14:solidFill>
                      </w14:textFill>
                    </w:rPr>
                  </w:pPr>
                </w:p>
              </w:tc>
              <w:tc>
                <w:tcPr>
                  <w:tcW w:w="1282" w:type="dxa"/>
                  <w:gridSpan w:val="2"/>
                  <w:vMerge w:val="continue"/>
                  <w:vAlign w:val="center"/>
                </w:tcPr>
                <w:p w14:paraId="6D623F5E">
                  <w:pPr>
                    <w:widowControl/>
                    <w:jc w:val="center"/>
                    <w:rPr>
                      <w:bCs/>
                      <w:color w:val="000000" w:themeColor="text1"/>
                      <w:kern w:val="0"/>
                      <w:szCs w:val="21"/>
                      <w14:textFill>
                        <w14:solidFill>
                          <w14:schemeClr w14:val="tx1"/>
                        </w14:solidFill>
                      </w14:textFill>
                    </w:rPr>
                  </w:pPr>
                </w:p>
              </w:tc>
              <w:tc>
                <w:tcPr>
                  <w:tcW w:w="1697" w:type="dxa"/>
                  <w:vMerge w:val="continue"/>
                  <w:vAlign w:val="center"/>
                </w:tcPr>
                <w:p w14:paraId="434C9F11">
                  <w:pPr>
                    <w:widowControl/>
                    <w:jc w:val="center"/>
                    <w:rPr>
                      <w:color w:val="000000" w:themeColor="text1"/>
                      <w14:textFill>
                        <w14:solidFill>
                          <w14:schemeClr w14:val="tx1"/>
                        </w14:solidFill>
                      </w14:textFill>
                    </w:rPr>
                  </w:pPr>
                </w:p>
              </w:tc>
              <w:tc>
                <w:tcPr>
                  <w:tcW w:w="992" w:type="dxa"/>
                  <w:vMerge w:val="continue"/>
                  <w:vAlign w:val="center"/>
                </w:tcPr>
                <w:p w14:paraId="6D25E9FD">
                  <w:pPr>
                    <w:widowControl/>
                    <w:jc w:val="center"/>
                    <w:rPr>
                      <w:color w:val="000000" w:themeColor="text1"/>
                      <w14:textFill>
                        <w14:solidFill>
                          <w14:schemeClr w14:val="tx1"/>
                        </w14:solidFill>
                      </w14:textFill>
                    </w:rPr>
                  </w:pPr>
                </w:p>
              </w:tc>
              <w:tc>
                <w:tcPr>
                  <w:tcW w:w="1842" w:type="dxa"/>
                  <w:vAlign w:val="center"/>
                </w:tcPr>
                <w:p w14:paraId="628E7E07">
                  <w:pPr>
                    <w:widowControl/>
                    <w:jc w:val="center"/>
                    <w:rPr>
                      <w:bCs/>
                      <w:color w:val="000000" w:themeColor="text1"/>
                      <w:kern w:val="0"/>
                      <w:szCs w:val="21"/>
                      <w14:textFill>
                        <w14:solidFill>
                          <w14:schemeClr w14:val="tx1"/>
                        </w14:solidFill>
                      </w14:textFill>
                    </w:rPr>
                  </w:pPr>
                  <w:r>
                    <w:rPr>
                      <w:color w:val="000000" w:themeColor="text1"/>
                      <w:kern w:val="18"/>
                      <w:szCs w:val="21"/>
                      <w14:textFill>
                        <w14:solidFill>
                          <w14:schemeClr w14:val="tx1"/>
                        </w14:solidFill>
                      </w14:textFill>
                    </w:rPr>
                    <w:t>30（监控点处任意一点浓度值）</w:t>
                  </w:r>
                </w:p>
              </w:tc>
              <w:tc>
                <w:tcPr>
                  <w:tcW w:w="992" w:type="dxa"/>
                  <w:vMerge w:val="continue"/>
                  <w:vAlign w:val="center"/>
                </w:tcPr>
                <w:p w14:paraId="0F85BAC6">
                  <w:pPr>
                    <w:jc w:val="center"/>
                    <w:rPr>
                      <w:color w:val="000000" w:themeColor="text1"/>
                      <w:szCs w:val="21"/>
                      <w14:textFill>
                        <w14:solidFill>
                          <w14:schemeClr w14:val="tx1"/>
                        </w14:solidFill>
                      </w14:textFill>
                    </w:rPr>
                  </w:pPr>
                </w:p>
              </w:tc>
            </w:tr>
            <w:tr w14:paraId="3878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66" w:type="dxa"/>
                  <w:gridSpan w:val="9"/>
                  <w:vAlign w:val="center"/>
                </w:tcPr>
                <w:p w14:paraId="71FAAAD3">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无组织排放总计</w:t>
                  </w:r>
                </w:p>
              </w:tc>
            </w:tr>
            <w:tr w14:paraId="0EE10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16" w:type="dxa"/>
                  <w:gridSpan w:val="4"/>
                  <w:vMerge w:val="restart"/>
                  <w:vAlign w:val="center"/>
                </w:tcPr>
                <w:p w14:paraId="7AB2FF8D">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无组织排放总计</w:t>
                  </w:r>
                </w:p>
              </w:tc>
              <w:tc>
                <w:tcPr>
                  <w:tcW w:w="5658" w:type="dxa"/>
                  <w:gridSpan w:val="4"/>
                  <w:vAlign w:val="center"/>
                </w:tcPr>
                <w:p w14:paraId="4002B1C5">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992" w:type="dxa"/>
                  <w:vAlign w:val="center"/>
                </w:tcPr>
                <w:p w14:paraId="426A9B9F">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0.069</w:t>
                  </w:r>
                </w:p>
              </w:tc>
            </w:tr>
            <w:tr w14:paraId="6DEF6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16" w:type="dxa"/>
                  <w:gridSpan w:val="4"/>
                  <w:vMerge w:val="continue"/>
                  <w:vAlign w:val="center"/>
                </w:tcPr>
                <w:p w14:paraId="68DA0B05">
                  <w:pPr>
                    <w:widowControl/>
                    <w:jc w:val="center"/>
                    <w:rPr>
                      <w:bCs/>
                      <w:color w:val="000000" w:themeColor="text1"/>
                      <w:kern w:val="0"/>
                      <w:szCs w:val="21"/>
                      <w14:textFill>
                        <w14:solidFill>
                          <w14:schemeClr w14:val="tx1"/>
                        </w14:solidFill>
                      </w14:textFill>
                    </w:rPr>
                  </w:pPr>
                </w:p>
              </w:tc>
              <w:tc>
                <w:tcPr>
                  <w:tcW w:w="5658" w:type="dxa"/>
                  <w:gridSpan w:val="4"/>
                  <w:vAlign w:val="center"/>
                </w:tcPr>
                <w:p w14:paraId="0FE5AC37">
                  <w:pPr>
                    <w:jc w:val="center"/>
                    <w:rPr>
                      <w:bCs/>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992" w:type="dxa"/>
                  <w:vAlign w:val="center"/>
                </w:tcPr>
                <w:p w14:paraId="790C74F2">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0.245</w:t>
                  </w:r>
                </w:p>
              </w:tc>
            </w:tr>
            <w:tr w14:paraId="65966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16" w:type="dxa"/>
                  <w:gridSpan w:val="4"/>
                  <w:vMerge w:val="continue"/>
                  <w:vAlign w:val="center"/>
                </w:tcPr>
                <w:p w14:paraId="14323BF5">
                  <w:pPr>
                    <w:widowControl/>
                    <w:jc w:val="center"/>
                    <w:rPr>
                      <w:bCs/>
                      <w:color w:val="000000" w:themeColor="text1"/>
                      <w:kern w:val="0"/>
                      <w:szCs w:val="21"/>
                      <w14:textFill>
                        <w14:solidFill>
                          <w14:schemeClr w14:val="tx1"/>
                        </w14:solidFill>
                      </w14:textFill>
                    </w:rPr>
                  </w:pPr>
                </w:p>
              </w:tc>
              <w:tc>
                <w:tcPr>
                  <w:tcW w:w="5658" w:type="dxa"/>
                  <w:gridSpan w:val="4"/>
                  <w:vAlign w:val="center"/>
                </w:tcPr>
                <w:p w14:paraId="6632DAFA">
                  <w:pPr>
                    <w:jc w:val="center"/>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非甲烷总烃</w:t>
                  </w:r>
                </w:p>
              </w:tc>
              <w:tc>
                <w:tcPr>
                  <w:tcW w:w="992" w:type="dxa"/>
                  <w:vAlign w:val="center"/>
                </w:tcPr>
                <w:p w14:paraId="480792C5">
                  <w:pPr>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0.032</w:t>
                  </w:r>
                </w:p>
              </w:tc>
            </w:tr>
          </w:tbl>
          <w:p w14:paraId="556AD70F">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6、监测计划</w:t>
            </w:r>
          </w:p>
          <w:p w14:paraId="7EC92C7E">
            <w:pPr>
              <w:pStyle w:val="159"/>
              <w:rPr>
                <w:kern w:val="0"/>
              </w:rPr>
            </w:pPr>
            <w:r>
              <w:rPr>
                <w:kern w:val="0"/>
              </w:rPr>
              <w:t>根据《排污单位自行监测技术指南 总则》（HJ 819-2017）、《排污许可证申请与核发技术规范 总则》（HJ 942-2018）、《排污单位自行监测技术指南 涂装》（HJ 1086-2020），本项目污染源监测计划见下表。</w:t>
            </w:r>
          </w:p>
          <w:p w14:paraId="06BCDA02">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14:textFill>
                  <w14:solidFill>
                    <w14:schemeClr w14:val="tx1"/>
                  </w14:solidFill>
                </w14:textFill>
              </w:rPr>
              <w:t>11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废气监测计划</w:t>
            </w:r>
          </w:p>
          <w:tbl>
            <w:tblPr>
              <w:tblStyle w:val="4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6"/>
              <w:gridCol w:w="2204"/>
              <w:gridCol w:w="1229"/>
              <w:gridCol w:w="4584"/>
            </w:tblGrid>
            <w:tr w14:paraId="373AE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shd w:val="clear" w:color="auto" w:fill="FFFFFF"/>
                  <w:vAlign w:val="center"/>
                </w:tcPr>
                <w:p w14:paraId="16043880">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监测点位</w:t>
                  </w:r>
                </w:p>
              </w:tc>
              <w:tc>
                <w:tcPr>
                  <w:tcW w:w="1143" w:type="pct"/>
                  <w:shd w:val="clear" w:color="auto" w:fill="FFFFFF"/>
                  <w:vAlign w:val="center"/>
                </w:tcPr>
                <w:p w14:paraId="3AF83BB3">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监测指标</w:t>
                  </w:r>
                </w:p>
              </w:tc>
              <w:tc>
                <w:tcPr>
                  <w:tcW w:w="637" w:type="pct"/>
                  <w:shd w:val="clear" w:color="auto" w:fill="FFFFFF"/>
                  <w:vAlign w:val="center"/>
                </w:tcPr>
                <w:p w14:paraId="60171A84">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监测频次</w:t>
                  </w:r>
                </w:p>
              </w:tc>
              <w:tc>
                <w:tcPr>
                  <w:tcW w:w="2377" w:type="pct"/>
                  <w:shd w:val="clear" w:color="auto" w:fill="FFFFFF"/>
                  <w:vAlign w:val="center"/>
                </w:tcPr>
                <w:p w14:paraId="716127A5">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执行排放标准</w:t>
                  </w:r>
                </w:p>
              </w:tc>
            </w:tr>
            <w:tr w14:paraId="19F5A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restart"/>
                  <w:shd w:val="clear" w:color="auto" w:fill="FFFFFF"/>
                  <w:vAlign w:val="center"/>
                </w:tcPr>
                <w:p w14:paraId="6902935C">
                  <w:pPr>
                    <w:jc w:val="center"/>
                    <w:rPr>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排放筒DA001（喷漆房废气）</w:t>
                  </w:r>
                </w:p>
              </w:tc>
              <w:tc>
                <w:tcPr>
                  <w:tcW w:w="1143" w:type="pct"/>
                  <w:shd w:val="clear" w:color="auto" w:fill="FFFFFF"/>
                  <w:vAlign w:val="center"/>
                </w:tcPr>
                <w:p w14:paraId="22DC1C2C">
                  <w:pPr>
                    <w:jc w:val="center"/>
                    <w:rPr>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637" w:type="pct"/>
                  <w:vMerge w:val="restart"/>
                  <w:shd w:val="clear" w:color="auto" w:fill="FFFFFF"/>
                  <w:vAlign w:val="center"/>
                </w:tcPr>
                <w:p w14:paraId="71317F1A">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1次/年</w:t>
                  </w:r>
                </w:p>
              </w:tc>
              <w:tc>
                <w:tcPr>
                  <w:tcW w:w="2377" w:type="pct"/>
                  <w:shd w:val="clear" w:color="auto" w:fill="FFFFFF"/>
                  <w:vAlign w:val="center"/>
                </w:tcPr>
                <w:p w14:paraId="12E5EE5A">
                  <w:pPr>
                    <w:jc w:val="center"/>
                    <w:rPr>
                      <w:bCs/>
                      <w:color w:val="000000" w:themeColor="text1"/>
                      <w:kern w:val="0"/>
                      <w:szCs w:val="21"/>
                      <w14:textFill>
                        <w14:solidFill>
                          <w14:schemeClr w14:val="tx1"/>
                        </w14:solidFill>
                      </w14:textFill>
                    </w:rPr>
                  </w:pPr>
                  <w:r>
                    <w:rPr>
                      <w:bCs/>
                      <w:color w:val="000000" w:themeColor="text1"/>
                      <w:szCs w:val="22"/>
                      <w14:textFill>
                        <w14:solidFill>
                          <w14:schemeClr w14:val="tx1"/>
                        </w14:solidFill>
                      </w14:textFill>
                    </w:rPr>
                    <w:t>《大气污染物综合排放标准》（GB16297-1996）表2二级排放标准</w:t>
                  </w:r>
                </w:p>
              </w:tc>
            </w:tr>
            <w:tr w14:paraId="7243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continue"/>
                  <w:shd w:val="clear" w:color="auto" w:fill="FFFFFF"/>
                  <w:vAlign w:val="center"/>
                </w:tcPr>
                <w:p w14:paraId="0022B597">
                  <w:pPr>
                    <w:widowControl/>
                    <w:jc w:val="center"/>
                    <w:rPr>
                      <w:bCs/>
                      <w:color w:val="000000" w:themeColor="text1"/>
                      <w:kern w:val="0"/>
                      <w:szCs w:val="21"/>
                      <w14:textFill>
                        <w14:solidFill>
                          <w14:schemeClr w14:val="tx1"/>
                        </w14:solidFill>
                      </w14:textFill>
                    </w:rPr>
                  </w:pPr>
                </w:p>
              </w:tc>
              <w:tc>
                <w:tcPr>
                  <w:tcW w:w="1143" w:type="pct"/>
                  <w:shd w:val="clear" w:color="auto" w:fill="FFFFFF"/>
                  <w:vAlign w:val="center"/>
                </w:tcPr>
                <w:p w14:paraId="4E9D1FAC">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p>
              </w:tc>
              <w:tc>
                <w:tcPr>
                  <w:tcW w:w="637" w:type="pct"/>
                  <w:vMerge w:val="continue"/>
                  <w:shd w:val="clear" w:color="auto" w:fill="FFFFFF"/>
                  <w:vAlign w:val="center"/>
                </w:tcPr>
                <w:p w14:paraId="7CD4DDB4">
                  <w:pPr>
                    <w:widowControl/>
                    <w:jc w:val="center"/>
                    <w:rPr>
                      <w:bCs/>
                      <w:color w:val="000000" w:themeColor="text1"/>
                      <w:kern w:val="0"/>
                      <w:szCs w:val="21"/>
                      <w14:textFill>
                        <w14:solidFill>
                          <w14:schemeClr w14:val="tx1"/>
                        </w14:solidFill>
                      </w14:textFill>
                    </w:rPr>
                  </w:pPr>
                </w:p>
              </w:tc>
              <w:tc>
                <w:tcPr>
                  <w:tcW w:w="2377" w:type="pct"/>
                  <w:vMerge w:val="restart"/>
                  <w:shd w:val="clear" w:color="auto" w:fill="FFFFFF"/>
                  <w:vAlign w:val="center"/>
                </w:tcPr>
                <w:p w14:paraId="0D4A30EA">
                  <w:pPr>
                    <w:widowControl/>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《挥发性有机物综合排放控制标准（试行）》（DB36/2186-2025）</w:t>
                  </w:r>
                </w:p>
              </w:tc>
            </w:tr>
            <w:tr w14:paraId="5F04C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continue"/>
                  <w:shd w:val="clear" w:color="auto" w:fill="FFFFFF"/>
                  <w:vAlign w:val="center"/>
                </w:tcPr>
                <w:p w14:paraId="16CE4FE5">
                  <w:pPr>
                    <w:widowControl/>
                    <w:jc w:val="center"/>
                    <w:rPr>
                      <w:bCs/>
                      <w:color w:val="000000" w:themeColor="text1"/>
                      <w:kern w:val="0"/>
                      <w:szCs w:val="21"/>
                      <w14:textFill>
                        <w14:solidFill>
                          <w14:schemeClr w14:val="tx1"/>
                        </w14:solidFill>
                      </w14:textFill>
                    </w:rPr>
                  </w:pPr>
                </w:p>
              </w:tc>
              <w:tc>
                <w:tcPr>
                  <w:tcW w:w="1143" w:type="pct"/>
                  <w:shd w:val="clear" w:color="auto" w:fill="FFFFFF"/>
                  <w:vAlign w:val="center"/>
                </w:tcPr>
                <w:p w14:paraId="03DBC2C3">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637" w:type="pct"/>
                  <w:vMerge w:val="continue"/>
                  <w:shd w:val="clear" w:color="auto" w:fill="FFFFFF"/>
                  <w:vAlign w:val="center"/>
                </w:tcPr>
                <w:p w14:paraId="20CB59A8">
                  <w:pPr>
                    <w:widowControl/>
                    <w:jc w:val="center"/>
                    <w:rPr>
                      <w:bCs/>
                      <w:color w:val="000000" w:themeColor="text1"/>
                      <w:kern w:val="0"/>
                      <w:szCs w:val="21"/>
                      <w14:textFill>
                        <w14:solidFill>
                          <w14:schemeClr w14:val="tx1"/>
                        </w14:solidFill>
                      </w14:textFill>
                    </w:rPr>
                  </w:pPr>
                </w:p>
              </w:tc>
              <w:tc>
                <w:tcPr>
                  <w:tcW w:w="2377" w:type="pct"/>
                  <w:vMerge w:val="continue"/>
                  <w:shd w:val="clear" w:color="auto" w:fill="FFFFFF"/>
                  <w:vAlign w:val="center"/>
                </w:tcPr>
                <w:p w14:paraId="343B38F4">
                  <w:pPr>
                    <w:widowControl/>
                    <w:jc w:val="center"/>
                    <w:rPr>
                      <w:color w:val="000000" w:themeColor="text1"/>
                      <w:kern w:val="0"/>
                      <w:szCs w:val="21"/>
                      <w14:textFill>
                        <w14:solidFill>
                          <w14:schemeClr w14:val="tx1"/>
                        </w14:solidFill>
                      </w14:textFill>
                    </w:rPr>
                  </w:pPr>
                </w:p>
              </w:tc>
            </w:tr>
            <w:tr w14:paraId="71B98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restart"/>
                  <w:shd w:val="clear" w:color="auto" w:fill="FFFFFF"/>
                  <w:vAlign w:val="center"/>
                </w:tcPr>
                <w:p w14:paraId="755065E1">
                  <w:pPr>
                    <w:pStyle w:val="72"/>
                    <w:rPr>
                      <w:color w:val="000000" w:themeColor="text1"/>
                      <w:kern w:val="0"/>
                      <w14:textFill>
                        <w14:solidFill>
                          <w14:schemeClr w14:val="tx1"/>
                        </w14:solidFill>
                      </w14:textFill>
                    </w:rPr>
                  </w:pPr>
                  <w:r>
                    <w:rPr>
                      <w:color w:val="000000" w:themeColor="text1"/>
                      <w:kern w:val="0"/>
                      <w:lang w:val="en-US"/>
                      <w14:textFill>
                        <w14:solidFill>
                          <w14:schemeClr w14:val="tx1"/>
                        </w14:solidFill>
                      </w14:textFill>
                    </w:rPr>
                    <w:t>厂界</w:t>
                  </w:r>
                </w:p>
              </w:tc>
              <w:tc>
                <w:tcPr>
                  <w:tcW w:w="1143" w:type="pct"/>
                  <w:shd w:val="clear" w:color="auto" w:fill="FFFFFF"/>
                  <w:vAlign w:val="center"/>
                </w:tcPr>
                <w:p w14:paraId="28616319">
                  <w:pPr>
                    <w:jc w:val="center"/>
                    <w:rPr>
                      <w:color w:val="000000" w:themeColor="text1"/>
                      <w:kern w:val="0"/>
                      <w14:textFill>
                        <w14:solidFill>
                          <w14:schemeClr w14:val="tx1"/>
                        </w14:solidFill>
                      </w14:textFill>
                    </w:rPr>
                  </w:pPr>
                  <w:r>
                    <w:rPr>
                      <w:color w:val="000000" w:themeColor="text1"/>
                      <w:kern w:val="0"/>
                      <w:szCs w:val="21"/>
                      <w14:textFill>
                        <w14:solidFill>
                          <w14:schemeClr w14:val="tx1"/>
                        </w14:solidFill>
                      </w14:textFill>
                    </w:rPr>
                    <w:t>颗粒物</w:t>
                  </w:r>
                </w:p>
              </w:tc>
              <w:tc>
                <w:tcPr>
                  <w:tcW w:w="637" w:type="pct"/>
                  <w:vMerge w:val="restart"/>
                  <w:shd w:val="clear" w:color="auto" w:fill="FFFFFF"/>
                  <w:vAlign w:val="center"/>
                </w:tcPr>
                <w:p w14:paraId="3B238163">
                  <w:pPr>
                    <w:pStyle w:val="72"/>
                    <w:rPr>
                      <w:bCs/>
                      <w:color w:val="000000" w:themeColor="text1"/>
                      <w:kern w:val="0"/>
                      <w14:textFill>
                        <w14:solidFill>
                          <w14:schemeClr w14:val="tx1"/>
                        </w14:solidFill>
                      </w14:textFill>
                    </w:rPr>
                  </w:pPr>
                  <w:r>
                    <w:rPr>
                      <w:bCs/>
                      <w:color w:val="000000" w:themeColor="text1"/>
                      <w:kern w:val="0"/>
                      <w14:textFill>
                        <w14:solidFill>
                          <w14:schemeClr w14:val="tx1"/>
                        </w14:solidFill>
                      </w14:textFill>
                    </w:rPr>
                    <w:t>1次/半年</w:t>
                  </w:r>
                </w:p>
              </w:tc>
              <w:tc>
                <w:tcPr>
                  <w:tcW w:w="2377" w:type="pct"/>
                  <w:vMerge w:val="restart"/>
                  <w:shd w:val="clear" w:color="auto" w:fill="FFFFFF"/>
                  <w:vAlign w:val="center"/>
                </w:tcPr>
                <w:p w14:paraId="5C277B7E">
                  <w:pPr>
                    <w:widowControl/>
                    <w:jc w:val="center"/>
                    <w:rPr>
                      <w:color w:val="000000" w:themeColor="text1"/>
                      <w:kern w:val="0"/>
                      <w:szCs w:val="21"/>
                      <w14:textFill>
                        <w14:solidFill>
                          <w14:schemeClr w14:val="tx1"/>
                        </w14:solidFill>
                      </w14:textFill>
                    </w:rPr>
                  </w:pPr>
                  <w:r>
                    <w:rPr>
                      <w:bCs/>
                      <w:color w:val="000000" w:themeColor="text1"/>
                      <w:szCs w:val="22"/>
                      <w14:textFill>
                        <w14:solidFill>
                          <w14:schemeClr w14:val="tx1"/>
                        </w14:solidFill>
                      </w14:textFill>
                    </w:rPr>
                    <w:t>《大气污染物综合排放标准》（GB16297-1996）表2无组织排放</w:t>
                  </w:r>
                </w:p>
              </w:tc>
            </w:tr>
            <w:tr w14:paraId="0242C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continue"/>
                  <w:shd w:val="clear" w:color="auto" w:fill="FFFFFF"/>
                  <w:vAlign w:val="center"/>
                </w:tcPr>
                <w:p w14:paraId="75FEA3DF">
                  <w:pPr>
                    <w:pStyle w:val="72"/>
                    <w:rPr>
                      <w:color w:val="000000" w:themeColor="text1"/>
                      <w:kern w:val="0"/>
                      <w:lang w:val="en-US"/>
                      <w14:textFill>
                        <w14:solidFill>
                          <w14:schemeClr w14:val="tx1"/>
                        </w14:solidFill>
                      </w14:textFill>
                    </w:rPr>
                  </w:pPr>
                </w:p>
              </w:tc>
              <w:tc>
                <w:tcPr>
                  <w:tcW w:w="1143" w:type="pct"/>
                  <w:shd w:val="clear" w:color="auto" w:fill="FFFFFF"/>
                  <w:vAlign w:val="center"/>
                </w:tcPr>
                <w:p w14:paraId="44E18CEF">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637" w:type="pct"/>
                  <w:vMerge w:val="continue"/>
                  <w:shd w:val="clear" w:color="auto" w:fill="FFFFFF"/>
                  <w:vAlign w:val="center"/>
                </w:tcPr>
                <w:p w14:paraId="1BE88E75">
                  <w:pPr>
                    <w:widowControl/>
                    <w:jc w:val="center"/>
                    <w:rPr>
                      <w:bCs/>
                      <w:color w:val="000000" w:themeColor="text1"/>
                      <w:kern w:val="0"/>
                      <w:szCs w:val="21"/>
                      <w14:textFill>
                        <w14:solidFill>
                          <w14:schemeClr w14:val="tx1"/>
                        </w14:solidFill>
                      </w14:textFill>
                    </w:rPr>
                  </w:pPr>
                </w:p>
              </w:tc>
              <w:tc>
                <w:tcPr>
                  <w:tcW w:w="2377" w:type="pct"/>
                  <w:vMerge w:val="continue"/>
                  <w:shd w:val="clear" w:color="auto" w:fill="FFFFFF"/>
                  <w:vAlign w:val="center"/>
                </w:tcPr>
                <w:p w14:paraId="43ADEBFB">
                  <w:pPr>
                    <w:widowControl/>
                    <w:jc w:val="center"/>
                    <w:rPr>
                      <w:bCs/>
                      <w:color w:val="000000" w:themeColor="text1"/>
                      <w:kern w:val="0"/>
                      <w:szCs w:val="22"/>
                      <w14:textFill>
                        <w14:solidFill>
                          <w14:schemeClr w14:val="tx1"/>
                        </w14:solidFill>
                      </w14:textFill>
                    </w:rPr>
                  </w:pPr>
                </w:p>
              </w:tc>
            </w:tr>
            <w:tr w14:paraId="3160E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vMerge w:val="continue"/>
                  <w:shd w:val="clear" w:color="auto" w:fill="FFFFFF"/>
                  <w:vAlign w:val="center"/>
                </w:tcPr>
                <w:p w14:paraId="580B4202">
                  <w:pPr>
                    <w:pStyle w:val="72"/>
                    <w:rPr>
                      <w:color w:val="000000" w:themeColor="text1"/>
                      <w:kern w:val="0"/>
                      <w:lang w:val="en-US"/>
                      <w14:textFill>
                        <w14:solidFill>
                          <w14:schemeClr w14:val="tx1"/>
                        </w14:solidFill>
                      </w14:textFill>
                    </w:rPr>
                  </w:pPr>
                </w:p>
              </w:tc>
              <w:tc>
                <w:tcPr>
                  <w:tcW w:w="1143" w:type="pct"/>
                  <w:shd w:val="clear" w:color="auto" w:fill="FFFFFF"/>
                  <w:vAlign w:val="center"/>
                </w:tcPr>
                <w:p w14:paraId="42F023DD">
                  <w:pPr>
                    <w:jc w:val="center"/>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非甲烷总烃</w:t>
                  </w:r>
                </w:p>
              </w:tc>
              <w:tc>
                <w:tcPr>
                  <w:tcW w:w="637" w:type="pct"/>
                  <w:vMerge w:val="continue"/>
                  <w:shd w:val="clear" w:color="auto" w:fill="FFFFFF"/>
                  <w:vAlign w:val="center"/>
                </w:tcPr>
                <w:p w14:paraId="119CBDAA">
                  <w:pPr>
                    <w:widowControl/>
                    <w:jc w:val="center"/>
                    <w:rPr>
                      <w:bCs/>
                      <w:color w:val="000000" w:themeColor="text1"/>
                      <w:kern w:val="0"/>
                      <w:szCs w:val="21"/>
                      <w14:textFill>
                        <w14:solidFill>
                          <w14:schemeClr w14:val="tx1"/>
                        </w14:solidFill>
                      </w14:textFill>
                    </w:rPr>
                  </w:pPr>
                </w:p>
              </w:tc>
              <w:tc>
                <w:tcPr>
                  <w:tcW w:w="2377" w:type="pct"/>
                  <w:vMerge w:val="restart"/>
                  <w:shd w:val="clear" w:color="auto" w:fill="FFFFFF"/>
                  <w:vAlign w:val="center"/>
                </w:tcPr>
                <w:p w14:paraId="4524D735">
                  <w:pPr>
                    <w:jc w:val="center"/>
                    <w:rPr>
                      <w:bCs/>
                      <w:color w:val="000000" w:themeColor="text1"/>
                      <w:kern w:val="0"/>
                      <w:szCs w:val="22"/>
                      <w14:textFill>
                        <w14:solidFill>
                          <w14:schemeClr w14:val="tx1"/>
                        </w14:solidFill>
                      </w14:textFill>
                    </w:rPr>
                  </w:pPr>
                  <w:r>
                    <w:rPr>
                      <w:color w:val="000000" w:themeColor="text1"/>
                      <w14:textFill>
                        <w14:solidFill>
                          <w14:schemeClr w14:val="tx1"/>
                        </w14:solidFill>
                      </w14:textFill>
                    </w:rPr>
                    <w:t>《挥发性有机物综合排放控制标准（试行）》（DB36/2186-2025）</w:t>
                  </w:r>
                </w:p>
              </w:tc>
            </w:tr>
            <w:tr w14:paraId="25FCE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3" w:type="pct"/>
                  <w:shd w:val="clear" w:color="auto" w:fill="FFFFFF"/>
                  <w:vAlign w:val="center"/>
                </w:tcPr>
                <w:p w14:paraId="6E426E8F">
                  <w:pPr>
                    <w:pStyle w:val="72"/>
                    <w:rPr>
                      <w:color w:val="000000" w:themeColor="text1"/>
                      <w:kern w:val="0"/>
                      <w:lang w:val="en-US"/>
                      <w14:textFill>
                        <w14:solidFill>
                          <w14:schemeClr w14:val="tx1"/>
                        </w14:solidFill>
                      </w14:textFill>
                    </w:rPr>
                  </w:pPr>
                  <w:r>
                    <w:rPr>
                      <w:color w:val="000000" w:themeColor="text1"/>
                      <w:kern w:val="0"/>
                      <w:lang w:val="en-US"/>
                      <w14:textFill>
                        <w14:solidFill>
                          <w14:schemeClr w14:val="tx1"/>
                        </w14:solidFill>
                      </w14:textFill>
                    </w:rPr>
                    <w:t>厂区内</w:t>
                  </w:r>
                </w:p>
              </w:tc>
              <w:tc>
                <w:tcPr>
                  <w:tcW w:w="1143" w:type="pct"/>
                  <w:shd w:val="clear" w:color="auto" w:fill="FFFFFF"/>
                  <w:vAlign w:val="center"/>
                </w:tcPr>
                <w:p w14:paraId="05985D69">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非甲烷总烃</w:t>
                  </w:r>
                </w:p>
              </w:tc>
              <w:tc>
                <w:tcPr>
                  <w:tcW w:w="637" w:type="pct"/>
                  <w:shd w:val="clear" w:color="auto" w:fill="FFFFFF"/>
                  <w:vAlign w:val="center"/>
                </w:tcPr>
                <w:p w14:paraId="4144498E">
                  <w:pPr>
                    <w:widowControl/>
                    <w:jc w:val="center"/>
                    <w:rPr>
                      <w:bCs/>
                      <w:color w:val="000000" w:themeColor="text1"/>
                      <w:kern w:val="0"/>
                      <w:szCs w:val="21"/>
                      <w14:textFill>
                        <w14:solidFill>
                          <w14:schemeClr w14:val="tx1"/>
                        </w14:solidFill>
                      </w14:textFill>
                    </w:rPr>
                  </w:pPr>
                  <w:r>
                    <w:rPr>
                      <w:bCs/>
                      <w:color w:val="000000" w:themeColor="text1"/>
                      <w:kern w:val="0"/>
                      <w14:textFill>
                        <w14:solidFill>
                          <w14:schemeClr w14:val="tx1"/>
                        </w14:solidFill>
                      </w14:textFill>
                    </w:rPr>
                    <w:t>1次/</w:t>
                  </w:r>
                  <w:r>
                    <w:rPr>
                      <w:rFonts w:hint="eastAsia"/>
                      <w:bCs/>
                      <w:color w:val="000000" w:themeColor="text1"/>
                      <w:kern w:val="0"/>
                      <w14:textFill>
                        <w14:solidFill>
                          <w14:schemeClr w14:val="tx1"/>
                        </w14:solidFill>
                      </w14:textFill>
                    </w:rPr>
                    <w:t>半</w:t>
                  </w:r>
                  <w:r>
                    <w:rPr>
                      <w:bCs/>
                      <w:color w:val="000000" w:themeColor="text1"/>
                      <w:kern w:val="0"/>
                      <w14:textFill>
                        <w14:solidFill>
                          <w14:schemeClr w14:val="tx1"/>
                        </w14:solidFill>
                      </w14:textFill>
                    </w:rPr>
                    <w:t>年</w:t>
                  </w:r>
                </w:p>
              </w:tc>
              <w:tc>
                <w:tcPr>
                  <w:tcW w:w="2377" w:type="pct"/>
                  <w:vMerge w:val="continue"/>
                  <w:shd w:val="clear" w:color="auto" w:fill="FFFFFF"/>
                  <w:vAlign w:val="center"/>
                </w:tcPr>
                <w:p w14:paraId="73C6A034">
                  <w:pPr>
                    <w:widowControl/>
                    <w:jc w:val="center"/>
                    <w:rPr>
                      <w:bCs/>
                      <w:color w:val="000000" w:themeColor="text1"/>
                      <w:kern w:val="0"/>
                      <w:szCs w:val="22"/>
                      <w14:textFill>
                        <w14:solidFill>
                          <w14:schemeClr w14:val="tx1"/>
                        </w14:solidFill>
                      </w14:textFill>
                    </w:rPr>
                  </w:pPr>
                </w:p>
              </w:tc>
            </w:tr>
          </w:tbl>
          <w:p w14:paraId="712A5C9A">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7、结论</w:t>
            </w:r>
          </w:p>
          <w:p w14:paraId="012F82C6">
            <w:pPr>
              <w:pStyle w:val="208"/>
              <w:spacing w:line="360" w:lineRule="auto"/>
              <w:ind w:firstLine="480" w:firstLineChars="200"/>
              <w:jc w:val="both"/>
              <w:rPr>
                <w:rFonts w:cs="Times New Roman"/>
                <w:color w:val="000000" w:themeColor="text1"/>
                <w:kern w:val="0"/>
                <w:sz w:val="24"/>
                <w:szCs w:val="24"/>
                <w14:textFill>
                  <w14:solidFill>
                    <w14:schemeClr w14:val="tx1"/>
                  </w14:solidFill>
                </w14:textFill>
              </w:rPr>
            </w:pPr>
            <w:r>
              <w:rPr>
                <w:rFonts w:cs="Times New Roman"/>
                <w:color w:val="000000" w:themeColor="text1"/>
                <w:kern w:val="0"/>
                <w:sz w:val="24"/>
                <w:szCs w:val="24"/>
                <w14:textFill>
                  <w14:solidFill>
                    <w14:schemeClr w14:val="tx1"/>
                  </w14:solidFill>
                </w14:textFill>
              </w:rPr>
              <w:t>综上，本项目</w:t>
            </w:r>
            <w:r>
              <w:rPr>
                <w:rFonts w:hint="eastAsia" w:cs="Times New Roman"/>
                <w:color w:val="000000" w:themeColor="text1"/>
                <w:kern w:val="0"/>
                <w:sz w:val="24"/>
                <w:szCs w:val="24"/>
                <w14:textFill>
                  <w14:solidFill>
                    <w14:schemeClr w14:val="tx1"/>
                  </w14:solidFill>
                </w14:textFill>
              </w:rPr>
              <w:t>调漆、</w:t>
            </w:r>
            <w:r>
              <w:rPr>
                <w:rFonts w:hint="eastAsia" w:eastAsiaTheme="minorEastAsia"/>
                <w:color w:val="000000" w:themeColor="text1"/>
                <w:sz w:val="24"/>
                <w:szCs w:val="24"/>
                <w14:textFill>
                  <w14:solidFill>
                    <w14:schemeClr w14:val="tx1"/>
                  </w14:solidFill>
                </w14:textFill>
              </w:rPr>
              <w:t>喷漆废气密闭负压收集后经“水帘柜+过滤棉”预处理后与密闭负压收集的烘干废气一并经“活性炭吸附脱附+小型催化燃烧装置”处理</w:t>
            </w:r>
            <w:r>
              <w:rPr>
                <w:rFonts w:cs="Times New Roman"/>
                <w:color w:val="000000" w:themeColor="text1"/>
                <w:kern w:val="0"/>
                <w:sz w:val="24"/>
                <w:szCs w:val="24"/>
                <w14:textFill>
                  <w14:solidFill>
                    <w14:schemeClr w14:val="tx1"/>
                  </w14:solidFill>
                </w14:textFill>
              </w:rPr>
              <w:t>后，通过一根</w:t>
            </w:r>
            <w:r>
              <w:rPr>
                <w:rFonts w:cs="Times New Roman"/>
                <w:color w:val="000000" w:themeColor="text1"/>
                <w:kern w:val="0"/>
                <w:sz w:val="24"/>
                <w:szCs w:val="24"/>
                <w:lang w:val="zh-CN"/>
                <w14:textFill>
                  <w14:solidFill>
                    <w14:schemeClr w14:val="tx1"/>
                  </w14:solidFill>
                </w14:textFill>
              </w:rPr>
              <w:t>15米高排气筒DA001排放</w:t>
            </w:r>
            <w:r>
              <w:rPr>
                <w:rFonts w:cs="Times New Roman"/>
                <w:color w:val="000000" w:themeColor="text1"/>
                <w:kern w:val="0"/>
                <w:sz w:val="24"/>
                <w:szCs w:val="24"/>
                <w14:textFill>
                  <w14:solidFill>
                    <w14:schemeClr w14:val="tx1"/>
                  </w14:solidFill>
                </w14:textFill>
              </w:rPr>
              <w:t>，废气中的</w:t>
            </w:r>
            <w:r>
              <w:rPr>
                <w:rFonts w:hint="eastAsia"/>
                <w:color w:val="000000" w:themeColor="text1"/>
                <w:sz w:val="24"/>
                <w:szCs w:val="24"/>
                <w14:textFill>
                  <w14:solidFill>
                    <w14:schemeClr w14:val="tx1"/>
                  </w14:solidFill>
                </w14:textFill>
              </w:rPr>
              <w:t>非甲烷总烃、二甲苯排放浓度满足</w:t>
            </w:r>
            <w:r>
              <w:rPr>
                <w:color w:val="000000" w:themeColor="text1"/>
                <w:sz w:val="24"/>
                <w:szCs w:val="24"/>
                <w14:textFill>
                  <w14:solidFill>
                    <w14:schemeClr w14:val="tx1"/>
                  </w14:solidFill>
                </w14:textFill>
              </w:rPr>
              <w:t>《挥发性有机物综合排放控制标准（试行）》（DB36/2186-2025）</w:t>
            </w:r>
            <w:r>
              <w:rPr>
                <w:rFonts w:hint="eastAsia"/>
                <w:color w:val="000000" w:themeColor="text1"/>
                <w:sz w:val="24"/>
                <w:szCs w:val="24"/>
                <w14:textFill>
                  <w14:solidFill>
                    <w14:schemeClr w14:val="tx1"/>
                  </w14:solidFill>
                </w14:textFill>
              </w:rPr>
              <w:t>中表1相关限值，其中二甲苯满足苯系物排放限值；有组织废气中的非甲烷总烃、二甲苯</w:t>
            </w:r>
            <w:r>
              <w:rPr>
                <w:color w:val="000000" w:themeColor="text1"/>
                <w:sz w:val="24"/>
                <w:szCs w:val="24"/>
                <w14:textFill>
                  <w14:solidFill>
                    <w14:schemeClr w14:val="tx1"/>
                  </w14:solidFill>
                </w14:textFill>
              </w:rPr>
              <w:t>排放</w:t>
            </w:r>
            <w:r>
              <w:rPr>
                <w:rFonts w:hint="eastAsia"/>
                <w:color w:val="000000" w:themeColor="text1"/>
                <w:sz w:val="24"/>
                <w:szCs w:val="24"/>
                <w14:textFill>
                  <w14:solidFill>
                    <w14:schemeClr w14:val="tx1"/>
                  </w14:solidFill>
                </w14:textFill>
              </w:rPr>
              <w:t>速率满足</w:t>
            </w:r>
            <w:r>
              <w:rPr>
                <w:color w:val="000000" w:themeColor="text1"/>
                <w:sz w:val="24"/>
                <w:szCs w:val="24"/>
                <w14:textFill>
                  <w14:solidFill>
                    <w14:schemeClr w14:val="tx1"/>
                  </w14:solidFill>
                </w14:textFill>
              </w:rPr>
              <w:t>《大气污染物综合排放标准》（GB16297-1996）表2</w:t>
            </w:r>
            <w:r>
              <w:rPr>
                <w:rFonts w:hint="eastAsia"/>
                <w:color w:val="000000" w:themeColor="text1"/>
                <w:sz w:val="24"/>
                <w:szCs w:val="24"/>
                <w14:textFill>
                  <w14:solidFill>
                    <w14:schemeClr w14:val="tx1"/>
                  </w14:solidFill>
                </w14:textFill>
              </w:rPr>
              <w:t>相关</w:t>
            </w:r>
            <w:r>
              <w:rPr>
                <w:color w:val="000000" w:themeColor="text1"/>
                <w:sz w:val="24"/>
                <w:szCs w:val="24"/>
                <w14:textFill>
                  <w14:solidFill>
                    <w14:schemeClr w14:val="tx1"/>
                  </w14:solidFill>
                </w14:textFill>
              </w:rPr>
              <w:t>限值</w:t>
            </w:r>
            <w:r>
              <w:rPr>
                <w:rFonts w:hint="eastAsia"/>
                <w:color w:val="000000" w:themeColor="text1"/>
                <w:sz w:val="24"/>
                <w:szCs w:val="24"/>
                <w14:textFill>
                  <w14:solidFill>
                    <w14:schemeClr w14:val="tx1"/>
                  </w14:solidFill>
                </w14:textFill>
              </w:rPr>
              <w:t>；有组织</w:t>
            </w:r>
            <w:r>
              <w:rPr>
                <w:color w:val="000000" w:themeColor="text1"/>
                <w:sz w:val="24"/>
                <w:szCs w:val="24"/>
                <w14:textFill>
                  <w14:solidFill>
                    <w14:schemeClr w14:val="tx1"/>
                  </w14:solidFill>
                </w14:textFill>
              </w:rPr>
              <w:t>废气中的颗粒物</w:t>
            </w:r>
            <w:r>
              <w:rPr>
                <w:rFonts w:hint="eastAsia"/>
                <w:color w:val="000000" w:themeColor="text1"/>
                <w:sz w:val="24"/>
                <w:szCs w:val="24"/>
                <w14:textFill>
                  <w14:solidFill>
                    <w14:schemeClr w14:val="tx1"/>
                  </w14:solidFill>
                </w14:textFill>
              </w:rPr>
              <w:t>排放浓度及速率满足</w:t>
            </w:r>
            <w:r>
              <w:rPr>
                <w:color w:val="000000" w:themeColor="text1"/>
                <w:sz w:val="24"/>
                <w:szCs w:val="24"/>
                <w14:textFill>
                  <w14:solidFill>
                    <w14:schemeClr w14:val="tx1"/>
                  </w14:solidFill>
                </w14:textFill>
              </w:rPr>
              <w:t>《大气污染物综合排放标准》（GB16297-1996）表2</w:t>
            </w:r>
            <w:r>
              <w:rPr>
                <w:rFonts w:hint="eastAsia"/>
                <w:color w:val="000000" w:themeColor="text1"/>
                <w:sz w:val="24"/>
                <w:szCs w:val="24"/>
                <w14:textFill>
                  <w14:solidFill>
                    <w14:schemeClr w14:val="tx1"/>
                  </w14:solidFill>
                </w14:textFill>
              </w:rPr>
              <w:t>相关</w:t>
            </w:r>
            <w:r>
              <w:rPr>
                <w:color w:val="000000" w:themeColor="text1"/>
                <w:sz w:val="24"/>
                <w:szCs w:val="24"/>
                <w14:textFill>
                  <w14:solidFill>
                    <w14:schemeClr w14:val="tx1"/>
                  </w14:solidFill>
                </w14:textFill>
              </w:rPr>
              <w:t>限值要求。</w:t>
            </w:r>
          </w:p>
          <w:p w14:paraId="16B89F1A">
            <w:pPr>
              <w:pStyle w:val="159"/>
              <w:rPr>
                <w:kern w:val="0"/>
                <w:szCs w:val="21"/>
              </w:rPr>
            </w:pPr>
            <w:r>
              <w:rPr>
                <w:lang w:val="en-US"/>
              </w:rPr>
              <w:t>项目无组织废气为未收集喷漆房废气颗粒物、非甲烷总烃、二甲苯。未收集的废气通过加强喷漆房</w:t>
            </w:r>
            <w:r>
              <w:rPr>
                <w:rFonts w:hint="eastAsia"/>
                <w:lang w:val="en-US"/>
              </w:rPr>
              <w:t>、烘干房</w:t>
            </w:r>
            <w:r>
              <w:rPr>
                <w:lang w:val="en-US"/>
              </w:rPr>
              <w:t>密闭、车间通风等措施进行抑制。</w:t>
            </w:r>
            <w:r>
              <w:rPr>
                <w:szCs w:val="21"/>
              </w:rPr>
              <w:t>经上述措施处理后，厂界无组织排放的</w:t>
            </w:r>
            <w:r>
              <w:rPr>
                <w:szCs w:val="21"/>
                <w:lang w:val="en-US"/>
              </w:rPr>
              <w:t>废气</w:t>
            </w:r>
            <w:r>
              <w:rPr>
                <w:lang w:val="en-US"/>
              </w:rPr>
              <w:t>颗粒物</w:t>
            </w:r>
            <w:r>
              <w:rPr>
                <w:rFonts w:hint="eastAsia"/>
                <w:lang w:val="en-US"/>
              </w:rPr>
              <w:t>、二甲苯</w:t>
            </w:r>
            <w:r>
              <w:rPr>
                <w:lang w:val="en-US"/>
              </w:rPr>
              <w:t>满足</w:t>
            </w:r>
            <w:r>
              <w:t>《大气污染物综合排放标准》（GB</w:t>
            </w:r>
            <w:r>
              <w:rPr>
                <w:lang w:val="en-US"/>
              </w:rPr>
              <w:t xml:space="preserve"> </w:t>
            </w:r>
            <w:r>
              <w:t>16297-1996）表2中</w:t>
            </w:r>
            <w:r>
              <w:rPr>
                <w:lang w:val="en-US"/>
              </w:rPr>
              <w:t>无组织</w:t>
            </w:r>
            <w:r>
              <w:t>排放限值要求，</w:t>
            </w:r>
            <w:r>
              <w:rPr>
                <w:rFonts w:hint="eastAsia"/>
              </w:rPr>
              <w:t>厂界及厂区内</w:t>
            </w:r>
            <w:r>
              <w:rPr>
                <w:lang w:val="en-US"/>
              </w:rPr>
              <w:t>非甲烷总烃可满足</w:t>
            </w:r>
            <w:r>
              <w:t>《挥发性有机物综合排放控制标准（试行）》（DB36/2186-2025）</w:t>
            </w:r>
            <w:r>
              <w:rPr>
                <w:rFonts w:hint="eastAsia"/>
              </w:rPr>
              <w:t>中表2、3相关</w:t>
            </w:r>
            <w:r>
              <w:t>限值要求，对</w:t>
            </w:r>
            <w:r>
              <w:rPr>
                <w:kern w:val="0"/>
              </w:rPr>
              <w:t>周围大气环境及附近敏感点影响甚微</w:t>
            </w:r>
            <w:r>
              <w:rPr>
                <w:kern w:val="0"/>
                <w:szCs w:val="21"/>
              </w:rPr>
              <w:t>。</w:t>
            </w:r>
          </w:p>
          <w:p w14:paraId="43BC72A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项目位于二类空气环境功能区，项目环境影响符合环境功能区划，因此项目大气环境影响可以接受。</w:t>
            </w:r>
          </w:p>
          <w:p w14:paraId="2F8642B9">
            <w:pPr>
              <w:pStyle w:val="97"/>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二、水环境影响分析</w:t>
            </w:r>
          </w:p>
          <w:p w14:paraId="4CBA863A">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1、废水产排源强分析</w:t>
            </w:r>
          </w:p>
          <w:p w14:paraId="6C34014D">
            <w:pPr>
              <w:pStyle w:val="206"/>
              <w:spacing w:line="360" w:lineRule="auto"/>
              <w:ind w:firstLine="480"/>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szCs w:val="21"/>
                <w14:textFill>
                  <w14:solidFill>
                    <w14:schemeClr w14:val="tx1"/>
                  </w14:solidFill>
                </w14:textFill>
              </w:rPr>
              <w:t>水帘</w:t>
            </w:r>
            <w:r>
              <w:rPr>
                <w:color w:val="000000" w:themeColor="text1"/>
                <w:szCs w:val="21"/>
                <w14:textFill>
                  <w14:solidFill>
                    <w14:schemeClr w14:val="tx1"/>
                  </w14:solidFill>
                </w14:textFill>
              </w:rPr>
              <w:t>废水</w:t>
            </w:r>
            <w:r>
              <w:rPr>
                <w:rFonts w:hint="eastAsia"/>
                <w:color w:val="000000" w:themeColor="text1"/>
                <w:szCs w:val="21"/>
                <w14:textFill>
                  <w14:solidFill>
                    <w14:schemeClr w14:val="tx1"/>
                  </w14:solidFill>
                </w14:textFill>
              </w:rPr>
              <w:t>作为危废处置</w:t>
            </w:r>
            <w:r>
              <w:rPr>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经化粪池处理后，定期清掏</w:t>
            </w:r>
            <w:r>
              <w:rPr>
                <w:rFonts w:hint="eastAsia" w:eastAsiaTheme="minorEastAsia"/>
                <w:color w:val="000000" w:themeColor="text1"/>
                <w:szCs w:val="21"/>
                <w14:textFill>
                  <w14:solidFill>
                    <w14:schemeClr w14:val="tx1"/>
                  </w14:solidFill>
                </w14:textFill>
              </w:rPr>
              <w:t>用于周边林地灌溉</w:t>
            </w:r>
            <w:r>
              <w:rPr>
                <w:rFonts w:eastAsiaTheme="minorEastAsia"/>
                <w:color w:val="000000" w:themeColor="text1"/>
                <w:szCs w:val="21"/>
                <w14:textFill>
                  <w14:solidFill>
                    <w14:schemeClr w14:val="tx1"/>
                  </w14:solidFill>
                </w14:textFill>
              </w:rPr>
              <w:t>，不外排。</w:t>
            </w:r>
          </w:p>
          <w:p w14:paraId="27FB6461">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r>
              <w:rPr>
                <w:rFonts w:hint="eastAsia" w:cs="Times New Roman"/>
                <w:color w:val="000000" w:themeColor="text1"/>
                <w14:textFill>
                  <w14:solidFill>
                    <w14:schemeClr w14:val="tx1"/>
                  </w14:solidFill>
                </w14:textFill>
              </w:rPr>
              <w:t>水帘废水</w:t>
            </w:r>
          </w:p>
          <w:p w14:paraId="09E2F0DD">
            <w:pPr>
              <w:pStyle w:val="178"/>
              <w:rPr>
                <w:rFonts w:eastAsia="宋体"/>
                <w:color w:val="000000" w:themeColor="text1"/>
                <w:spacing w:val="4"/>
                <w:kern w:val="0"/>
                <w:lang w:val="en-US"/>
                <w14:textFill>
                  <w14:solidFill>
                    <w14:schemeClr w14:val="tx1"/>
                  </w14:solidFill>
                </w14:textFill>
              </w:rPr>
            </w:pPr>
            <w:r>
              <w:rPr>
                <w:rFonts w:hint="eastAsia" w:hAnsi="宋体" w:eastAsia="宋体"/>
                <w:color w:val="000000" w:themeColor="text1"/>
                <w14:textFill>
                  <w14:solidFill>
                    <w14:schemeClr w14:val="tx1"/>
                  </w14:solidFill>
                </w14:textFill>
              </w:rPr>
              <w:t>根据前述分析，水帘废水产生量约3.2</w:t>
            </w:r>
            <w:r>
              <w:rPr>
                <w:rFonts w:hAnsi="宋体" w:eastAsia="宋体"/>
                <w:color w:val="000000" w:themeColor="text1"/>
                <w14:textFill>
                  <w14:solidFill>
                    <w14:schemeClr w14:val="tx1"/>
                  </w14:solidFill>
                </w14:textFill>
              </w:rPr>
              <w:t>m</w:t>
            </w:r>
            <w:r>
              <w:rPr>
                <w:rFonts w:hAnsi="宋体" w:eastAsia="宋体"/>
                <w:color w:val="000000" w:themeColor="text1"/>
                <w:vertAlign w:val="superscript"/>
                <w14:textFill>
                  <w14:solidFill>
                    <w14:schemeClr w14:val="tx1"/>
                  </w14:solidFill>
                </w14:textFill>
              </w:rPr>
              <w:t>3</w:t>
            </w:r>
            <w:r>
              <w:rPr>
                <w:rFonts w:hint="eastAsia" w:hAnsi="宋体" w:eastAsia="宋体"/>
                <w:color w:val="000000" w:themeColor="text1"/>
                <w14:textFill>
                  <w14:solidFill>
                    <w14:schemeClr w14:val="tx1"/>
                  </w14:solidFill>
                </w14:textFill>
              </w:rPr>
              <w:t>/a。水帘废水含有漆渣，该部分废水作为危险废物由资质单位统一处理，严禁直接外排进入污水管网及地表水体。</w:t>
            </w:r>
          </w:p>
          <w:p w14:paraId="38C6DA62">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（2）</w:t>
            </w:r>
            <w:r>
              <w:rPr>
                <w:rFonts w:cs="Times New Roman"/>
                <w:color w:val="000000" w:themeColor="text1"/>
                <w14:textFill>
                  <w14:solidFill>
                    <w14:schemeClr w14:val="tx1"/>
                  </w14:solidFill>
                </w14:textFill>
              </w:rPr>
              <w:t>生活污水</w:t>
            </w:r>
          </w:p>
          <w:p w14:paraId="1CEEFA49">
            <w:pPr>
              <w:pStyle w:val="178"/>
              <w:rPr>
                <w:rFonts w:eastAsia="宋体"/>
                <w:color w:val="000000" w:themeColor="text1"/>
                <w:kern w:val="0"/>
                <w:lang w:val="en-US"/>
                <w14:textFill>
                  <w14:solidFill>
                    <w14:schemeClr w14:val="tx1"/>
                  </w14:solidFill>
                </w14:textFill>
              </w:rPr>
            </w:pPr>
            <w:r>
              <w:rPr>
                <w:rFonts w:eastAsia="宋体"/>
                <w:color w:val="000000" w:themeColor="text1"/>
                <w:kern w:val="0"/>
                <w:lang w:val="en-US"/>
                <w14:textFill>
                  <w14:solidFill>
                    <w14:schemeClr w14:val="tx1"/>
                  </w14:solidFill>
                </w14:textFill>
              </w:rPr>
              <w:t>根据前述分析，生活污水产生量为432m</w:t>
            </w:r>
            <w:r>
              <w:rPr>
                <w:rFonts w:eastAsia="宋体"/>
                <w:color w:val="000000" w:themeColor="text1"/>
                <w:kern w:val="0"/>
                <w:vertAlign w:val="superscript"/>
                <w:lang w:val="en-US"/>
                <w14:textFill>
                  <w14:solidFill>
                    <w14:schemeClr w14:val="tx1"/>
                  </w14:solidFill>
                </w14:textFill>
              </w:rPr>
              <w:t>3</w:t>
            </w:r>
            <w:r>
              <w:rPr>
                <w:rFonts w:eastAsia="宋体"/>
                <w:color w:val="000000" w:themeColor="text1"/>
                <w:kern w:val="0"/>
                <w:lang w:val="en-US"/>
                <w14:textFill>
                  <w14:solidFill>
                    <w14:schemeClr w14:val="tx1"/>
                  </w14:solidFill>
                </w14:textFill>
              </w:rPr>
              <w:t>/a（1.44m</w:t>
            </w:r>
            <w:r>
              <w:rPr>
                <w:rFonts w:eastAsia="宋体"/>
                <w:color w:val="000000" w:themeColor="text1"/>
                <w:kern w:val="0"/>
                <w:vertAlign w:val="superscript"/>
                <w:lang w:val="en-US"/>
                <w14:textFill>
                  <w14:solidFill>
                    <w14:schemeClr w14:val="tx1"/>
                  </w14:solidFill>
                </w14:textFill>
              </w:rPr>
              <w:t>3</w:t>
            </w:r>
            <w:r>
              <w:rPr>
                <w:rFonts w:eastAsia="宋体"/>
                <w:color w:val="000000" w:themeColor="text1"/>
                <w:kern w:val="0"/>
                <w:lang w:val="en-US"/>
                <w14:textFill>
                  <w14:solidFill>
                    <w14:schemeClr w14:val="tx1"/>
                  </w14:solidFill>
                </w14:textFill>
              </w:rPr>
              <w:t>/d）。生活污水经化粪池处理后，定期清掏用于周边林地灌溉，不外排</w:t>
            </w:r>
            <w:r>
              <w:rPr>
                <w:rFonts w:eastAsia="宋体"/>
                <w:color w:val="000000" w:themeColor="text1"/>
                <w:szCs w:val="21"/>
                <w14:textFill>
                  <w14:solidFill>
                    <w14:schemeClr w14:val="tx1"/>
                  </w14:solidFill>
                </w14:textFill>
              </w:rPr>
              <w:t>。</w:t>
            </w:r>
          </w:p>
          <w:p w14:paraId="137390A2">
            <w:pPr>
              <w:pStyle w:val="178"/>
              <w:rPr>
                <w:rFonts w:eastAsia="宋体"/>
                <w:color w:val="000000" w:themeColor="text1"/>
                <w:lang w:val="en-US"/>
                <w14:textFill>
                  <w14:solidFill>
                    <w14:schemeClr w14:val="tx1"/>
                  </w14:solidFill>
                </w14:textFill>
              </w:rPr>
            </w:pPr>
            <w:r>
              <w:rPr>
                <w:rFonts w:eastAsiaTheme="minorEastAsia"/>
                <w:color w:val="000000" w:themeColor="text1"/>
                <w:szCs w:val="21"/>
                <w14:textFill>
                  <w14:solidFill>
                    <w14:schemeClr w14:val="tx1"/>
                  </w14:solidFill>
                </w14:textFill>
              </w:rPr>
              <w:t>生活污水中主要污染因子为pH、COD</w:t>
            </w:r>
            <w:r>
              <w:rPr>
                <w:rFonts w:eastAsiaTheme="minorEastAsia"/>
                <w:color w:val="000000" w:themeColor="text1"/>
                <w:szCs w:val="21"/>
                <w:vertAlign w:val="subscript"/>
                <w14:textFill>
                  <w14:solidFill>
                    <w14:schemeClr w14:val="tx1"/>
                  </w14:solidFill>
                </w14:textFill>
              </w:rPr>
              <w:t>Cr</w:t>
            </w:r>
            <w:r>
              <w:rPr>
                <w:rFonts w:eastAsiaTheme="minorEastAsia"/>
                <w:color w:val="000000" w:themeColor="text1"/>
                <w:szCs w:val="21"/>
                <w14:textFill>
                  <w14:solidFill>
                    <w14:schemeClr w14:val="tx1"/>
                  </w14:solidFill>
                </w14:textFill>
              </w:rPr>
              <w:t>、BOD</w:t>
            </w:r>
            <w:r>
              <w:rPr>
                <w:rFonts w:eastAsiaTheme="minorEastAsia"/>
                <w:color w:val="000000" w:themeColor="text1"/>
                <w:szCs w:val="21"/>
                <w:vertAlign w:val="subscript"/>
                <w14:textFill>
                  <w14:solidFill>
                    <w14:schemeClr w14:val="tx1"/>
                  </w14:solidFill>
                </w14:textFill>
              </w:rPr>
              <w:t>5</w:t>
            </w:r>
            <w:r>
              <w:rPr>
                <w:rFonts w:eastAsiaTheme="minorEastAsia"/>
                <w:color w:val="000000" w:themeColor="text1"/>
                <w:szCs w:val="21"/>
                <w14:textFill>
                  <w14:solidFill>
                    <w14:schemeClr w14:val="tx1"/>
                  </w14:solidFill>
                </w14:textFill>
              </w:rPr>
              <w:t>、SS、NH</w:t>
            </w:r>
            <w:r>
              <w:rPr>
                <w:rFonts w:eastAsiaTheme="minorEastAsia"/>
                <w:color w:val="000000" w:themeColor="text1"/>
                <w:szCs w:val="21"/>
                <w:vertAlign w:val="subscript"/>
                <w14:textFill>
                  <w14:solidFill>
                    <w14:schemeClr w14:val="tx1"/>
                  </w14:solidFill>
                </w14:textFill>
              </w:rPr>
              <w:t>3</w:t>
            </w:r>
            <w:r>
              <w:rPr>
                <w:rFonts w:eastAsiaTheme="minorEastAsia"/>
                <w:color w:val="000000" w:themeColor="text1"/>
                <w:szCs w:val="21"/>
                <w14:textFill>
                  <w14:solidFill>
                    <w14:schemeClr w14:val="tx1"/>
                  </w14:solidFill>
                </w14:textFill>
              </w:rPr>
              <w:t>-N、TP、TN等。</w:t>
            </w:r>
            <w:r>
              <w:rPr>
                <w:rFonts w:eastAsia="宋体"/>
                <w:color w:val="000000" w:themeColor="text1"/>
                <w:lang w:val="en-US"/>
                <w14:textFill>
                  <w14:solidFill>
                    <w14:schemeClr w14:val="tx1"/>
                  </w14:solidFill>
                </w14:textFill>
              </w:rPr>
              <w:t>根据江西省地方标准《农村生活污水治理技术指南（试行）》（DB36/T1446-2021）及一般生活污水情况，项目生活污水各污染物产生浓度取值分别为：pH 6.5~8.5、COD</w:t>
            </w:r>
            <w:r>
              <w:rPr>
                <w:rFonts w:eastAsia="宋体"/>
                <w:color w:val="000000" w:themeColor="text1"/>
                <w:vertAlign w:val="subscript"/>
                <w:lang w:val="en-US"/>
                <w14:textFill>
                  <w14:solidFill>
                    <w14:schemeClr w14:val="tx1"/>
                  </w14:solidFill>
                </w14:textFill>
              </w:rPr>
              <w:t>Cr</w:t>
            </w:r>
            <w:r>
              <w:rPr>
                <w:rFonts w:eastAsia="宋体"/>
                <w:color w:val="000000" w:themeColor="text1"/>
                <w:lang w:val="en-US"/>
                <w14:textFill>
                  <w14:solidFill>
                    <w14:schemeClr w14:val="tx1"/>
                  </w14:solidFill>
                </w14:textFill>
              </w:rPr>
              <w:t xml:space="preserve"> 250mg/L、BOD</w:t>
            </w:r>
            <w:r>
              <w:rPr>
                <w:rFonts w:eastAsia="宋体"/>
                <w:color w:val="000000" w:themeColor="text1"/>
                <w:vertAlign w:val="subscript"/>
                <w:lang w:val="en-US"/>
                <w14:textFill>
                  <w14:solidFill>
                    <w14:schemeClr w14:val="tx1"/>
                  </w14:solidFill>
                </w14:textFill>
              </w:rPr>
              <w:t>5</w:t>
            </w:r>
            <w:r>
              <w:rPr>
                <w:rFonts w:eastAsia="宋体"/>
                <w:color w:val="000000" w:themeColor="text1"/>
                <w:lang w:val="en-US"/>
                <w14:textFill>
                  <w14:solidFill>
                    <w14:schemeClr w14:val="tx1"/>
                  </w14:solidFill>
                </w14:textFill>
              </w:rPr>
              <w:t xml:space="preserve"> 150mg/L、SS 150mg/L、NH</w:t>
            </w:r>
            <w:r>
              <w:rPr>
                <w:rFonts w:eastAsia="宋体"/>
                <w:color w:val="000000" w:themeColor="text1"/>
                <w:vertAlign w:val="subscript"/>
                <w:lang w:val="en-US"/>
                <w14:textFill>
                  <w14:solidFill>
                    <w14:schemeClr w14:val="tx1"/>
                  </w14:solidFill>
                </w14:textFill>
              </w:rPr>
              <w:t>3</w:t>
            </w:r>
            <w:r>
              <w:rPr>
                <w:rFonts w:eastAsia="宋体"/>
                <w:color w:val="000000" w:themeColor="text1"/>
                <w:lang w:val="en-US"/>
                <w14:textFill>
                  <w14:solidFill>
                    <w14:schemeClr w14:val="tx1"/>
                  </w14:solidFill>
                </w14:textFill>
              </w:rPr>
              <w:t>-N 25mg/L、TP 3mg/L、TN 35mg/L。</w:t>
            </w:r>
          </w:p>
          <w:p w14:paraId="5380405C">
            <w:pPr>
              <w:pStyle w:val="180"/>
              <w:ind w:firstLine="480" w:firstLineChars="200"/>
              <w:jc w:val="both"/>
              <w:rPr>
                <w:b w:val="0"/>
                <w:color w:val="000000" w:themeColor="text1"/>
                <w:sz w:val="24"/>
                <w:szCs w:val="24"/>
                <w14:textFill>
                  <w14:solidFill>
                    <w14:schemeClr w14:val="tx1"/>
                  </w14:solidFill>
                </w14:textFill>
              </w:rPr>
            </w:pPr>
            <w:r>
              <w:rPr>
                <w:b w:val="0"/>
                <w:color w:val="000000" w:themeColor="text1"/>
                <w:sz w:val="24"/>
                <w:szCs w:val="24"/>
                <w14:textFill>
                  <w14:solidFill>
                    <w14:schemeClr w14:val="tx1"/>
                  </w14:solidFill>
                </w14:textFill>
              </w:rPr>
              <w:t>项目生活污水经化粪池处理后，</w:t>
            </w:r>
            <w:r>
              <w:rPr>
                <w:rFonts w:hint="eastAsia"/>
                <w:b w:val="0"/>
                <w:color w:val="000000" w:themeColor="text1"/>
                <w:sz w:val="24"/>
                <w:szCs w:val="24"/>
                <w14:textFill>
                  <w14:solidFill>
                    <w14:schemeClr w14:val="tx1"/>
                  </w14:solidFill>
                </w14:textFill>
              </w:rPr>
              <w:t>定期清掏用于周边林地灌溉</w:t>
            </w:r>
            <w:r>
              <w:rPr>
                <w:b w:val="0"/>
                <w:color w:val="000000" w:themeColor="text1"/>
                <w:sz w:val="24"/>
                <w:szCs w:val="24"/>
                <w14:textFill>
                  <w14:solidFill>
                    <w14:schemeClr w14:val="tx1"/>
                  </w14:solidFill>
                </w14:textFill>
              </w:rPr>
              <w:t>，不外排。</w:t>
            </w:r>
          </w:p>
          <w:p w14:paraId="7A31FB62">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12</w:t>
            </w:r>
            <w:r>
              <w:rPr>
                <w:rFonts w:eastAsiaTheme="minorEastAsia"/>
                <w:color w:val="000000" w:themeColor="text1"/>
                <w14:textFill>
                  <w14:solidFill>
                    <w14:schemeClr w14:val="tx1"/>
                  </w14:solidFill>
                </w14:textFill>
              </w:rPr>
              <w:t xml:space="preserve">  项目</w:t>
            </w:r>
            <w:r>
              <w:rPr>
                <w:rFonts w:hint="eastAsia" w:eastAsiaTheme="minorEastAsia"/>
                <w:color w:val="000000" w:themeColor="text1"/>
                <w14:textFill>
                  <w14:solidFill>
                    <w14:schemeClr w14:val="tx1"/>
                  </w14:solidFill>
                </w14:textFill>
              </w:rPr>
              <w:t>生活污水</w:t>
            </w:r>
            <w:r>
              <w:rPr>
                <w:rFonts w:eastAsiaTheme="minorEastAsia"/>
                <w:color w:val="000000" w:themeColor="text1"/>
                <w14:textFill>
                  <w14:solidFill>
                    <w14:schemeClr w14:val="tx1"/>
                  </w14:solidFill>
                </w14:textFill>
              </w:rPr>
              <w:t>产排情况表</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2215"/>
              <w:gridCol w:w="1060"/>
              <w:gridCol w:w="917"/>
              <w:gridCol w:w="818"/>
              <w:gridCol w:w="818"/>
              <w:gridCol w:w="937"/>
              <w:gridCol w:w="925"/>
              <w:gridCol w:w="818"/>
            </w:tblGrid>
            <w:tr w14:paraId="33024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792" w:type="pct"/>
                  <w:gridSpan w:val="2"/>
                  <w:vAlign w:val="center"/>
                </w:tcPr>
                <w:p w14:paraId="6A85E95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w:t>
                  </w:r>
                </w:p>
              </w:tc>
              <w:tc>
                <w:tcPr>
                  <w:tcW w:w="471" w:type="pct"/>
                  <w:vAlign w:val="center"/>
                </w:tcPr>
                <w:p w14:paraId="2E56A44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503" w:type="pct"/>
                  <w:vAlign w:val="center"/>
                </w:tcPr>
                <w:p w14:paraId="4CE8E53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tc>
              <w:tc>
                <w:tcPr>
                  <w:tcW w:w="425" w:type="pct"/>
                  <w:vAlign w:val="center"/>
                </w:tcPr>
                <w:p w14:paraId="1DADB23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380" w:type="pct"/>
                  <w:vAlign w:val="center"/>
                </w:tcPr>
                <w:p w14:paraId="2B9AB5E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540" w:type="pct"/>
                  <w:vAlign w:val="center"/>
                </w:tcPr>
                <w:p w14:paraId="69415B8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507" w:type="pct"/>
                  <w:vAlign w:val="center"/>
                </w:tcPr>
                <w:p w14:paraId="0B61002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381" w:type="pct"/>
                  <w:vAlign w:val="center"/>
                </w:tcPr>
                <w:p w14:paraId="234F447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TN</w:t>
                  </w:r>
                </w:p>
              </w:tc>
            </w:tr>
            <w:tr w14:paraId="5742C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6" w:type="pct"/>
                  <w:vMerge w:val="restart"/>
                  <w:vAlign w:val="center"/>
                </w:tcPr>
                <w:p w14:paraId="79300E4B">
                  <w:pPr>
                    <w:jc w:val="center"/>
                    <w:rPr>
                      <w:color w:val="000000" w:themeColor="text1"/>
                      <w:szCs w:val="21"/>
                      <w14:textFill>
                        <w14:solidFill>
                          <w14:schemeClr w14:val="tx1"/>
                        </w14:solidFill>
                      </w14:textFill>
                    </w:rPr>
                  </w:pPr>
                  <w:r>
                    <w:rPr>
                      <w:rFonts w:ascii="宋体" w:hAnsi="宋体"/>
                      <w:color w:val="000000" w:themeColor="text1"/>
                      <w14:textFill>
                        <w14:solidFill>
                          <w14:schemeClr w14:val="tx1"/>
                        </w14:solidFill>
                      </w14:textFill>
                    </w:rPr>
                    <w:t>生活污水</w:t>
                  </w:r>
                  <w:r>
                    <w:rPr>
                      <w:rFonts w:hint="eastAsia"/>
                      <w:color w:val="000000" w:themeColor="text1"/>
                      <w14:textFill>
                        <w14:solidFill>
                          <w14:schemeClr w14:val="tx1"/>
                        </w14:solidFill>
                      </w14:textFill>
                    </w:rPr>
                    <w:t>432</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tc>
              <w:tc>
                <w:tcPr>
                  <w:tcW w:w="1176" w:type="pct"/>
                  <w:vAlign w:val="center"/>
                </w:tcPr>
                <w:p w14:paraId="43A13D32">
                  <w:pPr>
                    <w:jc w:val="center"/>
                    <w:rPr>
                      <w:color w:val="000000" w:themeColor="text1"/>
                      <w:szCs w:val="21"/>
                      <w14:textFill>
                        <w14:solidFill>
                          <w14:schemeClr w14:val="tx1"/>
                        </w14:solidFill>
                      </w14:textFill>
                    </w:rPr>
                  </w:pPr>
                  <w:r>
                    <w:rPr>
                      <w:rFonts w:ascii="宋体" w:hAnsi="宋体"/>
                      <w:color w:val="000000" w:themeColor="text1"/>
                      <w14:textFill>
                        <w14:solidFill>
                          <w14:schemeClr w14:val="tx1"/>
                        </w14:solidFill>
                      </w14:textFill>
                    </w:rPr>
                    <w:t>产生浓度</w:t>
                  </w:r>
                  <w:r>
                    <w:rPr>
                      <w:color w:val="000000" w:themeColor="text1"/>
                      <w14:textFill>
                        <w14:solidFill>
                          <w14:schemeClr w14:val="tx1"/>
                        </w14:solidFill>
                      </w14:textFill>
                    </w:rPr>
                    <w:t>(mg/L)</w:t>
                  </w:r>
                </w:p>
              </w:tc>
              <w:tc>
                <w:tcPr>
                  <w:tcW w:w="471" w:type="pct"/>
                  <w:vAlign w:val="center"/>
                </w:tcPr>
                <w:p w14:paraId="1BB57B03">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6.5~8.5</w:t>
                  </w:r>
                </w:p>
              </w:tc>
              <w:tc>
                <w:tcPr>
                  <w:tcW w:w="503" w:type="pct"/>
                  <w:vAlign w:val="center"/>
                </w:tcPr>
                <w:p w14:paraId="1C3CDF62">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250</w:t>
                  </w:r>
                </w:p>
              </w:tc>
              <w:tc>
                <w:tcPr>
                  <w:tcW w:w="425" w:type="pct"/>
                  <w:vAlign w:val="center"/>
                </w:tcPr>
                <w:p w14:paraId="66527C67">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150</w:t>
                  </w:r>
                </w:p>
              </w:tc>
              <w:tc>
                <w:tcPr>
                  <w:tcW w:w="380" w:type="pct"/>
                  <w:vAlign w:val="center"/>
                </w:tcPr>
                <w:p w14:paraId="057B7867">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150</w:t>
                  </w:r>
                </w:p>
              </w:tc>
              <w:tc>
                <w:tcPr>
                  <w:tcW w:w="540" w:type="pct"/>
                  <w:vAlign w:val="center"/>
                </w:tcPr>
                <w:p w14:paraId="6CC6B9FE">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25</w:t>
                  </w:r>
                </w:p>
              </w:tc>
              <w:tc>
                <w:tcPr>
                  <w:tcW w:w="507" w:type="pct"/>
                  <w:vAlign w:val="center"/>
                </w:tcPr>
                <w:p w14:paraId="1EDA366B">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3</w:t>
                  </w:r>
                </w:p>
              </w:tc>
              <w:tc>
                <w:tcPr>
                  <w:tcW w:w="381" w:type="pct"/>
                  <w:vAlign w:val="center"/>
                </w:tcPr>
                <w:p w14:paraId="34666523">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35</w:t>
                  </w:r>
                </w:p>
              </w:tc>
            </w:tr>
            <w:tr w14:paraId="49D8A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16" w:type="pct"/>
                  <w:vMerge w:val="continue"/>
                  <w:vAlign w:val="center"/>
                </w:tcPr>
                <w:p w14:paraId="37E7C202">
                  <w:pPr>
                    <w:jc w:val="center"/>
                    <w:rPr>
                      <w:color w:val="000000" w:themeColor="text1"/>
                      <w:szCs w:val="21"/>
                      <w14:textFill>
                        <w14:solidFill>
                          <w14:schemeClr w14:val="tx1"/>
                        </w14:solidFill>
                      </w14:textFill>
                    </w:rPr>
                  </w:pPr>
                </w:p>
              </w:tc>
              <w:tc>
                <w:tcPr>
                  <w:tcW w:w="1176" w:type="pct"/>
                  <w:vAlign w:val="center"/>
                </w:tcPr>
                <w:p w14:paraId="510AA489">
                  <w:pPr>
                    <w:jc w:val="center"/>
                    <w:rPr>
                      <w:color w:val="000000" w:themeColor="text1"/>
                      <w:szCs w:val="21"/>
                      <w14:textFill>
                        <w14:solidFill>
                          <w14:schemeClr w14:val="tx1"/>
                        </w14:solidFill>
                      </w14:textFill>
                    </w:rPr>
                  </w:pPr>
                  <w:r>
                    <w:rPr>
                      <w:rFonts w:ascii="宋体" w:hAnsi="宋体"/>
                      <w:color w:val="000000" w:themeColor="text1"/>
                      <w14:textFill>
                        <w14:solidFill>
                          <w14:schemeClr w14:val="tx1"/>
                        </w14:solidFill>
                      </w14:textFill>
                    </w:rPr>
                    <w:t>污染物产生量（</w:t>
                  </w:r>
                  <w:r>
                    <w:rPr>
                      <w:color w:val="000000" w:themeColor="text1"/>
                      <w14:textFill>
                        <w14:solidFill>
                          <w14:schemeClr w14:val="tx1"/>
                        </w14:solidFill>
                      </w14:textFill>
                    </w:rPr>
                    <w:t>t/a</w:t>
                  </w:r>
                  <w:r>
                    <w:rPr>
                      <w:rFonts w:ascii="宋体" w:hAnsi="宋体"/>
                      <w:color w:val="000000" w:themeColor="text1"/>
                      <w14:textFill>
                        <w14:solidFill>
                          <w14:schemeClr w14:val="tx1"/>
                        </w14:solidFill>
                      </w14:textFill>
                    </w:rPr>
                    <w:t>）</w:t>
                  </w:r>
                </w:p>
              </w:tc>
              <w:tc>
                <w:tcPr>
                  <w:tcW w:w="471" w:type="pct"/>
                  <w:vAlign w:val="center"/>
                </w:tcPr>
                <w:p w14:paraId="2057057F">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w:t>
                  </w:r>
                </w:p>
              </w:tc>
              <w:tc>
                <w:tcPr>
                  <w:tcW w:w="503" w:type="pct"/>
                  <w:vAlign w:val="center"/>
                </w:tcPr>
                <w:p w14:paraId="457A97ED">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108</w:t>
                  </w:r>
                </w:p>
              </w:tc>
              <w:tc>
                <w:tcPr>
                  <w:tcW w:w="425" w:type="pct"/>
                  <w:vAlign w:val="center"/>
                </w:tcPr>
                <w:p w14:paraId="0B23412F">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65</w:t>
                  </w:r>
                </w:p>
              </w:tc>
              <w:tc>
                <w:tcPr>
                  <w:tcW w:w="380" w:type="pct"/>
                  <w:vAlign w:val="center"/>
                </w:tcPr>
                <w:p w14:paraId="628852A2">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65</w:t>
                  </w:r>
                </w:p>
              </w:tc>
              <w:tc>
                <w:tcPr>
                  <w:tcW w:w="540" w:type="pct"/>
                  <w:vAlign w:val="center"/>
                </w:tcPr>
                <w:p w14:paraId="22D6F149">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11</w:t>
                  </w:r>
                </w:p>
              </w:tc>
              <w:tc>
                <w:tcPr>
                  <w:tcW w:w="507" w:type="pct"/>
                  <w:vAlign w:val="center"/>
                </w:tcPr>
                <w:p w14:paraId="2AF34E98">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0.00</w:t>
                  </w:r>
                  <w:r>
                    <w:rPr>
                      <w:rFonts w:hint="eastAsia"/>
                      <w:color w:val="000000" w:themeColor="text1"/>
                      <w14:textFill>
                        <w14:solidFill>
                          <w14:schemeClr w14:val="tx1"/>
                        </w14:solidFill>
                      </w14:textFill>
                    </w:rPr>
                    <w:t>1</w:t>
                  </w:r>
                </w:p>
              </w:tc>
              <w:tc>
                <w:tcPr>
                  <w:tcW w:w="381" w:type="pct"/>
                  <w:vAlign w:val="center"/>
                </w:tcPr>
                <w:p w14:paraId="531AE539">
                  <w:pPr>
                    <w:jc w:val="center"/>
                    <w:rPr>
                      <w:rFonts w:eastAsiaTheme="minorEastAsia"/>
                      <w:color w:val="000000" w:themeColor="text1"/>
                      <w:szCs w:val="21"/>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15</w:t>
                  </w:r>
                </w:p>
              </w:tc>
            </w:tr>
            <w:tr w14:paraId="3FB6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6" w:type="pct"/>
                  <w:vMerge w:val="restart"/>
                  <w:vAlign w:val="center"/>
                </w:tcPr>
                <w:p w14:paraId="182128A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化粪池</w:t>
                  </w:r>
                </w:p>
              </w:tc>
              <w:tc>
                <w:tcPr>
                  <w:tcW w:w="1176" w:type="pct"/>
                  <w:vAlign w:val="center"/>
                </w:tcPr>
                <w:p w14:paraId="4B2236A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处理效率</w:t>
                  </w:r>
                </w:p>
              </w:tc>
              <w:tc>
                <w:tcPr>
                  <w:tcW w:w="471" w:type="pct"/>
                  <w:vAlign w:val="center"/>
                </w:tcPr>
                <w:p w14:paraId="7A96D11F">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03" w:type="pct"/>
                  <w:vAlign w:val="center"/>
                </w:tcPr>
                <w:p w14:paraId="06E17E2A">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30%</w:t>
                  </w:r>
                </w:p>
              </w:tc>
              <w:tc>
                <w:tcPr>
                  <w:tcW w:w="425" w:type="pct"/>
                  <w:vAlign w:val="center"/>
                </w:tcPr>
                <w:p w14:paraId="13B1B3F4">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35%</w:t>
                  </w:r>
                </w:p>
              </w:tc>
              <w:tc>
                <w:tcPr>
                  <w:tcW w:w="380" w:type="pct"/>
                  <w:vAlign w:val="center"/>
                </w:tcPr>
                <w:p w14:paraId="23514EF1">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65%</w:t>
                  </w:r>
                </w:p>
              </w:tc>
              <w:tc>
                <w:tcPr>
                  <w:tcW w:w="540" w:type="pct"/>
                  <w:vAlign w:val="center"/>
                </w:tcPr>
                <w:p w14:paraId="014E28FB">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5%</w:t>
                  </w:r>
                </w:p>
              </w:tc>
              <w:tc>
                <w:tcPr>
                  <w:tcW w:w="507" w:type="pct"/>
                  <w:vAlign w:val="center"/>
                </w:tcPr>
                <w:p w14:paraId="2E86C5DB">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10%</w:t>
                  </w:r>
                </w:p>
              </w:tc>
              <w:tc>
                <w:tcPr>
                  <w:tcW w:w="381" w:type="pct"/>
                  <w:vAlign w:val="center"/>
                </w:tcPr>
                <w:p w14:paraId="03611D88">
                  <w:pPr>
                    <w:jc w:val="center"/>
                    <w:rPr>
                      <w:color w:val="000000" w:themeColor="text1"/>
                      <w14:textFill>
                        <w14:solidFill>
                          <w14:schemeClr w14:val="tx1"/>
                        </w14:solidFill>
                      </w14:textFill>
                    </w:rPr>
                  </w:pPr>
                  <w:r>
                    <w:rPr>
                      <w:color w:val="000000" w:themeColor="text1"/>
                      <w14:textFill>
                        <w14:solidFill>
                          <w14:schemeClr w14:val="tx1"/>
                        </w14:solidFill>
                      </w14:textFill>
                    </w:rPr>
                    <w:t>5%</w:t>
                  </w:r>
                </w:p>
              </w:tc>
            </w:tr>
            <w:tr w14:paraId="5C0C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6" w:type="pct"/>
                  <w:vMerge w:val="continue"/>
                  <w:vAlign w:val="center"/>
                </w:tcPr>
                <w:p w14:paraId="5D451827">
                  <w:pPr>
                    <w:jc w:val="center"/>
                    <w:rPr>
                      <w:color w:val="000000" w:themeColor="text1"/>
                      <w:szCs w:val="21"/>
                      <w14:textFill>
                        <w14:solidFill>
                          <w14:schemeClr w14:val="tx1"/>
                        </w14:solidFill>
                      </w14:textFill>
                    </w:rPr>
                  </w:pPr>
                </w:p>
              </w:tc>
              <w:tc>
                <w:tcPr>
                  <w:tcW w:w="1176" w:type="pct"/>
                  <w:vAlign w:val="center"/>
                </w:tcPr>
                <w:p w14:paraId="3EBC84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处理后浓度(mg/L)</w:t>
                  </w:r>
                </w:p>
              </w:tc>
              <w:tc>
                <w:tcPr>
                  <w:tcW w:w="471" w:type="pct"/>
                  <w:vAlign w:val="center"/>
                </w:tcPr>
                <w:p w14:paraId="612C930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6.5~8.5</w:t>
                  </w:r>
                </w:p>
              </w:tc>
              <w:tc>
                <w:tcPr>
                  <w:tcW w:w="503" w:type="pct"/>
                  <w:vAlign w:val="center"/>
                </w:tcPr>
                <w:p w14:paraId="0610721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175</w:t>
                  </w:r>
                </w:p>
              </w:tc>
              <w:tc>
                <w:tcPr>
                  <w:tcW w:w="425" w:type="pct"/>
                  <w:vAlign w:val="center"/>
                </w:tcPr>
                <w:p w14:paraId="3FF4D4C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7.5</w:t>
                  </w:r>
                </w:p>
              </w:tc>
              <w:tc>
                <w:tcPr>
                  <w:tcW w:w="380" w:type="pct"/>
                  <w:vAlign w:val="center"/>
                </w:tcPr>
                <w:p w14:paraId="2E94F2D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52.5</w:t>
                  </w:r>
                </w:p>
              </w:tc>
              <w:tc>
                <w:tcPr>
                  <w:tcW w:w="540" w:type="pct"/>
                  <w:vAlign w:val="center"/>
                </w:tcPr>
                <w:p w14:paraId="23354D0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3.75</w:t>
                  </w:r>
                </w:p>
              </w:tc>
              <w:tc>
                <w:tcPr>
                  <w:tcW w:w="507" w:type="pct"/>
                  <w:vAlign w:val="center"/>
                </w:tcPr>
                <w:p w14:paraId="4ED878A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w:t>
                  </w:r>
                </w:p>
              </w:tc>
              <w:tc>
                <w:tcPr>
                  <w:tcW w:w="381" w:type="pct"/>
                  <w:vAlign w:val="center"/>
                </w:tcPr>
                <w:p w14:paraId="6199959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33.25</w:t>
                  </w:r>
                </w:p>
              </w:tc>
            </w:tr>
            <w:tr w14:paraId="2962A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16" w:type="pct"/>
                  <w:vMerge w:val="continue"/>
                  <w:vAlign w:val="center"/>
                </w:tcPr>
                <w:p w14:paraId="5B02A285">
                  <w:pPr>
                    <w:jc w:val="center"/>
                    <w:rPr>
                      <w:color w:val="000000" w:themeColor="text1"/>
                      <w:szCs w:val="21"/>
                      <w14:textFill>
                        <w14:solidFill>
                          <w14:schemeClr w14:val="tx1"/>
                        </w14:solidFill>
                      </w14:textFill>
                    </w:rPr>
                  </w:pPr>
                </w:p>
              </w:tc>
              <w:tc>
                <w:tcPr>
                  <w:tcW w:w="1176" w:type="pct"/>
                  <w:vAlign w:val="center"/>
                </w:tcPr>
                <w:p w14:paraId="0F21B4D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处理后排放量（</w:t>
                  </w:r>
                  <w:r>
                    <w:rPr>
                      <w:color w:val="000000" w:themeColor="text1"/>
                      <w14:textFill>
                        <w14:solidFill>
                          <w14:schemeClr w14:val="tx1"/>
                        </w14:solidFill>
                      </w14:textFill>
                    </w:rPr>
                    <w:t>t</w:t>
                  </w:r>
                  <w:r>
                    <w:rPr>
                      <w:color w:val="000000" w:themeColor="text1"/>
                      <w:szCs w:val="21"/>
                      <w14:textFill>
                        <w14:solidFill>
                          <w14:schemeClr w14:val="tx1"/>
                        </w14:solidFill>
                      </w14:textFill>
                    </w:rPr>
                    <w:t>/a）</w:t>
                  </w:r>
                </w:p>
              </w:tc>
              <w:tc>
                <w:tcPr>
                  <w:tcW w:w="3208" w:type="pct"/>
                  <w:gridSpan w:val="7"/>
                  <w:vAlign w:val="center"/>
                </w:tcPr>
                <w:p w14:paraId="1B226A01">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定期清掏用于周边林地灌溉，不外排</w:t>
                  </w:r>
                </w:p>
              </w:tc>
            </w:tr>
          </w:tbl>
          <w:p w14:paraId="24B6A8DF">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2、废水治理措施可行性及废水排放达标分析</w:t>
            </w:r>
          </w:p>
          <w:p w14:paraId="0E79443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（1）生活污水</w:t>
            </w:r>
          </w:p>
          <w:p w14:paraId="5D3B87BD">
            <w:pPr>
              <w:pStyle w:val="178"/>
              <w:rPr>
                <w:rFonts w:eastAsia="宋体"/>
                <w:color w:val="000000" w:themeColor="text1"/>
                <w:kern w:val="0"/>
                <w14:textFill>
                  <w14:solidFill>
                    <w14:schemeClr w14:val="tx1"/>
                  </w14:solidFill>
                </w14:textFill>
              </w:rPr>
            </w:pPr>
            <w:r>
              <w:rPr>
                <w:rFonts w:eastAsia="宋体"/>
                <w:color w:val="000000" w:themeColor="text1"/>
                <w14:textFill>
                  <w14:solidFill>
                    <w14:schemeClr w14:val="tx1"/>
                  </w14:solidFill>
                </w14:textFill>
              </w:rPr>
              <w:t>生活污水主要污染物成分为pH、COD</w:t>
            </w:r>
            <w:r>
              <w:rPr>
                <w:rFonts w:eastAsia="宋体"/>
                <w:color w:val="000000" w:themeColor="text1"/>
                <w:vertAlign w:val="subscript"/>
                <w14:textFill>
                  <w14:solidFill>
                    <w14:schemeClr w14:val="tx1"/>
                  </w14:solidFill>
                </w14:textFill>
              </w:rPr>
              <w:t>Cr</w:t>
            </w:r>
            <w:r>
              <w:rPr>
                <w:rFonts w:eastAsia="宋体"/>
                <w:color w:val="000000" w:themeColor="text1"/>
                <w14:textFill>
                  <w14:solidFill>
                    <w14:schemeClr w14:val="tx1"/>
                  </w14:solidFill>
                </w14:textFill>
              </w:rPr>
              <w:t>、BOD</w:t>
            </w:r>
            <w:r>
              <w:rPr>
                <w:rFonts w:eastAsia="宋体"/>
                <w:color w:val="000000" w:themeColor="text1"/>
                <w:vertAlign w:val="subscript"/>
                <w14:textFill>
                  <w14:solidFill>
                    <w14:schemeClr w14:val="tx1"/>
                  </w14:solidFill>
                </w14:textFill>
              </w:rPr>
              <w:t>5</w:t>
            </w:r>
            <w:r>
              <w:rPr>
                <w:rFonts w:eastAsia="宋体"/>
                <w:color w:val="000000" w:themeColor="text1"/>
                <w14:textFill>
                  <w14:solidFill>
                    <w14:schemeClr w14:val="tx1"/>
                  </w14:solidFill>
                </w14:textFill>
              </w:rPr>
              <w:t>、SS、NH</w:t>
            </w:r>
            <w:r>
              <w:rPr>
                <w:rFonts w:eastAsia="宋体"/>
                <w:color w:val="000000" w:themeColor="text1"/>
                <w:vertAlign w:val="subscript"/>
                <w14:textFill>
                  <w14:solidFill>
                    <w14:schemeClr w14:val="tx1"/>
                  </w14:solidFill>
                </w14:textFill>
              </w:rPr>
              <w:t>3</w:t>
            </w:r>
            <w:r>
              <w:rPr>
                <w:rFonts w:eastAsia="宋体"/>
                <w:color w:val="000000" w:themeColor="text1"/>
                <w14:textFill>
                  <w14:solidFill>
                    <w14:schemeClr w14:val="tx1"/>
                  </w14:solidFill>
                </w14:textFill>
              </w:rPr>
              <w:t>-N、TP、TN等。</w:t>
            </w:r>
            <w:r>
              <w:rPr>
                <w:rFonts w:eastAsia="宋体"/>
                <w:color w:val="000000" w:themeColor="text1"/>
                <w:kern w:val="0"/>
                <w14:textFill>
                  <w14:solidFill>
                    <w14:schemeClr w14:val="tx1"/>
                  </w14:solidFill>
                </w14:textFill>
              </w:rPr>
              <w:t>根据《村镇生活污染防治最佳可行技术指南（试行）》（HJ-BAT-9）及类比同类工程生活污水经化粪池处理设施后，</w:t>
            </w:r>
            <w:r>
              <w:rPr>
                <w:rFonts w:eastAsia="宋体"/>
                <w:color w:val="000000" w:themeColor="text1"/>
                <w:kern w:val="0"/>
                <w:lang w:val="en-US"/>
                <w14:textFill>
                  <w14:solidFill>
                    <w14:schemeClr w14:val="tx1"/>
                  </w14:solidFill>
                </w14:textFill>
              </w:rPr>
              <w:t>各污染物去除效率为：</w:t>
            </w:r>
            <w:r>
              <w:rPr>
                <w:rFonts w:eastAsia="宋体"/>
                <w:color w:val="000000" w:themeColor="text1"/>
                <w:kern w:val="0"/>
                <w14:textFill>
                  <w14:solidFill>
                    <w14:schemeClr w14:val="tx1"/>
                  </w14:solidFill>
                </w14:textFill>
              </w:rPr>
              <w:t>COD</w:t>
            </w:r>
            <w:r>
              <w:rPr>
                <w:rFonts w:eastAsia="宋体"/>
                <w:color w:val="000000" w:themeColor="text1"/>
                <w:kern w:val="0"/>
                <w:vertAlign w:val="subscript"/>
                <w14:textFill>
                  <w14:solidFill>
                    <w14:schemeClr w14:val="tx1"/>
                  </w14:solidFill>
                </w14:textFill>
              </w:rPr>
              <w:t>Cr</w:t>
            </w:r>
            <w:r>
              <w:rPr>
                <w:rFonts w:eastAsia="宋体"/>
                <w:color w:val="000000" w:themeColor="text1"/>
                <w:kern w:val="0"/>
                <w:lang w:val="en-US"/>
                <w14:textFill>
                  <w14:solidFill>
                    <w14:schemeClr w14:val="tx1"/>
                  </w14:solidFill>
                </w14:textFill>
              </w:rPr>
              <w:t>3</w:t>
            </w:r>
            <w:r>
              <w:rPr>
                <w:rFonts w:eastAsia="宋体"/>
                <w:color w:val="000000" w:themeColor="text1"/>
                <w:kern w:val="0"/>
                <w14:textFill>
                  <w14:solidFill>
                    <w14:schemeClr w14:val="tx1"/>
                  </w14:solidFill>
                </w14:textFill>
              </w:rPr>
              <w:t>0%、BOD</w:t>
            </w:r>
            <w:r>
              <w:rPr>
                <w:rFonts w:eastAsia="宋体"/>
                <w:color w:val="000000" w:themeColor="text1"/>
                <w:kern w:val="0"/>
                <w:vertAlign w:val="subscript"/>
                <w14:textFill>
                  <w14:solidFill>
                    <w14:schemeClr w14:val="tx1"/>
                  </w14:solidFill>
                </w14:textFill>
              </w:rPr>
              <w:t>5</w:t>
            </w:r>
            <w:r>
              <w:rPr>
                <w:rFonts w:eastAsia="宋体"/>
                <w:color w:val="000000" w:themeColor="text1"/>
                <w:kern w:val="0"/>
                <w:lang w:val="en-US"/>
                <w14:textFill>
                  <w14:solidFill>
                    <w14:schemeClr w14:val="tx1"/>
                  </w14:solidFill>
                </w14:textFill>
              </w:rPr>
              <w:t xml:space="preserve"> </w:t>
            </w:r>
            <w:r>
              <w:rPr>
                <w:rFonts w:eastAsia="宋体"/>
                <w:color w:val="000000" w:themeColor="text1"/>
                <w:kern w:val="0"/>
                <w14:textFill>
                  <w14:solidFill>
                    <w14:schemeClr w14:val="tx1"/>
                  </w14:solidFill>
                </w14:textFill>
              </w:rPr>
              <w:t>35%、SS</w:t>
            </w:r>
            <w:r>
              <w:rPr>
                <w:rFonts w:eastAsia="宋体"/>
                <w:color w:val="000000" w:themeColor="text1"/>
                <w:kern w:val="0"/>
                <w:lang w:val="en-US"/>
                <w14:textFill>
                  <w14:solidFill>
                    <w14:schemeClr w14:val="tx1"/>
                  </w14:solidFill>
                </w14:textFill>
              </w:rPr>
              <w:t xml:space="preserve"> </w:t>
            </w:r>
            <w:r>
              <w:rPr>
                <w:rFonts w:eastAsia="宋体"/>
                <w:color w:val="000000" w:themeColor="text1"/>
                <w:kern w:val="0"/>
                <w14:textFill>
                  <w14:solidFill>
                    <w14:schemeClr w14:val="tx1"/>
                  </w14:solidFill>
                </w14:textFill>
              </w:rPr>
              <w:t>65%、</w:t>
            </w:r>
            <w:r>
              <w:rPr>
                <w:rFonts w:eastAsia="宋体"/>
                <w:color w:val="000000" w:themeColor="text1"/>
                <w14:textFill>
                  <w14:solidFill>
                    <w14:schemeClr w14:val="tx1"/>
                  </w14:solidFill>
                </w14:textFill>
              </w:rPr>
              <w:t>NH</w:t>
            </w:r>
            <w:r>
              <w:rPr>
                <w:rFonts w:eastAsia="宋体"/>
                <w:color w:val="000000" w:themeColor="text1"/>
                <w:vertAlign w:val="subscript"/>
                <w14:textFill>
                  <w14:solidFill>
                    <w14:schemeClr w14:val="tx1"/>
                  </w14:solidFill>
                </w14:textFill>
              </w:rPr>
              <w:t>3</w:t>
            </w:r>
            <w:r>
              <w:rPr>
                <w:rFonts w:eastAsia="宋体"/>
                <w:color w:val="000000" w:themeColor="text1"/>
                <w14:textFill>
                  <w14:solidFill>
                    <w14:schemeClr w14:val="tx1"/>
                  </w14:solidFill>
                </w14:textFill>
              </w:rPr>
              <w:t>-N</w:t>
            </w:r>
            <w:r>
              <w:rPr>
                <w:rFonts w:eastAsia="宋体"/>
                <w:color w:val="000000" w:themeColor="text1"/>
                <w:kern w:val="0"/>
                <w:lang w:val="en-US"/>
                <w14:textFill>
                  <w14:solidFill>
                    <w14:schemeClr w14:val="tx1"/>
                  </w14:solidFill>
                </w14:textFill>
              </w:rPr>
              <w:t xml:space="preserve"> </w:t>
            </w:r>
            <w:r>
              <w:rPr>
                <w:rFonts w:eastAsia="宋体"/>
                <w:color w:val="000000" w:themeColor="text1"/>
                <w:kern w:val="0"/>
                <w14:textFill>
                  <w14:solidFill>
                    <w14:schemeClr w14:val="tx1"/>
                  </w14:solidFill>
                </w14:textFill>
              </w:rPr>
              <w:t>5%、TP</w:t>
            </w:r>
            <w:r>
              <w:rPr>
                <w:rFonts w:eastAsia="宋体"/>
                <w:color w:val="000000" w:themeColor="text1"/>
                <w:kern w:val="0"/>
                <w:lang w:val="en-US"/>
                <w14:textFill>
                  <w14:solidFill>
                    <w14:schemeClr w14:val="tx1"/>
                  </w14:solidFill>
                </w14:textFill>
              </w:rPr>
              <w:t xml:space="preserve"> </w:t>
            </w:r>
            <w:r>
              <w:rPr>
                <w:rFonts w:eastAsia="宋体"/>
                <w:color w:val="000000" w:themeColor="text1"/>
                <w:kern w:val="0"/>
                <w14:textFill>
                  <w14:solidFill>
                    <w14:schemeClr w14:val="tx1"/>
                  </w14:solidFill>
                </w14:textFill>
              </w:rPr>
              <w:t>10%、TN</w:t>
            </w:r>
            <w:r>
              <w:rPr>
                <w:rFonts w:eastAsia="宋体"/>
                <w:color w:val="000000" w:themeColor="text1"/>
                <w:kern w:val="0"/>
                <w:lang w:val="en-US"/>
                <w14:textFill>
                  <w14:solidFill>
                    <w14:schemeClr w14:val="tx1"/>
                  </w14:solidFill>
                </w14:textFill>
              </w:rPr>
              <w:t xml:space="preserve"> </w:t>
            </w:r>
            <w:r>
              <w:rPr>
                <w:rFonts w:eastAsia="宋体"/>
                <w:color w:val="000000" w:themeColor="text1"/>
                <w:kern w:val="0"/>
                <w14:textFill>
                  <w14:solidFill>
                    <w14:schemeClr w14:val="tx1"/>
                  </w14:solidFill>
                </w14:textFill>
              </w:rPr>
              <w:t>5%。</w:t>
            </w:r>
          </w:p>
          <w:p w14:paraId="4FD3449C">
            <w:pPr>
              <w:pStyle w:val="178"/>
              <w:rPr>
                <w:rFonts w:eastAsia="宋体"/>
                <w:color w:val="000000" w:themeColor="text1"/>
                <w:lang w:val="en-US"/>
                <w14:textFill>
                  <w14:solidFill>
                    <w14:schemeClr w14:val="tx1"/>
                  </w14:solidFill>
                </w14:textFill>
              </w:rPr>
            </w:pPr>
            <w:r>
              <w:rPr>
                <w:rFonts w:eastAsia="宋体"/>
                <w:color w:val="000000" w:themeColor="text1"/>
                <w:kern w:val="0"/>
                <w:lang w:val="en-US"/>
                <w14:textFill>
                  <w14:solidFill>
                    <w14:schemeClr w14:val="tx1"/>
                  </w14:solidFill>
                </w14:textFill>
              </w:rPr>
              <w:t>经计算，</w:t>
            </w:r>
            <w:r>
              <w:rPr>
                <w:rFonts w:eastAsia="宋体"/>
                <w:color w:val="000000" w:themeColor="text1"/>
                <w:kern w:val="0"/>
                <w14:textFill>
                  <w14:solidFill>
                    <w14:schemeClr w14:val="tx1"/>
                  </w14:solidFill>
                </w14:textFill>
              </w:rPr>
              <w:t>生活污水经化粪池处理后各污染物浓度分别为：pH 5.5~8.5、COD</w:t>
            </w:r>
            <w:r>
              <w:rPr>
                <w:rFonts w:eastAsia="宋体"/>
                <w:color w:val="000000" w:themeColor="text1"/>
                <w:kern w:val="0"/>
                <w:vertAlign w:val="subscript"/>
                <w14:textFill>
                  <w14:solidFill>
                    <w14:schemeClr w14:val="tx1"/>
                  </w14:solidFill>
                </w14:textFill>
              </w:rPr>
              <w:t xml:space="preserve">Cr </w:t>
            </w:r>
            <w:r>
              <w:rPr>
                <w:rFonts w:eastAsia="宋体"/>
                <w:color w:val="000000" w:themeColor="text1"/>
                <w:kern w:val="0"/>
                <w14:textFill>
                  <w14:solidFill>
                    <w14:schemeClr w14:val="tx1"/>
                  </w14:solidFill>
                </w14:textFill>
              </w:rPr>
              <w:t>1</w:t>
            </w:r>
            <w:r>
              <w:rPr>
                <w:rFonts w:eastAsia="宋体"/>
                <w:color w:val="000000" w:themeColor="text1"/>
                <w:kern w:val="0"/>
                <w:lang w:val="en-US"/>
                <w14:textFill>
                  <w14:solidFill>
                    <w14:schemeClr w14:val="tx1"/>
                  </w14:solidFill>
                </w14:textFill>
              </w:rPr>
              <w:t>75</w:t>
            </w:r>
            <w:r>
              <w:rPr>
                <w:rFonts w:eastAsia="宋体"/>
                <w:color w:val="000000" w:themeColor="text1"/>
                <w:kern w:val="0"/>
                <w14:textFill>
                  <w14:solidFill>
                    <w14:schemeClr w14:val="tx1"/>
                  </w14:solidFill>
                </w14:textFill>
              </w:rPr>
              <w:t>mg/L、BOD</w:t>
            </w:r>
            <w:r>
              <w:rPr>
                <w:rFonts w:eastAsia="宋体"/>
                <w:color w:val="000000" w:themeColor="text1"/>
                <w:kern w:val="0"/>
                <w:vertAlign w:val="subscript"/>
                <w14:textFill>
                  <w14:solidFill>
                    <w14:schemeClr w14:val="tx1"/>
                  </w14:solidFill>
                </w14:textFill>
              </w:rPr>
              <w:t>5</w:t>
            </w:r>
            <w:r>
              <w:rPr>
                <w:rFonts w:eastAsia="宋体"/>
                <w:color w:val="000000" w:themeColor="text1"/>
                <w:kern w:val="0"/>
                <w14:textFill>
                  <w14:solidFill>
                    <w14:schemeClr w14:val="tx1"/>
                  </w14:solidFill>
                </w14:textFill>
              </w:rPr>
              <w:t xml:space="preserve"> 97.5mg/L、SS </w:t>
            </w:r>
            <w:r>
              <w:rPr>
                <w:rFonts w:eastAsia="宋体"/>
                <w:color w:val="000000" w:themeColor="text1"/>
                <w:kern w:val="0"/>
                <w:lang w:val="en-US"/>
                <w14:textFill>
                  <w14:solidFill>
                    <w14:schemeClr w14:val="tx1"/>
                  </w14:solidFill>
                </w14:textFill>
              </w:rPr>
              <w:t>52.5</w:t>
            </w:r>
            <w:r>
              <w:rPr>
                <w:rFonts w:eastAsia="宋体"/>
                <w:color w:val="000000" w:themeColor="text1"/>
                <w:kern w:val="0"/>
                <w14:textFill>
                  <w14:solidFill>
                    <w14:schemeClr w14:val="tx1"/>
                  </w14:solidFill>
                </w14:textFill>
              </w:rPr>
              <w:t>mg/L、</w:t>
            </w:r>
            <w:r>
              <w:rPr>
                <w:rFonts w:eastAsia="宋体"/>
                <w:color w:val="000000" w:themeColor="text1"/>
                <w14:textFill>
                  <w14:solidFill>
                    <w14:schemeClr w14:val="tx1"/>
                  </w14:solidFill>
                </w14:textFill>
              </w:rPr>
              <w:t>NH</w:t>
            </w:r>
            <w:r>
              <w:rPr>
                <w:rFonts w:eastAsia="宋体"/>
                <w:color w:val="000000" w:themeColor="text1"/>
                <w:vertAlign w:val="subscript"/>
                <w14:textFill>
                  <w14:solidFill>
                    <w14:schemeClr w14:val="tx1"/>
                  </w14:solidFill>
                </w14:textFill>
              </w:rPr>
              <w:t>3</w:t>
            </w:r>
            <w:r>
              <w:rPr>
                <w:rFonts w:eastAsia="宋体"/>
                <w:color w:val="000000" w:themeColor="text1"/>
                <w14:textFill>
                  <w14:solidFill>
                    <w14:schemeClr w14:val="tx1"/>
                  </w14:solidFill>
                </w14:textFill>
              </w:rPr>
              <w:t xml:space="preserve">-N </w:t>
            </w:r>
            <w:r>
              <w:rPr>
                <w:rFonts w:eastAsia="宋体"/>
                <w:color w:val="000000" w:themeColor="text1"/>
                <w:kern w:val="0"/>
                <w14:textFill>
                  <w14:solidFill>
                    <w14:schemeClr w14:val="tx1"/>
                  </w14:solidFill>
                </w14:textFill>
              </w:rPr>
              <w:t>23.7</w:t>
            </w:r>
            <w:r>
              <w:rPr>
                <w:rFonts w:eastAsia="宋体"/>
                <w:color w:val="000000" w:themeColor="text1"/>
                <w:kern w:val="0"/>
                <w:lang w:val="en-US"/>
                <w14:textFill>
                  <w14:solidFill>
                    <w14:schemeClr w14:val="tx1"/>
                  </w14:solidFill>
                </w14:textFill>
              </w:rPr>
              <w:t>5</w:t>
            </w:r>
            <w:r>
              <w:rPr>
                <w:rFonts w:eastAsia="宋体"/>
                <w:color w:val="000000" w:themeColor="text1"/>
                <w:kern w:val="0"/>
                <w14:textFill>
                  <w14:solidFill>
                    <w14:schemeClr w14:val="tx1"/>
                  </w14:solidFill>
                </w14:textFill>
              </w:rPr>
              <w:t>mg/L，TP 2.</w:t>
            </w:r>
            <w:r>
              <w:rPr>
                <w:rFonts w:eastAsia="宋体"/>
                <w:color w:val="000000" w:themeColor="text1"/>
                <w:kern w:val="0"/>
                <w:lang w:val="en-US"/>
                <w14:textFill>
                  <w14:solidFill>
                    <w14:schemeClr w14:val="tx1"/>
                  </w14:solidFill>
                </w14:textFill>
              </w:rPr>
              <w:t>7</w:t>
            </w:r>
            <w:r>
              <w:rPr>
                <w:rFonts w:eastAsia="宋体"/>
                <w:color w:val="000000" w:themeColor="text1"/>
                <w:kern w:val="0"/>
                <w14:textFill>
                  <w14:solidFill>
                    <w14:schemeClr w14:val="tx1"/>
                  </w14:solidFill>
                </w14:textFill>
              </w:rPr>
              <w:t>mg/L、TN 33.</w:t>
            </w:r>
            <w:r>
              <w:rPr>
                <w:rFonts w:eastAsia="宋体"/>
                <w:color w:val="000000" w:themeColor="text1"/>
                <w:kern w:val="0"/>
                <w:lang w:val="en-US"/>
                <w14:textFill>
                  <w14:solidFill>
                    <w14:schemeClr w14:val="tx1"/>
                  </w14:solidFill>
                </w14:textFill>
              </w:rPr>
              <w:t>25</w:t>
            </w:r>
            <w:r>
              <w:rPr>
                <w:rFonts w:eastAsia="宋体"/>
                <w:color w:val="000000" w:themeColor="text1"/>
                <w:kern w:val="0"/>
                <w14:textFill>
                  <w14:solidFill>
                    <w14:schemeClr w14:val="tx1"/>
                  </w14:solidFill>
                </w14:textFill>
              </w:rPr>
              <w:t>mg/L。</w:t>
            </w:r>
          </w:p>
          <w:p w14:paraId="76FC0489">
            <w:pPr>
              <w:pStyle w:val="178"/>
              <w:rPr>
                <w:rFonts w:eastAsia="宋体"/>
                <w:color w:val="000000" w:themeColor="text1"/>
                <w:kern w:val="0"/>
                <w:lang w:val="en-US"/>
                <w14:textFill>
                  <w14:solidFill>
                    <w14:schemeClr w14:val="tx1"/>
                  </w14:solidFill>
                </w14:textFill>
              </w:rPr>
            </w:pPr>
            <w:r>
              <w:rPr>
                <w:rFonts w:eastAsia="宋体"/>
                <w:color w:val="000000" w:themeColor="text1"/>
                <w:kern w:val="0"/>
                <w:lang w:val="en-US"/>
                <w14:textFill>
                  <w14:solidFill>
                    <w14:schemeClr w14:val="tx1"/>
                  </w14:solidFill>
                </w14:textFill>
              </w:rPr>
              <w:t>化粪池是一种利用沉淀和厌氧发酵的原理，去除生活污水中悬浮性有机物的处理设施，属于初级的</w:t>
            </w:r>
            <w:r>
              <w:rPr>
                <w:rFonts w:hint="eastAsia" w:eastAsia="宋体"/>
                <w:color w:val="000000" w:themeColor="text1"/>
                <w:kern w:val="0"/>
                <w:lang w:val="en-US"/>
                <w14:textFill>
                  <w14:solidFill>
                    <w14:schemeClr w14:val="tx1"/>
                  </w14:solidFill>
                </w14:textFill>
              </w:rPr>
              <w:t>过渡型</w:t>
            </w:r>
            <w:r>
              <w:rPr>
                <w:rFonts w:eastAsia="宋体"/>
                <w:color w:val="000000" w:themeColor="text1"/>
                <w:kern w:val="0"/>
                <w:lang w:val="en-US"/>
                <w14:textFill>
                  <w14:solidFill>
                    <w14:schemeClr w14:val="tx1"/>
                  </w14:solidFill>
                </w14:textFill>
              </w:rPr>
              <w:t>生活处理构筑物。生活污水中含有大量粪便、纸屑、病原虫，污水进入化粪池经过12~24h的沉淀，可去除50%~60%的悬浮物。沉淀下来的污泥经过3个月以上的厌氧消化，使污泥中的有机物分解成稳定的无机物，易腐败的生污泥转化为稳定的熟污泥，改变了污泥的结构，降低了污泥的含水率。</w:t>
            </w:r>
          </w:p>
          <w:p w14:paraId="3D47033E">
            <w:pPr>
              <w:pStyle w:val="159"/>
            </w:pPr>
            <w:r>
              <w:t>工艺流程如下：</w:t>
            </w:r>
          </w:p>
          <w:p w14:paraId="68542495">
            <w:pPr>
              <w:pStyle w:val="159"/>
            </w:pPr>
            <w:r>
              <w:t>过滤沉淀－厌氧发酵－固体物分解－粪液排放。</w:t>
            </w:r>
          </w:p>
          <w:p w14:paraId="7F0C57C5">
            <w:pPr>
              <w:pStyle w:val="159"/>
            </w:pPr>
            <w:r>
              <w:t>污水首先由进水口排到第一格，在第一格里比重较大的固体物及寄生虫卵等物沉淀下来，利用池水中的厌氧细菌开始初步的发酵分解，经第一格处理过的污水可分为三层：糊状粪皮、比较澄清的粪液和固体状的粪渣。经过初步分解的粪液流入第二格，而漂浮在上面的粪皮和沉积在下面的粪渣则留在第一格继续发酵。在第二格中，粪液继续发酵分解，虫卵继续下沉，病原体逐渐死亡，粪液得到进一步无害化，产生的粪皮和粪渣厚度比第一格显著减少。流入第三格的粪液一般已经腐熟，其中病菌和寄生虫卵已基本杀灭。第三格功能主要起暂时储存沉淀已基本无害的粪液作用，最后，经过再次沉淀的粪液可回用于</w:t>
            </w:r>
            <w:r>
              <w:rPr>
                <w:rFonts w:hint="eastAsia"/>
              </w:rPr>
              <w:t>林地灌溉</w:t>
            </w:r>
            <w:r>
              <w:t>。</w:t>
            </w:r>
          </w:p>
          <w:p w14:paraId="1790132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为增加现有土壤有机质，提高土壤肥力采用农家肥和养殖废污是最有效的途径。它的运用不仅使有机肥源增加，培肥土壤，同时也是保护生态环境，提高区域质量。项目位于</w:t>
            </w:r>
            <w:r>
              <w:rPr>
                <w:rFonts w:cs="Times New Roman"/>
                <w:color w:val="000000" w:themeColor="text1"/>
                <w:szCs w:val="24"/>
                <w14:textFill>
                  <w14:solidFill>
                    <w14:schemeClr w14:val="tx1"/>
                  </w14:solidFill>
                </w14:textFill>
              </w:rPr>
              <w:t>宜春市高安市</w:t>
            </w:r>
            <w:r>
              <w:rPr>
                <w:rFonts w:hint="eastAsia" w:cs="Times New Roman"/>
                <w:color w:val="000000" w:themeColor="text1"/>
                <w:szCs w:val="24"/>
                <w14:textFill>
                  <w14:solidFill>
                    <w14:schemeClr w14:val="tx1"/>
                  </w14:solidFill>
                </w14:textFill>
              </w:rPr>
              <w:t>黄沙岗</w:t>
            </w:r>
            <w:r>
              <w:rPr>
                <w:rFonts w:cs="Times New Roman"/>
                <w:color w:val="000000" w:themeColor="text1"/>
                <w:szCs w:val="24"/>
                <w14:textFill>
                  <w14:solidFill>
                    <w14:schemeClr w14:val="tx1"/>
                  </w14:solidFill>
                </w14:textFill>
              </w:rPr>
              <w:t>镇</w:t>
            </w:r>
            <w:r>
              <w:rPr>
                <w:rFonts w:cs="Times New Roman"/>
                <w:color w:val="000000" w:themeColor="text1"/>
                <w14:textFill>
                  <w14:solidFill>
                    <w14:schemeClr w14:val="tx1"/>
                  </w14:solidFill>
                </w14:textFill>
              </w:rPr>
              <w:t>，场地周边有大量的林地。</w:t>
            </w:r>
            <w:r>
              <w:rPr>
                <w:rFonts w:cs="Times New Roman"/>
                <w:color w:val="000000" w:themeColor="text1"/>
                <w:lang w:val="en-US"/>
                <w14:textFill>
                  <w14:solidFill>
                    <w14:schemeClr w14:val="tx1"/>
                  </w14:solidFill>
                </w14:textFill>
              </w:rPr>
              <w:t>根据《农业用水定额》（DB</w:t>
            </w:r>
            <w:r>
              <w:rPr>
                <w:rFonts w:hint="eastAsia" w:cs="Times New Roman"/>
                <w:color w:val="000000" w:themeColor="text1"/>
                <w:lang w:val="en-US"/>
                <w14:textFill>
                  <w14:solidFill>
                    <w14:schemeClr w14:val="tx1"/>
                  </w14:solidFill>
                </w14:textFill>
              </w:rPr>
              <w:t xml:space="preserve"> </w:t>
            </w:r>
            <w:r>
              <w:rPr>
                <w:rFonts w:cs="Times New Roman"/>
                <w:color w:val="000000" w:themeColor="text1"/>
                <w:lang w:val="en-US"/>
                <w14:textFill>
                  <w14:solidFill>
                    <w14:schemeClr w14:val="tx1"/>
                  </w14:solidFill>
                </w14:textFill>
              </w:rPr>
              <w:t>36/T619-2024），林地灌溉定额为75m</w:t>
            </w:r>
            <w:r>
              <w:rPr>
                <w:rFonts w:cs="Times New Roman"/>
                <w:color w:val="000000" w:themeColor="text1"/>
                <w:vertAlign w:val="superscript"/>
                <w:lang w:val="en-US"/>
                <w14:textFill>
                  <w14:solidFill>
                    <w14:schemeClr w14:val="tx1"/>
                  </w14:solidFill>
                </w14:textFill>
              </w:rPr>
              <w:t>3</w:t>
            </w:r>
            <w:r>
              <w:rPr>
                <w:rFonts w:cs="Times New Roman"/>
                <w:color w:val="000000" w:themeColor="text1"/>
                <w:lang w:val="en-US"/>
                <w14:textFill>
                  <w14:solidFill>
                    <w14:schemeClr w14:val="tx1"/>
                  </w14:solidFill>
                </w14:textFill>
              </w:rPr>
              <w:t>/亩a，依此推算，本工程产生生活污水量为</w:t>
            </w:r>
            <w:r>
              <w:rPr>
                <w:rFonts w:hint="eastAsia" w:cs="Times New Roman"/>
                <w:color w:val="000000" w:themeColor="text1"/>
                <w:lang w:val="en-US"/>
                <w14:textFill>
                  <w14:solidFill>
                    <w14:schemeClr w14:val="tx1"/>
                  </w14:solidFill>
                </w14:textFill>
              </w:rPr>
              <w:t>432</w:t>
            </w:r>
            <w:r>
              <w:rPr>
                <w:rFonts w:cs="Times New Roman"/>
                <w:color w:val="000000" w:themeColor="text1"/>
                <w:lang w:val="en-US"/>
                <w14:textFill>
                  <w14:solidFill>
                    <w14:schemeClr w14:val="tx1"/>
                  </w14:solidFill>
                </w14:textFill>
              </w:rPr>
              <w:t>m</w:t>
            </w:r>
            <w:r>
              <w:rPr>
                <w:rFonts w:cs="Times New Roman"/>
                <w:color w:val="000000" w:themeColor="text1"/>
                <w:vertAlign w:val="superscript"/>
                <w:lang w:val="en-US"/>
                <w14:textFill>
                  <w14:solidFill>
                    <w14:schemeClr w14:val="tx1"/>
                  </w14:solidFill>
                </w14:textFill>
              </w:rPr>
              <w:t>3</w:t>
            </w:r>
            <w:r>
              <w:rPr>
                <w:rFonts w:cs="Times New Roman"/>
                <w:color w:val="000000" w:themeColor="text1"/>
                <w:lang w:val="en-US"/>
                <w14:textFill>
                  <w14:solidFill>
                    <w14:schemeClr w14:val="tx1"/>
                  </w14:solidFill>
                </w14:textFill>
              </w:rPr>
              <w:t>/a，可满足</w:t>
            </w:r>
            <w:r>
              <w:rPr>
                <w:rFonts w:hint="eastAsia" w:cs="Times New Roman"/>
                <w:color w:val="000000" w:themeColor="text1"/>
                <w:lang w:val="en-US"/>
                <w14:textFill>
                  <w14:solidFill>
                    <w14:schemeClr w14:val="tx1"/>
                  </w14:solidFill>
                </w14:textFill>
              </w:rPr>
              <w:t>5.76</w:t>
            </w:r>
            <w:r>
              <w:rPr>
                <w:rFonts w:cs="Times New Roman"/>
                <w:color w:val="000000" w:themeColor="text1"/>
                <w:lang w:val="en-US"/>
                <w14:textFill>
                  <w14:solidFill>
                    <w14:schemeClr w14:val="tx1"/>
                  </w14:solidFill>
                </w14:textFill>
              </w:rPr>
              <w:t>亩的灌溉需要，考虑灌溉季节分配不均及干旱年份的出现频率等因素，可按</w:t>
            </w:r>
            <w:r>
              <w:rPr>
                <w:rFonts w:hint="eastAsia" w:cs="Times New Roman"/>
                <w:color w:val="000000" w:themeColor="text1"/>
                <w:lang w:val="en-US"/>
                <w14:textFill>
                  <w14:solidFill>
                    <w14:schemeClr w14:val="tx1"/>
                  </w14:solidFill>
                </w14:textFill>
              </w:rPr>
              <w:t>6</w:t>
            </w:r>
            <w:r>
              <w:rPr>
                <w:rFonts w:cs="Times New Roman"/>
                <w:color w:val="000000" w:themeColor="text1"/>
                <w:lang w:val="en-US"/>
                <w14:textFill>
                  <w14:solidFill>
                    <w14:schemeClr w14:val="tx1"/>
                  </w14:solidFill>
                </w14:textFill>
              </w:rPr>
              <w:t>亩计。项目区周围分布有大量林地，远大于</w:t>
            </w:r>
            <w:r>
              <w:rPr>
                <w:rFonts w:hint="eastAsia" w:cs="Times New Roman"/>
                <w:color w:val="000000" w:themeColor="text1"/>
                <w:lang w:val="en-US"/>
                <w14:textFill>
                  <w14:solidFill>
                    <w14:schemeClr w14:val="tx1"/>
                  </w14:solidFill>
                </w14:textFill>
              </w:rPr>
              <w:t>6</w:t>
            </w:r>
            <w:r>
              <w:rPr>
                <w:rFonts w:cs="Times New Roman"/>
                <w:color w:val="000000" w:themeColor="text1"/>
                <w:lang w:val="en-US"/>
                <w14:textFill>
                  <w14:solidFill>
                    <w14:schemeClr w14:val="tx1"/>
                  </w14:solidFill>
                </w14:textFill>
              </w:rPr>
              <w:t>亩</w:t>
            </w:r>
            <w:r>
              <w:rPr>
                <w:rFonts w:cs="Times New Roman"/>
                <w:color w:val="000000" w:themeColor="text1"/>
                <w14:textFill>
                  <w14:solidFill>
                    <w14:schemeClr w14:val="tx1"/>
                  </w14:solidFill>
                </w14:textFill>
              </w:rPr>
              <w:t>，故本项目周围的林地具备接纳本项目生活污水污染物的能力，能够实现资源化利用</w:t>
            </w:r>
            <w:r>
              <w:rPr>
                <w:rFonts w:hint="eastAsia" w:cs="Times New Roman"/>
                <w:color w:val="000000" w:themeColor="text1"/>
                <w14:textFill>
                  <w14:solidFill>
                    <w14:schemeClr w14:val="tx1"/>
                  </w14:solidFill>
                </w14:textFill>
              </w:rPr>
              <w:t>。</w:t>
            </w:r>
          </w:p>
          <w:p w14:paraId="0D3ACEDB">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3、水污染物排放信息</w:t>
            </w:r>
          </w:p>
          <w:p w14:paraId="48241C75">
            <w:pPr>
              <w:pStyle w:val="206"/>
              <w:spacing w:line="360" w:lineRule="auto"/>
              <w:ind w:firstLine="480"/>
              <w:rPr>
                <w:rFonts w:eastAsiaTheme="minorEastAsia"/>
                <w:color w:val="000000" w:themeColor="text1"/>
                <w:szCs w:val="21"/>
                <w14:textFill>
                  <w14:solidFill>
                    <w14:schemeClr w14:val="tx1"/>
                  </w14:solidFill>
                </w14:textFill>
              </w:rPr>
            </w:pPr>
            <w:r>
              <w:rPr>
                <w:rFonts w:cs="Times New Roman"/>
                <w:color w:val="000000" w:themeColor="text1"/>
                <w14:textFill>
                  <w14:solidFill>
                    <w14:schemeClr w14:val="tx1"/>
                  </w14:solidFill>
                </w14:textFill>
              </w:rPr>
              <w:t>本项目</w:t>
            </w:r>
            <w:r>
              <w:rPr>
                <w:rFonts w:hint="eastAsia"/>
                <w:color w:val="000000" w:themeColor="text1"/>
                <w:szCs w:val="21"/>
                <w14:textFill>
                  <w14:solidFill>
                    <w14:schemeClr w14:val="tx1"/>
                  </w14:solidFill>
                </w14:textFill>
              </w:rPr>
              <w:t>水帘</w:t>
            </w:r>
            <w:r>
              <w:rPr>
                <w:color w:val="000000" w:themeColor="text1"/>
                <w:szCs w:val="21"/>
                <w14:textFill>
                  <w14:solidFill>
                    <w14:schemeClr w14:val="tx1"/>
                  </w14:solidFill>
                </w14:textFill>
              </w:rPr>
              <w:t>废水</w:t>
            </w:r>
            <w:r>
              <w:rPr>
                <w:rFonts w:hint="eastAsia"/>
                <w:color w:val="000000" w:themeColor="text1"/>
                <w:szCs w:val="21"/>
                <w14:textFill>
                  <w14:solidFill>
                    <w14:schemeClr w14:val="tx1"/>
                  </w14:solidFill>
                </w14:textFill>
              </w:rPr>
              <w:t>作为危废处置</w:t>
            </w:r>
            <w:r>
              <w:rPr>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经化粪池处理后，定期清掏</w:t>
            </w:r>
            <w:r>
              <w:rPr>
                <w:rFonts w:hint="eastAsia" w:eastAsiaTheme="minorEastAsia"/>
                <w:color w:val="000000" w:themeColor="text1"/>
                <w:szCs w:val="21"/>
                <w14:textFill>
                  <w14:solidFill>
                    <w14:schemeClr w14:val="tx1"/>
                  </w14:solidFill>
                </w14:textFill>
              </w:rPr>
              <w:t>用于周边林地灌溉</w:t>
            </w:r>
            <w:r>
              <w:rPr>
                <w:rFonts w:eastAsiaTheme="minorEastAsia"/>
                <w:color w:val="000000" w:themeColor="text1"/>
                <w:szCs w:val="21"/>
                <w14:textFill>
                  <w14:solidFill>
                    <w14:schemeClr w14:val="tx1"/>
                  </w14:solidFill>
                </w14:textFill>
              </w:rPr>
              <w:t>，不外排。</w:t>
            </w:r>
          </w:p>
          <w:p w14:paraId="1A418594">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4、监测计划</w:t>
            </w:r>
          </w:p>
          <w:p w14:paraId="20A200B0">
            <w:pPr>
              <w:pStyle w:val="159"/>
              <w:rPr>
                <w:rFonts w:eastAsiaTheme="minorEastAsia"/>
                <w:szCs w:val="21"/>
              </w:rPr>
            </w:pPr>
            <w:r>
              <w:rPr>
                <w:szCs w:val="21"/>
              </w:rPr>
              <w:t>本项目</w:t>
            </w:r>
            <w:r>
              <w:rPr>
                <w:rFonts w:hint="eastAsia"/>
                <w:szCs w:val="21"/>
              </w:rPr>
              <w:t>水帘</w:t>
            </w:r>
            <w:r>
              <w:rPr>
                <w:szCs w:val="21"/>
              </w:rPr>
              <w:t>废水</w:t>
            </w:r>
            <w:r>
              <w:rPr>
                <w:rFonts w:hint="eastAsia"/>
                <w:szCs w:val="21"/>
              </w:rPr>
              <w:t>作为危废处置</w:t>
            </w:r>
            <w:r>
              <w:rPr>
                <w:szCs w:val="21"/>
              </w:rPr>
              <w:t>，生活污水</w:t>
            </w:r>
            <w:r>
              <w:rPr>
                <w:rFonts w:eastAsiaTheme="minorEastAsia"/>
                <w:szCs w:val="21"/>
              </w:rPr>
              <w:t>经化粪池处理后，定期清掏</w:t>
            </w:r>
            <w:r>
              <w:rPr>
                <w:rFonts w:hint="eastAsia" w:eastAsiaTheme="minorEastAsia"/>
                <w:szCs w:val="21"/>
              </w:rPr>
              <w:t>用于周边林地灌溉</w:t>
            </w:r>
            <w:r>
              <w:rPr>
                <w:rFonts w:eastAsiaTheme="minorEastAsia"/>
                <w:szCs w:val="21"/>
              </w:rPr>
              <w:t>，不外排</w:t>
            </w:r>
            <w:r>
              <w:rPr>
                <w:rFonts w:hint="eastAsia" w:eastAsiaTheme="minorEastAsia"/>
                <w:szCs w:val="21"/>
              </w:rPr>
              <w:t>。</w:t>
            </w:r>
          </w:p>
          <w:p w14:paraId="5D84F247">
            <w:pPr>
              <w:pStyle w:val="159"/>
              <w:ind w:firstLine="482"/>
              <w:rPr>
                <w:b/>
              </w:rPr>
            </w:pPr>
            <w:r>
              <w:rPr>
                <w:b/>
              </w:rPr>
              <w:t>5、结论</w:t>
            </w:r>
          </w:p>
          <w:p w14:paraId="504F78B7">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综上，本项目废水得到合理处理、利用，项目地表水环境影响可接受，对区域地表水无影响。建设单位应在日常生产过程中加强对废水治理设施的维护和管理，确保废水治理设施正常运行，避免废水事故排放情况发生。</w:t>
            </w:r>
          </w:p>
          <w:p w14:paraId="13D6E60A">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三、声环境影响分析</w:t>
            </w:r>
          </w:p>
          <w:p w14:paraId="3643D424">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1、噪声污染源情况</w:t>
            </w:r>
          </w:p>
          <w:p w14:paraId="632E3FFE">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本项目运营期噪声主要来自机械设备产生的噪声，其噪声源强</w:t>
            </w:r>
            <w:r>
              <w:rPr>
                <w:rFonts w:hint="eastAsia" w:cs="Times New Roman"/>
                <w:color w:val="000000" w:themeColor="text1"/>
                <w14:textFill>
                  <w14:solidFill>
                    <w14:schemeClr w14:val="tx1"/>
                  </w14:solidFill>
                </w14:textFill>
              </w:rPr>
              <w:t>约70~</w:t>
            </w:r>
            <w:r>
              <w:rPr>
                <w:rFonts w:cs="Times New Roman"/>
                <w:color w:val="000000" w:themeColor="text1"/>
                <w14:textFill>
                  <w14:solidFill>
                    <w14:schemeClr w14:val="tx1"/>
                  </w14:solidFill>
                </w14:textFill>
              </w:rPr>
              <w:t>85dB(A)。本项目主要噪声源强调查清单见下表所示：</w:t>
            </w:r>
          </w:p>
          <w:p w14:paraId="0059E817">
            <w:pPr>
              <w:pStyle w:val="180"/>
              <w:spacing w:line="240" w:lineRule="auto"/>
              <w:rPr>
                <w:bCs/>
                <w:color w:val="000000" w:themeColor="text1"/>
                <w14:textFill>
                  <w14:solidFill>
                    <w14:schemeClr w14:val="tx1"/>
                  </w14:solidFill>
                </w14:textFill>
              </w:rPr>
            </w:pPr>
            <w:r>
              <w:rPr>
                <w:bCs/>
                <w:color w:val="000000" w:themeColor="text1"/>
                <w14:textFill>
                  <w14:solidFill>
                    <w14:schemeClr w14:val="tx1"/>
                  </w14:solidFill>
                </w14:textFill>
              </w:rPr>
              <w:t>表4-1</w:t>
            </w: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 xml:space="preserve">  项目厂区主要噪声源强调查清单（室外声源）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
              <w:gridCol w:w="924"/>
              <w:gridCol w:w="478"/>
              <w:gridCol w:w="600"/>
              <w:gridCol w:w="602"/>
              <w:gridCol w:w="725"/>
              <w:gridCol w:w="503"/>
              <w:gridCol w:w="1180"/>
              <w:gridCol w:w="1832"/>
              <w:gridCol w:w="1660"/>
              <w:gridCol w:w="715"/>
            </w:tblGrid>
            <w:tr w14:paraId="7E3E1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restart"/>
                  <w:vAlign w:val="center"/>
                </w:tcPr>
                <w:p w14:paraId="142974A7">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序号</w:t>
                  </w:r>
                </w:p>
              </w:tc>
              <w:tc>
                <w:tcPr>
                  <w:tcW w:w="480" w:type="pct"/>
                  <w:vMerge w:val="restart"/>
                  <w:vAlign w:val="center"/>
                </w:tcPr>
                <w:p w14:paraId="156CEA49">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声源名称</w:t>
                  </w:r>
                </w:p>
              </w:tc>
              <w:tc>
                <w:tcPr>
                  <w:tcW w:w="249" w:type="pct"/>
                  <w:vMerge w:val="restart"/>
                  <w:vAlign w:val="center"/>
                </w:tcPr>
                <w:p w14:paraId="0E64BC89">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型号</w:t>
                  </w:r>
                </w:p>
              </w:tc>
              <w:tc>
                <w:tcPr>
                  <w:tcW w:w="312" w:type="pct"/>
                  <w:vMerge w:val="restart"/>
                  <w:vAlign w:val="center"/>
                </w:tcPr>
                <w:p w14:paraId="49A17A6A">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数量</w:t>
                  </w:r>
                </w:p>
              </w:tc>
              <w:tc>
                <w:tcPr>
                  <w:tcW w:w="940" w:type="pct"/>
                  <w:gridSpan w:val="3"/>
                  <w:vAlign w:val="center"/>
                </w:tcPr>
                <w:p w14:paraId="52E20BB4">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空间相对位置/m</w:t>
                  </w:r>
                </w:p>
              </w:tc>
              <w:tc>
                <w:tcPr>
                  <w:tcW w:w="613" w:type="pct"/>
                  <w:vAlign w:val="center"/>
                </w:tcPr>
                <w:p w14:paraId="44E7EA95">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声源源强</w:t>
                  </w:r>
                </w:p>
              </w:tc>
              <w:tc>
                <w:tcPr>
                  <w:tcW w:w="951" w:type="pct"/>
                  <w:vMerge w:val="restart"/>
                  <w:vAlign w:val="center"/>
                </w:tcPr>
                <w:p w14:paraId="101F2914">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声源控制措施</w:t>
                  </w:r>
                </w:p>
              </w:tc>
              <w:tc>
                <w:tcPr>
                  <w:tcW w:w="862" w:type="pct"/>
                  <w:vAlign w:val="center"/>
                </w:tcPr>
                <w:p w14:paraId="16779AAB">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降噪后声源源强</w:t>
                  </w:r>
                </w:p>
              </w:tc>
              <w:tc>
                <w:tcPr>
                  <w:tcW w:w="373" w:type="pct"/>
                  <w:vMerge w:val="restart"/>
                  <w:vAlign w:val="center"/>
                </w:tcPr>
                <w:p w14:paraId="057540A8">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运行时段</w:t>
                  </w:r>
                </w:p>
              </w:tc>
            </w:tr>
            <w:tr w14:paraId="21EF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continue"/>
                  <w:vAlign w:val="center"/>
                </w:tcPr>
                <w:p w14:paraId="2F49DA38">
                  <w:pPr>
                    <w:widowControl/>
                    <w:jc w:val="center"/>
                    <w:rPr>
                      <w:b/>
                      <w:bCs/>
                      <w:color w:val="000000" w:themeColor="text1"/>
                      <w:kern w:val="0"/>
                      <w:sz w:val="18"/>
                      <w:szCs w:val="18"/>
                      <w14:textFill>
                        <w14:solidFill>
                          <w14:schemeClr w14:val="tx1"/>
                        </w14:solidFill>
                      </w14:textFill>
                    </w:rPr>
                  </w:pPr>
                </w:p>
              </w:tc>
              <w:tc>
                <w:tcPr>
                  <w:tcW w:w="480" w:type="pct"/>
                  <w:vMerge w:val="continue"/>
                  <w:vAlign w:val="center"/>
                </w:tcPr>
                <w:p w14:paraId="3F457248">
                  <w:pPr>
                    <w:jc w:val="center"/>
                    <w:rPr>
                      <w:b/>
                      <w:bCs/>
                      <w:color w:val="000000" w:themeColor="text1"/>
                      <w:sz w:val="18"/>
                      <w:szCs w:val="18"/>
                      <w14:textFill>
                        <w14:solidFill>
                          <w14:schemeClr w14:val="tx1"/>
                        </w14:solidFill>
                      </w14:textFill>
                    </w:rPr>
                  </w:pPr>
                </w:p>
              </w:tc>
              <w:tc>
                <w:tcPr>
                  <w:tcW w:w="249" w:type="pct"/>
                  <w:vMerge w:val="continue"/>
                  <w:vAlign w:val="center"/>
                </w:tcPr>
                <w:p w14:paraId="663E091F">
                  <w:pPr>
                    <w:widowControl/>
                    <w:jc w:val="center"/>
                    <w:rPr>
                      <w:b/>
                      <w:bCs/>
                      <w:color w:val="000000" w:themeColor="text1"/>
                      <w:kern w:val="0"/>
                      <w:sz w:val="18"/>
                      <w:szCs w:val="18"/>
                      <w14:textFill>
                        <w14:solidFill>
                          <w14:schemeClr w14:val="tx1"/>
                        </w14:solidFill>
                      </w14:textFill>
                    </w:rPr>
                  </w:pPr>
                </w:p>
              </w:tc>
              <w:tc>
                <w:tcPr>
                  <w:tcW w:w="312" w:type="pct"/>
                  <w:vMerge w:val="continue"/>
                  <w:vAlign w:val="center"/>
                </w:tcPr>
                <w:p w14:paraId="74F0E9B6">
                  <w:pPr>
                    <w:widowControl/>
                    <w:jc w:val="center"/>
                    <w:rPr>
                      <w:b/>
                      <w:bCs/>
                      <w:color w:val="000000" w:themeColor="text1"/>
                      <w:kern w:val="0"/>
                      <w:sz w:val="18"/>
                      <w:szCs w:val="18"/>
                      <w14:textFill>
                        <w14:solidFill>
                          <w14:schemeClr w14:val="tx1"/>
                        </w14:solidFill>
                      </w14:textFill>
                    </w:rPr>
                  </w:pPr>
                </w:p>
              </w:tc>
              <w:tc>
                <w:tcPr>
                  <w:tcW w:w="313" w:type="pct"/>
                  <w:vAlign w:val="center"/>
                </w:tcPr>
                <w:p w14:paraId="5942EA32">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X</w:t>
                  </w:r>
                </w:p>
              </w:tc>
              <w:tc>
                <w:tcPr>
                  <w:tcW w:w="377" w:type="pct"/>
                  <w:vAlign w:val="center"/>
                </w:tcPr>
                <w:p w14:paraId="771F5C66">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Y</w:t>
                  </w:r>
                </w:p>
              </w:tc>
              <w:tc>
                <w:tcPr>
                  <w:tcW w:w="250" w:type="pct"/>
                  <w:vAlign w:val="center"/>
                </w:tcPr>
                <w:p w14:paraId="0928A5E6">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Z</w:t>
                  </w:r>
                </w:p>
              </w:tc>
              <w:tc>
                <w:tcPr>
                  <w:tcW w:w="613" w:type="pct"/>
                  <w:vAlign w:val="center"/>
                </w:tcPr>
                <w:p w14:paraId="7771314F">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声功率级/dB（A）</w:t>
                  </w:r>
                </w:p>
              </w:tc>
              <w:tc>
                <w:tcPr>
                  <w:tcW w:w="951" w:type="pct"/>
                  <w:vMerge w:val="continue"/>
                  <w:vAlign w:val="center"/>
                </w:tcPr>
                <w:p w14:paraId="4C7D8BD9">
                  <w:pPr>
                    <w:widowControl/>
                    <w:jc w:val="center"/>
                    <w:rPr>
                      <w:b/>
                      <w:bCs/>
                      <w:color w:val="000000" w:themeColor="text1"/>
                      <w:kern w:val="0"/>
                      <w:sz w:val="18"/>
                      <w:szCs w:val="18"/>
                      <w14:textFill>
                        <w14:solidFill>
                          <w14:schemeClr w14:val="tx1"/>
                        </w14:solidFill>
                      </w14:textFill>
                    </w:rPr>
                  </w:pPr>
                </w:p>
              </w:tc>
              <w:tc>
                <w:tcPr>
                  <w:tcW w:w="862" w:type="pct"/>
                  <w:vAlign w:val="center"/>
                </w:tcPr>
                <w:p w14:paraId="076AF042">
                  <w:pPr>
                    <w:widowControl/>
                    <w:jc w:val="center"/>
                    <w:rPr>
                      <w:b/>
                      <w:bCs/>
                      <w:color w:val="000000" w:themeColor="text1"/>
                      <w:kern w:val="0"/>
                      <w:sz w:val="18"/>
                      <w:szCs w:val="18"/>
                      <w14:textFill>
                        <w14:solidFill>
                          <w14:schemeClr w14:val="tx1"/>
                        </w14:solidFill>
                      </w14:textFill>
                    </w:rPr>
                  </w:pPr>
                  <w:r>
                    <w:rPr>
                      <w:b/>
                      <w:bCs/>
                      <w:color w:val="000000" w:themeColor="text1"/>
                      <w:kern w:val="0"/>
                      <w:sz w:val="18"/>
                      <w:szCs w:val="18"/>
                      <w14:textFill>
                        <w14:solidFill>
                          <w14:schemeClr w14:val="tx1"/>
                        </w14:solidFill>
                      </w14:textFill>
                    </w:rPr>
                    <w:t>声功率级/dB（A）</w:t>
                  </w:r>
                </w:p>
              </w:tc>
              <w:tc>
                <w:tcPr>
                  <w:tcW w:w="373" w:type="pct"/>
                  <w:vMerge w:val="continue"/>
                  <w:vAlign w:val="center"/>
                </w:tcPr>
                <w:p w14:paraId="2C8FC116">
                  <w:pPr>
                    <w:widowControl/>
                    <w:jc w:val="center"/>
                    <w:rPr>
                      <w:b/>
                      <w:bCs/>
                      <w:color w:val="000000" w:themeColor="text1"/>
                      <w:kern w:val="0"/>
                      <w:sz w:val="18"/>
                      <w:szCs w:val="18"/>
                      <w14:textFill>
                        <w14:solidFill>
                          <w14:schemeClr w14:val="tx1"/>
                        </w14:solidFill>
                      </w14:textFill>
                    </w:rPr>
                  </w:pPr>
                </w:p>
              </w:tc>
            </w:tr>
            <w:tr w14:paraId="4F6B1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21" w:type="pct"/>
                  <w:vAlign w:val="center"/>
                </w:tcPr>
                <w:p w14:paraId="6F23A23E">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1</w:t>
                  </w:r>
                </w:p>
              </w:tc>
              <w:tc>
                <w:tcPr>
                  <w:tcW w:w="480" w:type="pct"/>
                  <w:vAlign w:val="center"/>
                </w:tcPr>
                <w:p w14:paraId="45141FA1">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风机</w:t>
                  </w:r>
                </w:p>
              </w:tc>
              <w:tc>
                <w:tcPr>
                  <w:tcW w:w="249" w:type="pct"/>
                  <w:vAlign w:val="center"/>
                </w:tcPr>
                <w:p w14:paraId="300E4E1D">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312" w:type="pct"/>
                  <w:vAlign w:val="center"/>
                </w:tcPr>
                <w:p w14:paraId="2FD77438">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1台</w:t>
                  </w:r>
                </w:p>
              </w:tc>
              <w:tc>
                <w:tcPr>
                  <w:tcW w:w="313" w:type="pct"/>
                  <w:vAlign w:val="center"/>
                </w:tcPr>
                <w:p w14:paraId="77925F55">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1.8</w:t>
                  </w:r>
                </w:p>
              </w:tc>
              <w:tc>
                <w:tcPr>
                  <w:tcW w:w="377" w:type="pct"/>
                  <w:vAlign w:val="center"/>
                </w:tcPr>
                <w:p w14:paraId="45603BA9">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-21.7</w:t>
                  </w:r>
                </w:p>
              </w:tc>
              <w:tc>
                <w:tcPr>
                  <w:tcW w:w="250" w:type="pct"/>
                  <w:vAlign w:val="center"/>
                </w:tcPr>
                <w:p w14:paraId="17DD9EEF">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w:t>
                  </w:r>
                </w:p>
              </w:tc>
              <w:tc>
                <w:tcPr>
                  <w:tcW w:w="613" w:type="pct"/>
                  <w:vAlign w:val="center"/>
                </w:tcPr>
                <w:p w14:paraId="2C26F6D1">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80</w:t>
                  </w:r>
                </w:p>
              </w:tc>
              <w:tc>
                <w:tcPr>
                  <w:tcW w:w="951" w:type="pct"/>
                  <w:vMerge w:val="restart"/>
                  <w:vAlign w:val="center"/>
                </w:tcPr>
                <w:p w14:paraId="6DD7680B">
                  <w:pPr>
                    <w:widowControl/>
                    <w:jc w:val="center"/>
                    <w:rPr>
                      <w:color w:val="000000" w:themeColor="text1"/>
                      <w:kern w:val="0"/>
                      <w:sz w:val="18"/>
                      <w:szCs w:val="18"/>
                      <w14:textFill>
                        <w14:solidFill>
                          <w14:schemeClr w14:val="tx1"/>
                        </w14:solidFill>
                      </w14:textFill>
                    </w:rPr>
                  </w:pPr>
                  <w:r>
                    <w:rPr>
                      <w:snapToGrid w:val="0"/>
                      <w:color w:val="000000" w:themeColor="text1"/>
                      <w:sz w:val="18"/>
                      <w:szCs w:val="18"/>
                      <w14:textFill>
                        <w14:solidFill>
                          <w14:schemeClr w14:val="tx1"/>
                        </w14:solidFill>
                      </w14:textFill>
                    </w:rPr>
                    <w:t>加强机械维修管理、减少非正常噪声排放，设备基础减振、隔声罩</w:t>
                  </w:r>
                </w:p>
              </w:tc>
              <w:tc>
                <w:tcPr>
                  <w:tcW w:w="862" w:type="pct"/>
                  <w:vAlign w:val="center"/>
                </w:tcPr>
                <w:p w14:paraId="7BBF7011">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65</w:t>
                  </w:r>
                </w:p>
              </w:tc>
              <w:tc>
                <w:tcPr>
                  <w:tcW w:w="373" w:type="pct"/>
                  <w:vAlign w:val="center"/>
                </w:tcPr>
                <w:p w14:paraId="7A3B48F6">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昼间</w:t>
                  </w:r>
                </w:p>
              </w:tc>
            </w:tr>
            <w:tr w14:paraId="32A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21" w:type="pct"/>
                  <w:vAlign w:val="center"/>
                </w:tcPr>
                <w:p w14:paraId="3C69AB48">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2</w:t>
                  </w:r>
                </w:p>
              </w:tc>
              <w:tc>
                <w:tcPr>
                  <w:tcW w:w="480" w:type="pct"/>
                  <w:vAlign w:val="center"/>
                </w:tcPr>
                <w:p w14:paraId="3CDCB668">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催化燃烧机</w:t>
                  </w:r>
                </w:p>
              </w:tc>
              <w:tc>
                <w:tcPr>
                  <w:tcW w:w="249" w:type="pct"/>
                  <w:vAlign w:val="center"/>
                </w:tcPr>
                <w:p w14:paraId="7A4E9808">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312" w:type="pct"/>
                  <w:vAlign w:val="center"/>
                </w:tcPr>
                <w:p w14:paraId="342B6C75">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1台</w:t>
                  </w:r>
                </w:p>
              </w:tc>
              <w:tc>
                <w:tcPr>
                  <w:tcW w:w="313" w:type="pct"/>
                  <w:vAlign w:val="center"/>
                </w:tcPr>
                <w:p w14:paraId="00ECA098">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2.4</w:t>
                  </w:r>
                </w:p>
              </w:tc>
              <w:tc>
                <w:tcPr>
                  <w:tcW w:w="377" w:type="pct"/>
                  <w:vAlign w:val="center"/>
                </w:tcPr>
                <w:p w14:paraId="10D9A3C4">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-21.1</w:t>
                  </w:r>
                </w:p>
              </w:tc>
              <w:tc>
                <w:tcPr>
                  <w:tcW w:w="250" w:type="pct"/>
                  <w:vAlign w:val="center"/>
                </w:tcPr>
                <w:p w14:paraId="086C40B1">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w:t>
                  </w:r>
                </w:p>
              </w:tc>
              <w:tc>
                <w:tcPr>
                  <w:tcW w:w="613" w:type="pct"/>
                  <w:vAlign w:val="center"/>
                </w:tcPr>
                <w:p w14:paraId="3BFA84E7">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75</w:t>
                  </w:r>
                </w:p>
              </w:tc>
              <w:tc>
                <w:tcPr>
                  <w:tcW w:w="951" w:type="pct"/>
                  <w:vMerge w:val="continue"/>
                  <w:vAlign w:val="center"/>
                </w:tcPr>
                <w:p w14:paraId="14C975C3">
                  <w:pPr>
                    <w:widowControl/>
                    <w:jc w:val="center"/>
                    <w:rPr>
                      <w:snapToGrid w:val="0"/>
                      <w:color w:val="000000" w:themeColor="text1"/>
                      <w:sz w:val="18"/>
                      <w:szCs w:val="18"/>
                      <w14:textFill>
                        <w14:solidFill>
                          <w14:schemeClr w14:val="tx1"/>
                        </w14:solidFill>
                      </w14:textFill>
                    </w:rPr>
                  </w:pPr>
                </w:p>
              </w:tc>
              <w:tc>
                <w:tcPr>
                  <w:tcW w:w="862" w:type="pct"/>
                  <w:vAlign w:val="center"/>
                </w:tcPr>
                <w:p w14:paraId="0FB781ED">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60</w:t>
                  </w:r>
                </w:p>
              </w:tc>
              <w:tc>
                <w:tcPr>
                  <w:tcW w:w="373" w:type="pct"/>
                  <w:vAlign w:val="center"/>
                </w:tcPr>
                <w:p w14:paraId="0E000A89">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昼间</w:t>
                  </w:r>
                </w:p>
              </w:tc>
            </w:tr>
          </w:tbl>
          <w:p w14:paraId="5981EF9C">
            <w:pPr>
              <w:pStyle w:val="3"/>
              <w:snapToGrid w:val="0"/>
              <w:spacing w:line="240" w:lineRule="auto"/>
              <w:rPr>
                <w:bCs/>
                <w:color w:val="000000" w:themeColor="text1"/>
                <w:sz w:val="21"/>
                <w:szCs w:val="21"/>
                <w:lang w:val="en-US"/>
                <w14:textFill>
                  <w14:solidFill>
                    <w14:schemeClr w14:val="tx1"/>
                  </w14:solidFill>
                </w14:textFill>
              </w:rPr>
            </w:pPr>
            <w:r>
              <w:rPr>
                <w:color w:val="000000" w:themeColor="text1"/>
                <w:sz w:val="21"/>
                <w:szCs w:val="21"/>
                <w14:textFill>
                  <w14:solidFill>
                    <w14:schemeClr w14:val="tx1"/>
                  </w14:solidFill>
                </w14:textFill>
              </w:rPr>
              <w:t>注：</w:t>
            </w:r>
            <w:r>
              <w:rPr>
                <w:bCs/>
                <w:color w:val="000000" w:themeColor="text1"/>
                <w:sz w:val="21"/>
                <w:szCs w:val="21"/>
                <w:lang w:val="en-US"/>
                <w14:textFill>
                  <w14:solidFill>
                    <w14:schemeClr w14:val="tx1"/>
                  </w14:solidFill>
                </w14:textFill>
              </w:rPr>
              <w:t>表中坐标以厂界中心（115.291404</w:t>
            </w:r>
            <w:r>
              <w:rPr>
                <w:rFonts w:hint="eastAsia"/>
                <w:bCs/>
                <w:color w:val="000000" w:themeColor="text1"/>
                <w:sz w:val="21"/>
                <w:szCs w:val="21"/>
                <w:lang w:val="en-US"/>
                <w14:textFill>
                  <w14:solidFill>
                    <w14:schemeClr w14:val="tx1"/>
                  </w14:solidFill>
                </w14:textFill>
              </w:rPr>
              <w:t>°</w:t>
            </w:r>
            <w:r>
              <w:rPr>
                <w:bCs/>
                <w:color w:val="000000" w:themeColor="text1"/>
                <w:sz w:val="21"/>
                <w:szCs w:val="21"/>
                <w:lang w:val="en-US"/>
                <w14:textFill>
                  <w14:solidFill>
                    <w14:schemeClr w14:val="tx1"/>
                  </w14:solidFill>
                </w14:textFill>
              </w:rPr>
              <w:t>,28.304208</w:t>
            </w:r>
            <w:r>
              <w:rPr>
                <w:rFonts w:hint="eastAsia"/>
                <w:bCs/>
                <w:color w:val="000000" w:themeColor="text1"/>
                <w:sz w:val="21"/>
                <w:szCs w:val="21"/>
                <w:lang w:val="en-US"/>
                <w14:textFill>
                  <w14:solidFill>
                    <w14:schemeClr w14:val="tx1"/>
                  </w14:solidFill>
                </w14:textFill>
              </w:rPr>
              <w:t>°</w:t>
            </w:r>
            <w:r>
              <w:rPr>
                <w:bCs/>
                <w:color w:val="000000" w:themeColor="text1"/>
                <w:sz w:val="21"/>
                <w:szCs w:val="21"/>
                <w:lang w:val="en-US"/>
                <w14:textFill>
                  <w14:solidFill>
                    <w14:schemeClr w14:val="tx1"/>
                  </w14:solidFill>
                </w14:textFill>
              </w:rPr>
              <w:t>）为坐标原点，正东向为X轴正方向，正北向为Y轴正方向</w:t>
            </w:r>
          </w:p>
          <w:p w14:paraId="68D21D52">
            <w:pPr>
              <w:pStyle w:val="3"/>
              <w:rPr>
                <w:color w:val="000000" w:themeColor="text1"/>
                <w:lang w:val="en-US"/>
                <w14:textFill>
                  <w14:solidFill>
                    <w14:schemeClr w14:val="tx1"/>
                  </w14:solidFill>
                </w14:textFill>
              </w:rPr>
            </w:pPr>
          </w:p>
          <w:p w14:paraId="5FBBB0F9">
            <w:pPr>
              <w:pStyle w:val="3"/>
              <w:rPr>
                <w:color w:val="000000" w:themeColor="text1"/>
                <w:lang w:val="en-US"/>
                <w14:textFill>
                  <w14:solidFill>
                    <w14:schemeClr w14:val="tx1"/>
                  </w14:solidFill>
                </w14:textFill>
              </w:rPr>
            </w:pPr>
          </w:p>
          <w:p w14:paraId="384CC290">
            <w:pPr>
              <w:pStyle w:val="3"/>
              <w:rPr>
                <w:color w:val="000000" w:themeColor="text1"/>
                <w:lang w:val="en-US"/>
                <w14:textFill>
                  <w14:solidFill>
                    <w14:schemeClr w14:val="tx1"/>
                  </w14:solidFill>
                </w14:textFill>
              </w:rPr>
            </w:pPr>
          </w:p>
          <w:p w14:paraId="2D3F362F">
            <w:pPr>
              <w:pStyle w:val="3"/>
              <w:rPr>
                <w:color w:val="000000" w:themeColor="text1"/>
                <w:lang w:val="en-US"/>
                <w14:textFill>
                  <w14:solidFill>
                    <w14:schemeClr w14:val="tx1"/>
                  </w14:solidFill>
                </w14:textFill>
              </w:rPr>
            </w:pPr>
          </w:p>
          <w:p w14:paraId="5C041341">
            <w:pPr>
              <w:pStyle w:val="3"/>
              <w:rPr>
                <w:color w:val="000000" w:themeColor="text1"/>
                <w:lang w:val="en-US"/>
                <w14:textFill>
                  <w14:solidFill>
                    <w14:schemeClr w14:val="tx1"/>
                  </w14:solidFill>
                </w14:textFill>
              </w:rPr>
            </w:pPr>
          </w:p>
          <w:p w14:paraId="3CCE649B">
            <w:pPr>
              <w:pStyle w:val="3"/>
              <w:rPr>
                <w:color w:val="000000" w:themeColor="text1"/>
                <w:lang w:val="en-US"/>
                <w14:textFill>
                  <w14:solidFill>
                    <w14:schemeClr w14:val="tx1"/>
                  </w14:solidFill>
                </w14:textFill>
              </w:rPr>
            </w:pPr>
          </w:p>
          <w:p w14:paraId="0868B520">
            <w:pPr>
              <w:pStyle w:val="3"/>
              <w:rPr>
                <w:color w:val="000000" w:themeColor="text1"/>
                <w:lang w:val="en-US"/>
                <w14:textFill>
                  <w14:solidFill>
                    <w14:schemeClr w14:val="tx1"/>
                  </w14:solidFill>
                </w14:textFill>
              </w:rPr>
            </w:pPr>
          </w:p>
          <w:p w14:paraId="79B0130C">
            <w:pPr>
              <w:pStyle w:val="3"/>
              <w:rPr>
                <w:color w:val="000000" w:themeColor="text1"/>
                <w:lang w:val="en-US"/>
                <w14:textFill>
                  <w14:solidFill>
                    <w14:schemeClr w14:val="tx1"/>
                  </w14:solidFill>
                </w14:textFill>
              </w:rPr>
            </w:pPr>
          </w:p>
          <w:p w14:paraId="592A2062">
            <w:pPr>
              <w:pStyle w:val="3"/>
              <w:rPr>
                <w:color w:val="000000" w:themeColor="text1"/>
                <w:lang w:val="en-US"/>
                <w14:textFill>
                  <w14:solidFill>
                    <w14:schemeClr w14:val="tx1"/>
                  </w14:solidFill>
                </w14:textFill>
              </w:rPr>
            </w:pPr>
          </w:p>
          <w:p w14:paraId="09DC3B0C">
            <w:pPr>
              <w:pStyle w:val="3"/>
              <w:rPr>
                <w:color w:val="000000" w:themeColor="text1"/>
                <w:lang w:val="en-US"/>
                <w14:textFill>
                  <w14:solidFill>
                    <w14:schemeClr w14:val="tx1"/>
                  </w14:solidFill>
                </w14:textFill>
              </w:rPr>
            </w:pPr>
          </w:p>
          <w:p w14:paraId="73DDB5B8">
            <w:pPr>
              <w:pStyle w:val="3"/>
              <w:rPr>
                <w:color w:val="000000" w:themeColor="text1"/>
                <w:lang w:val="en-US"/>
                <w14:textFill>
                  <w14:solidFill>
                    <w14:schemeClr w14:val="tx1"/>
                  </w14:solidFill>
                </w14:textFill>
              </w:rPr>
            </w:pPr>
          </w:p>
          <w:p w14:paraId="2D868DD2">
            <w:pPr>
              <w:pStyle w:val="3"/>
              <w:rPr>
                <w:color w:val="000000" w:themeColor="text1"/>
                <w:lang w:val="en-US"/>
                <w14:textFill>
                  <w14:solidFill>
                    <w14:schemeClr w14:val="tx1"/>
                  </w14:solidFill>
                </w14:textFill>
              </w:rPr>
            </w:pPr>
          </w:p>
          <w:p w14:paraId="5315C530">
            <w:pPr>
              <w:pStyle w:val="3"/>
              <w:rPr>
                <w:color w:val="000000" w:themeColor="text1"/>
                <w:lang w:val="en-US"/>
                <w14:textFill>
                  <w14:solidFill>
                    <w14:schemeClr w14:val="tx1"/>
                  </w14:solidFill>
                </w14:textFill>
              </w:rPr>
            </w:pPr>
          </w:p>
          <w:p w14:paraId="3864151B">
            <w:pPr>
              <w:pStyle w:val="3"/>
              <w:rPr>
                <w:color w:val="000000" w:themeColor="text1"/>
                <w:lang w:val="en-US"/>
                <w14:textFill>
                  <w14:solidFill>
                    <w14:schemeClr w14:val="tx1"/>
                  </w14:solidFill>
                </w14:textFill>
              </w:rPr>
            </w:pPr>
          </w:p>
          <w:p w14:paraId="482E3689">
            <w:pPr>
              <w:pStyle w:val="3"/>
              <w:rPr>
                <w:color w:val="000000" w:themeColor="text1"/>
                <w:lang w:val="en-US"/>
                <w14:textFill>
                  <w14:solidFill>
                    <w14:schemeClr w14:val="tx1"/>
                  </w14:solidFill>
                </w14:textFill>
              </w:rPr>
            </w:pPr>
          </w:p>
          <w:p w14:paraId="7FAB4B83">
            <w:pPr>
              <w:pStyle w:val="3"/>
              <w:rPr>
                <w:color w:val="000000" w:themeColor="text1"/>
                <w:lang w:val="en-US"/>
                <w14:textFill>
                  <w14:solidFill>
                    <w14:schemeClr w14:val="tx1"/>
                  </w14:solidFill>
                </w14:textFill>
              </w:rPr>
            </w:pPr>
          </w:p>
          <w:p w14:paraId="0A9F3823">
            <w:pPr>
              <w:pStyle w:val="3"/>
              <w:rPr>
                <w:color w:val="000000" w:themeColor="text1"/>
                <w:lang w:val="en-US"/>
                <w14:textFill>
                  <w14:solidFill>
                    <w14:schemeClr w14:val="tx1"/>
                  </w14:solidFill>
                </w14:textFill>
              </w:rPr>
            </w:pPr>
          </w:p>
          <w:p w14:paraId="3E8126A9">
            <w:pPr>
              <w:pStyle w:val="3"/>
              <w:rPr>
                <w:color w:val="000000" w:themeColor="text1"/>
                <w14:textFill>
                  <w14:solidFill>
                    <w14:schemeClr w14:val="tx1"/>
                  </w14:solidFill>
                </w14:textFill>
              </w:rPr>
            </w:pPr>
          </w:p>
        </w:tc>
      </w:tr>
    </w:tbl>
    <w:p w14:paraId="67B28E81">
      <w:pPr>
        <w:adjustRightInd w:val="0"/>
        <w:snapToGrid w:val="0"/>
        <w:spacing w:line="360" w:lineRule="auto"/>
        <w:rPr>
          <w:b/>
          <w:color w:val="000000" w:themeColor="text1"/>
          <w:kern w:val="0"/>
          <w:sz w:val="28"/>
          <w:szCs w:val="28"/>
          <w14:textFill>
            <w14:solidFill>
              <w14:schemeClr w14:val="tx1"/>
            </w14:solidFill>
          </w14:textFill>
        </w:rPr>
        <w:sectPr>
          <w:pgSz w:w="11907" w:h="16840"/>
          <w:pgMar w:top="1440" w:right="1080" w:bottom="1440" w:left="1080" w:header="851" w:footer="851" w:gutter="0"/>
          <w:cols w:space="720" w:num="1"/>
          <w:docGrid w:linePitch="312" w:charSpace="0"/>
        </w:sectPr>
      </w:pPr>
    </w:p>
    <w:p w14:paraId="4811D0B1">
      <w:pPr>
        <w:pStyle w:val="265"/>
        <w:spacing w:after="0"/>
        <w:ind w:firstLine="0" w:firstLineChars="0"/>
        <w:jc w:val="center"/>
        <w:rPr>
          <w:b/>
          <w:bCs/>
          <w:color w:val="000000" w:themeColor="text1"/>
          <w14:textFill>
            <w14:solidFill>
              <w14:schemeClr w14:val="tx1"/>
            </w14:solidFill>
          </w14:textFill>
        </w:rPr>
      </w:pPr>
      <w:r>
        <w:rPr>
          <w:b/>
          <w:color w:val="000000" w:themeColor="text1"/>
          <w14:textFill>
            <w14:solidFill>
              <w14:schemeClr w14:val="tx1"/>
            </w14:solidFill>
          </w14:textFill>
        </w:rPr>
        <w:t>表4-1</w:t>
      </w:r>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 xml:space="preserve">  项目主要噪声源强调查清单（室内声源）</w:t>
      </w:r>
    </w:p>
    <w:tbl>
      <w:tblPr>
        <w:tblStyle w:val="43"/>
        <w:tblW w:w="496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8"/>
        <w:gridCol w:w="494"/>
        <w:gridCol w:w="866"/>
        <w:gridCol w:w="841"/>
        <w:gridCol w:w="568"/>
        <w:gridCol w:w="993"/>
        <w:gridCol w:w="703"/>
        <w:gridCol w:w="706"/>
        <w:gridCol w:w="472"/>
        <w:gridCol w:w="475"/>
        <w:gridCol w:w="475"/>
        <w:gridCol w:w="424"/>
        <w:gridCol w:w="424"/>
        <w:gridCol w:w="424"/>
        <w:gridCol w:w="427"/>
        <w:gridCol w:w="388"/>
        <w:gridCol w:w="388"/>
        <w:gridCol w:w="388"/>
        <w:gridCol w:w="402"/>
        <w:gridCol w:w="324"/>
        <w:gridCol w:w="424"/>
        <w:gridCol w:w="424"/>
        <w:gridCol w:w="424"/>
        <w:gridCol w:w="427"/>
        <w:gridCol w:w="374"/>
        <w:gridCol w:w="374"/>
        <w:gridCol w:w="374"/>
        <w:gridCol w:w="374"/>
        <w:gridCol w:w="324"/>
      </w:tblGrid>
      <w:tr w14:paraId="6117EB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vMerge w:val="restart"/>
            <w:vAlign w:val="center"/>
          </w:tcPr>
          <w:p w14:paraId="6E7FEA5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序号</w:t>
            </w:r>
          </w:p>
        </w:tc>
        <w:tc>
          <w:tcPr>
            <w:tcW w:w="175" w:type="pct"/>
            <w:vMerge w:val="restart"/>
            <w:vAlign w:val="center"/>
          </w:tcPr>
          <w:p w14:paraId="3C4F10B5">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建筑物名称</w:t>
            </w:r>
          </w:p>
        </w:tc>
        <w:tc>
          <w:tcPr>
            <w:tcW w:w="308" w:type="pct"/>
            <w:vMerge w:val="restart"/>
            <w:vAlign w:val="center"/>
          </w:tcPr>
          <w:p w14:paraId="4040D3A2">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声源名称</w:t>
            </w:r>
          </w:p>
        </w:tc>
        <w:tc>
          <w:tcPr>
            <w:tcW w:w="299" w:type="pct"/>
            <w:vMerge w:val="restart"/>
            <w:vAlign w:val="center"/>
          </w:tcPr>
          <w:p w14:paraId="1203CC90">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型号（数量）</w:t>
            </w:r>
          </w:p>
        </w:tc>
        <w:tc>
          <w:tcPr>
            <w:tcW w:w="202" w:type="pct"/>
            <w:vAlign w:val="center"/>
          </w:tcPr>
          <w:p w14:paraId="36CB7A91">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声源源强</w:t>
            </w:r>
          </w:p>
        </w:tc>
        <w:tc>
          <w:tcPr>
            <w:tcW w:w="353" w:type="pct"/>
            <w:vMerge w:val="restart"/>
            <w:vAlign w:val="center"/>
          </w:tcPr>
          <w:p w14:paraId="3729E6B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声源控制措施</w:t>
            </w:r>
          </w:p>
        </w:tc>
        <w:tc>
          <w:tcPr>
            <w:tcW w:w="250" w:type="pct"/>
            <w:vAlign w:val="center"/>
          </w:tcPr>
          <w:p w14:paraId="5D85C73C">
            <w:pPr>
              <w:adjustRightInd w:val="0"/>
              <w:snapToGrid w:val="0"/>
              <w:jc w:val="center"/>
              <w:rPr>
                <w:b/>
                <w:color w:val="000000" w:themeColor="text1"/>
                <w:sz w:val="18"/>
                <w:szCs w:val="18"/>
                <w14:textFill>
                  <w14:solidFill>
                    <w14:schemeClr w14:val="tx1"/>
                  </w14:solidFill>
                </w14:textFill>
              </w:rPr>
            </w:pPr>
            <w:r>
              <w:rPr>
                <w:b/>
                <w:color w:val="000000" w:themeColor="text1"/>
                <w:kern w:val="0"/>
                <w:sz w:val="18"/>
                <w:szCs w:val="18"/>
                <w14:textFill>
                  <w14:solidFill>
                    <w14:schemeClr w14:val="tx1"/>
                  </w14:solidFill>
                </w14:textFill>
              </w:rPr>
              <w:t>降噪后声源源强</w:t>
            </w:r>
          </w:p>
        </w:tc>
        <w:tc>
          <w:tcPr>
            <w:tcW w:w="251" w:type="pct"/>
            <w:vAlign w:val="center"/>
          </w:tcPr>
          <w:p w14:paraId="70393C2F">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声源源强</w:t>
            </w:r>
          </w:p>
        </w:tc>
        <w:tc>
          <w:tcPr>
            <w:tcW w:w="506" w:type="pct"/>
            <w:gridSpan w:val="3"/>
            <w:vAlign w:val="center"/>
          </w:tcPr>
          <w:p w14:paraId="5EC6CCC9">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空间相对位置/m</w:t>
            </w:r>
          </w:p>
        </w:tc>
        <w:tc>
          <w:tcPr>
            <w:tcW w:w="605" w:type="pct"/>
            <w:gridSpan w:val="4"/>
            <w:vAlign w:val="center"/>
          </w:tcPr>
          <w:p w14:paraId="0BAB22A6">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距室内边界距离/m</w:t>
            </w:r>
          </w:p>
        </w:tc>
        <w:tc>
          <w:tcPr>
            <w:tcW w:w="556" w:type="pct"/>
            <w:gridSpan w:val="4"/>
            <w:vAlign w:val="center"/>
          </w:tcPr>
          <w:p w14:paraId="3F5CF5CC">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室内边界声级/dB(A)</w:t>
            </w:r>
          </w:p>
        </w:tc>
        <w:tc>
          <w:tcPr>
            <w:tcW w:w="115" w:type="pct"/>
            <w:vMerge w:val="restart"/>
            <w:vAlign w:val="center"/>
          </w:tcPr>
          <w:p w14:paraId="6C4E757D">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运行时段</w:t>
            </w:r>
          </w:p>
        </w:tc>
        <w:tc>
          <w:tcPr>
            <w:tcW w:w="605" w:type="pct"/>
            <w:gridSpan w:val="4"/>
            <w:vAlign w:val="center"/>
          </w:tcPr>
          <w:p w14:paraId="18FE2935">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建筑物插入损失/dB(A)</w:t>
            </w:r>
          </w:p>
        </w:tc>
        <w:tc>
          <w:tcPr>
            <w:tcW w:w="648" w:type="pct"/>
            <w:gridSpan w:val="5"/>
            <w:vAlign w:val="center"/>
          </w:tcPr>
          <w:p w14:paraId="697FA633">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建筑物外噪声声压级/dB(A)</w:t>
            </w:r>
          </w:p>
        </w:tc>
      </w:tr>
      <w:tr w14:paraId="1D071A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vMerge w:val="continue"/>
            <w:vAlign w:val="center"/>
          </w:tcPr>
          <w:p w14:paraId="6DB0EE26">
            <w:pPr>
              <w:widowControl/>
              <w:adjustRightInd w:val="0"/>
              <w:snapToGrid w:val="0"/>
              <w:jc w:val="center"/>
              <w:rPr>
                <w:b/>
                <w:color w:val="000000" w:themeColor="text1"/>
                <w:sz w:val="18"/>
                <w:szCs w:val="18"/>
                <w14:textFill>
                  <w14:solidFill>
                    <w14:schemeClr w14:val="tx1"/>
                  </w14:solidFill>
                </w14:textFill>
              </w:rPr>
            </w:pPr>
          </w:p>
        </w:tc>
        <w:tc>
          <w:tcPr>
            <w:tcW w:w="175" w:type="pct"/>
            <w:vMerge w:val="continue"/>
            <w:vAlign w:val="center"/>
          </w:tcPr>
          <w:p w14:paraId="37AD114E">
            <w:pPr>
              <w:widowControl/>
              <w:adjustRightInd w:val="0"/>
              <w:snapToGrid w:val="0"/>
              <w:jc w:val="center"/>
              <w:rPr>
                <w:b/>
                <w:color w:val="000000" w:themeColor="text1"/>
                <w:sz w:val="18"/>
                <w:szCs w:val="18"/>
                <w14:textFill>
                  <w14:solidFill>
                    <w14:schemeClr w14:val="tx1"/>
                  </w14:solidFill>
                </w14:textFill>
              </w:rPr>
            </w:pPr>
          </w:p>
        </w:tc>
        <w:tc>
          <w:tcPr>
            <w:tcW w:w="308" w:type="pct"/>
            <w:vMerge w:val="continue"/>
            <w:vAlign w:val="center"/>
          </w:tcPr>
          <w:p w14:paraId="057DAD97">
            <w:pPr>
              <w:widowControl/>
              <w:adjustRightInd w:val="0"/>
              <w:snapToGrid w:val="0"/>
              <w:jc w:val="center"/>
              <w:rPr>
                <w:b/>
                <w:color w:val="000000" w:themeColor="text1"/>
                <w:sz w:val="18"/>
                <w:szCs w:val="18"/>
                <w14:textFill>
                  <w14:solidFill>
                    <w14:schemeClr w14:val="tx1"/>
                  </w14:solidFill>
                </w14:textFill>
              </w:rPr>
            </w:pPr>
          </w:p>
        </w:tc>
        <w:tc>
          <w:tcPr>
            <w:tcW w:w="299" w:type="pct"/>
            <w:vMerge w:val="continue"/>
            <w:vAlign w:val="center"/>
          </w:tcPr>
          <w:p w14:paraId="41791B93">
            <w:pPr>
              <w:widowControl/>
              <w:adjustRightInd w:val="0"/>
              <w:snapToGrid w:val="0"/>
              <w:jc w:val="center"/>
              <w:rPr>
                <w:b/>
                <w:color w:val="000000" w:themeColor="text1"/>
                <w:sz w:val="18"/>
                <w:szCs w:val="18"/>
                <w14:textFill>
                  <w14:solidFill>
                    <w14:schemeClr w14:val="tx1"/>
                  </w14:solidFill>
                </w14:textFill>
              </w:rPr>
            </w:pPr>
          </w:p>
        </w:tc>
        <w:tc>
          <w:tcPr>
            <w:tcW w:w="202" w:type="pct"/>
            <w:shd w:val="clear" w:color="auto" w:fill="FFFFFF"/>
            <w:tcMar>
              <w:top w:w="0" w:type="dxa"/>
              <w:left w:w="0" w:type="dxa"/>
              <w:bottom w:w="0" w:type="dxa"/>
              <w:right w:w="0" w:type="dxa"/>
            </w:tcMar>
            <w:vAlign w:val="center"/>
          </w:tcPr>
          <w:p w14:paraId="5E23A633">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声功率级/dB(A)</w:t>
            </w:r>
          </w:p>
        </w:tc>
        <w:tc>
          <w:tcPr>
            <w:tcW w:w="353" w:type="pct"/>
            <w:vMerge w:val="continue"/>
            <w:vAlign w:val="center"/>
          </w:tcPr>
          <w:p w14:paraId="18ABDD87">
            <w:pPr>
              <w:widowControl/>
              <w:adjustRightInd w:val="0"/>
              <w:snapToGrid w:val="0"/>
              <w:jc w:val="center"/>
              <w:rPr>
                <w:b/>
                <w:color w:val="000000" w:themeColor="text1"/>
                <w:sz w:val="18"/>
                <w:szCs w:val="18"/>
                <w14:textFill>
                  <w14:solidFill>
                    <w14:schemeClr w14:val="tx1"/>
                  </w14:solidFill>
                </w14:textFill>
              </w:rPr>
            </w:pPr>
          </w:p>
        </w:tc>
        <w:tc>
          <w:tcPr>
            <w:tcW w:w="250" w:type="pct"/>
            <w:shd w:val="clear" w:color="auto" w:fill="FFFFFF"/>
            <w:vAlign w:val="center"/>
          </w:tcPr>
          <w:p w14:paraId="145E4635">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kern w:val="0"/>
                <w:sz w:val="18"/>
                <w:szCs w:val="18"/>
                <w14:textFill>
                  <w14:solidFill>
                    <w14:schemeClr w14:val="tx1"/>
                  </w14:solidFill>
                </w14:textFill>
              </w:rPr>
              <w:t>单台声功率级/dB(A</w:t>
            </w:r>
            <w:r>
              <w:rPr>
                <w:b/>
                <w:color w:val="000000" w:themeColor="text1"/>
                <w:sz w:val="18"/>
                <w:szCs w:val="18"/>
                <w14:textFill>
                  <w14:solidFill>
                    <w14:schemeClr w14:val="tx1"/>
                  </w14:solidFill>
                </w14:textFill>
              </w:rPr>
              <w:t>)</w:t>
            </w:r>
          </w:p>
        </w:tc>
        <w:tc>
          <w:tcPr>
            <w:tcW w:w="251" w:type="pct"/>
            <w:shd w:val="clear" w:color="auto" w:fill="FFFFFF"/>
            <w:vAlign w:val="center"/>
          </w:tcPr>
          <w:p w14:paraId="7FB821A3">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声功率级/dB(A)</w:t>
            </w:r>
          </w:p>
        </w:tc>
        <w:tc>
          <w:tcPr>
            <w:tcW w:w="168" w:type="pct"/>
            <w:shd w:val="clear" w:color="auto" w:fill="FFFFFF"/>
            <w:tcMar>
              <w:top w:w="0" w:type="dxa"/>
              <w:left w:w="0" w:type="dxa"/>
              <w:bottom w:w="0" w:type="dxa"/>
              <w:right w:w="0" w:type="dxa"/>
            </w:tcMar>
            <w:vAlign w:val="center"/>
          </w:tcPr>
          <w:p w14:paraId="55EF67D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X</w:t>
            </w:r>
          </w:p>
        </w:tc>
        <w:tc>
          <w:tcPr>
            <w:tcW w:w="169" w:type="pct"/>
            <w:shd w:val="clear" w:color="auto" w:fill="FFFFFF"/>
            <w:tcMar>
              <w:top w:w="0" w:type="dxa"/>
              <w:left w:w="0" w:type="dxa"/>
              <w:bottom w:w="0" w:type="dxa"/>
              <w:right w:w="0" w:type="dxa"/>
            </w:tcMar>
            <w:vAlign w:val="center"/>
          </w:tcPr>
          <w:p w14:paraId="5C70A103">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Y</w:t>
            </w:r>
          </w:p>
        </w:tc>
        <w:tc>
          <w:tcPr>
            <w:tcW w:w="169" w:type="pct"/>
            <w:shd w:val="clear" w:color="auto" w:fill="FFFFFF"/>
            <w:tcMar>
              <w:top w:w="0" w:type="dxa"/>
              <w:left w:w="0" w:type="dxa"/>
              <w:bottom w:w="0" w:type="dxa"/>
              <w:right w:w="0" w:type="dxa"/>
            </w:tcMar>
            <w:vAlign w:val="center"/>
          </w:tcPr>
          <w:p w14:paraId="67DDE979">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Z</w:t>
            </w:r>
          </w:p>
        </w:tc>
        <w:tc>
          <w:tcPr>
            <w:tcW w:w="151" w:type="pct"/>
            <w:shd w:val="clear" w:color="auto" w:fill="FFFFFF"/>
            <w:tcMar>
              <w:top w:w="0" w:type="dxa"/>
              <w:left w:w="0" w:type="dxa"/>
              <w:bottom w:w="0" w:type="dxa"/>
              <w:right w:w="0" w:type="dxa"/>
            </w:tcMar>
            <w:vAlign w:val="center"/>
          </w:tcPr>
          <w:p w14:paraId="4752AAB0">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东</w:t>
            </w:r>
          </w:p>
        </w:tc>
        <w:tc>
          <w:tcPr>
            <w:tcW w:w="151" w:type="pct"/>
            <w:shd w:val="clear" w:color="auto" w:fill="FFFFFF"/>
            <w:tcMar>
              <w:top w:w="0" w:type="dxa"/>
              <w:left w:w="0" w:type="dxa"/>
              <w:bottom w:w="0" w:type="dxa"/>
              <w:right w:w="0" w:type="dxa"/>
            </w:tcMar>
            <w:vAlign w:val="center"/>
          </w:tcPr>
          <w:p w14:paraId="496AF2B6">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南</w:t>
            </w:r>
          </w:p>
        </w:tc>
        <w:tc>
          <w:tcPr>
            <w:tcW w:w="151" w:type="pct"/>
            <w:shd w:val="clear" w:color="auto" w:fill="FFFFFF"/>
            <w:tcMar>
              <w:top w:w="0" w:type="dxa"/>
              <w:left w:w="0" w:type="dxa"/>
              <w:bottom w:w="0" w:type="dxa"/>
              <w:right w:w="0" w:type="dxa"/>
            </w:tcMar>
            <w:vAlign w:val="center"/>
          </w:tcPr>
          <w:p w14:paraId="26EE029D">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西</w:t>
            </w:r>
          </w:p>
        </w:tc>
        <w:tc>
          <w:tcPr>
            <w:tcW w:w="152" w:type="pct"/>
            <w:shd w:val="clear" w:color="auto" w:fill="FFFFFF"/>
            <w:tcMar>
              <w:top w:w="0" w:type="dxa"/>
              <w:left w:w="0" w:type="dxa"/>
              <w:bottom w:w="0" w:type="dxa"/>
              <w:right w:w="0" w:type="dxa"/>
            </w:tcMar>
            <w:vAlign w:val="center"/>
          </w:tcPr>
          <w:p w14:paraId="13E71A5A">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北</w:t>
            </w:r>
          </w:p>
        </w:tc>
        <w:tc>
          <w:tcPr>
            <w:tcW w:w="138" w:type="pct"/>
            <w:shd w:val="clear" w:color="auto" w:fill="FFFFFF"/>
            <w:tcMar>
              <w:top w:w="0" w:type="dxa"/>
              <w:left w:w="0" w:type="dxa"/>
              <w:bottom w:w="0" w:type="dxa"/>
              <w:right w:w="0" w:type="dxa"/>
            </w:tcMar>
            <w:vAlign w:val="center"/>
          </w:tcPr>
          <w:p w14:paraId="23EAB5F4">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东</w:t>
            </w:r>
          </w:p>
        </w:tc>
        <w:tc>
          <w:tcPr>
            <w:tcW w:w="138" w:type="pct"/>
            <w:shd w:val="clear" w:color="auto" w:fill="FFFFFF"/>
            <w:tcMar>
              <w:top w:w="0" w:type="dxa"/>
              <w:left w:w="0" w:type="dxa"/>
              <w:bottom w:w="0" w:type="dxa"/>
              <w:right w:w="0" w:type="dxa"/>
            </w:tcMar>
            <w:vAlign w:val="center"/>
          </w:tcPr>
          <w:p w14:paraId="7E532183">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南</w:t>
            </w:r>
          </w:p>
        </w:tc>
        <w:tc>
          <w:tcPr>
            <w:tcW w:w="138" w:type="pct"/>
            <w:shd w:val="clear" w:color="auto" w:fill="FFFFFF"/>
            <w:tcMar>
              <w:top w:w="0" w:type="dxa"/>
              <w:left w:w="0" w:type="dxa"/>
              <w:bottom w:w="0" w:type="dxa"/>
              <w:right w:w="0" w:type="dxa"/>
            </w:tcMar>
            <w:vAlign w:val="center"/>
          </w:tcPr>
          <w:p w14:paraId="5639908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西</w:t>
            </w:r>
          </w:p>
        </w:tc>
        <w:tc>
          <w:tcPr>
            <w:tcW w:w="143" w:type="pct"/>
            <w:shd w:val="clear" w:color="auto" w:fill="FFFFFF"/>
            <w:tcMar>
              <w:top w:w="0" w:type="dxa"/>
              <w:left w:w="0" w:type="dxa"/>
              <w:bottom w:w="0" w:type="dxa"/>
              <w:right w:w="0" w:type="dxa"/>
            </w:tcMar>
            <w:vAlign w:val="center"/>
          </w:tcPr>
          <w:p w14:paraId="796B7C10">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北</w:t>
            </w:r>
          </w:p>
        </w:tc>
        <w:tc>
          <w:tcPr>
            <w:tcW w:w="115" w:type="pct"/>
            <w:vMerge w:val="continue"/>
            <w:vAlign w:val="center"/>
          </w:tcPr>
          <w:p w14:paraId="2B8361E8">
            <w:pPr>
              <w:widowControl/>
              <w:adjustRightInd w:val="0"/>
              <w:snapToGrid w:val="0"/>
              <w:jc w:val="center"/>
              <w:rPr>
                <w:b/>
                <w:color w:val="000000" w:themeColor="text1"/>
                <w:sz w:val="18"/>
                <w:szCs w:val="18"/>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6A4FD0E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东</w:t>
            </w:r>
          </w:p>
        </w:tc>
        <w:tc>
          <w:tcPr>
            <w:tcW w:w="151" w:type="pct"/>
            <w:shd w:val="clear" w:color="auto" w:fill="FFFFFF"/>
            <w:tcMar>
              <w:top w:w="0" w:type="dxa"/>
              <w:left w:w="0" w:type="dxa"/>
              <w:bottom w:w="0" w:type="dxa"/>
              <w:right w:w="0" w:type="dxa"/>
            </w:tcMar>
            <w:vAlign w:val="center"/>
          </w:tcPr>
          <w:p w14:paraId="130F1786">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南</w:t>
            </w:r>
          </w:p>
        </w:tc>
        <w:tc>
          <w:tcPr>
            <w:tcW w:w="151" w:type="pct"/>
            <w:shd w:val="clear" w:color="auto" w:fill="FFFFFF"/>
            <w:tcMar>
              <w:top w:w="0" w:type="dxa"/>
              <w:left w:w="0" w:type="dxa"/>
              <w:bottom w:w="0" w:type="dxa"/>
              <w:right w:w="0" w:type="dxa"/>
            </w:tcMar>
            <w:vAlign w:val="center"/>
          </w:tcPr>
          <w:p w14:paraId="45063A15">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西</w:t>
            </w:r>
          </w:p>
        </w:tc>
        <w:tc>
          <w:tcPr>
            <w:tcW w:w="152" w:type="pct"/>
            <w:shd w:val="clear" w:color="auto" w:fill="FFFFFF"/>
            <w:tcMar>
              <w:top w:w="0" w:type="dxa"/>
              <w:left w:w="0" w:type="dxa"/>
              <w:bottom w:w="0" w:type="dxa"/>
              <w:right w:w="0" w:type="dxa"/>
            </w:tcMar>
            <w:vAlign w:val="center"/>
          </w:tcPr>
          <w:p w14:paraId="1AEF1FA2">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北</w:t>
            </w:r>
          </w:p>
        </w:tc>
        <w:tc>
          <w:tcPr>
            <w:tcW w:w="133" w:type="pct"/>
            <w:shd w:val="clear" w:color="auto" w:fill="FFFFFF"/>
            <w:tcMar>
              <w:top w:w="0" w:type="dxa"/>
              <w:left w:w="0" w:type="dxa"/>
              <w:bottom w:w="0" w:type="dxa"/>
              <w:right w:w="0" w:type="dxa"/>
            </w:tcMar>
            <w:vAlign w:val="center"/>
          </w:tcPr>
          <w:p w14:paraId="629D41D2">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东</w:t>
            </w:r>
          </w:p>
        </w:tc>
        <w:tc>
          <w:tcPr>
            <w:tcW w:w="133" w:type="pct"/>
            <w:shd w:val="clear" w:color="auto" w:fill="FFFFFF"/>
            <w:tcMar>
              <w:top w:w="0" w:type="dxa"/>
              <w:left w:w="0" w:type="dxa"/>
              <w:bottom w:w="0" w:type="dxa"/>
              <w:right w:w="0" w:type="dxa"/>
            </w:tcMar>
            <w:vAlign w:val="center"/>
          </w:tcPr>
          <w:p w14:paraId="45F3096E">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南</w:t>
            </w:r>
          </w:p>
        </w:tc>
        <w:tc>
          <w:tcPr>
            <w:tcW w:w="133" w:type="pct"/>
            <w:shd w:val="clear" w:color="auto" w:fill="FFFFFF"/>
            <w:tcMar>
              <w:top w:w="0" w:type="dxa"/>
              <w:left w:w="0" w:type="dxa"/>
              <w:bottom w:w="0" w:type="dxa"/>
              <w:right w:w="0" w:type="dxa"/>
            </w:tcMar>
            <w:vAlign w:val="center"/>
          </w:tcPr>
          <w:p w14:paraId="17BD8945">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西</w:t>
            </w:r>
          </w:p>
        </w:tc>
        <w:tc>
          <w:tcPr>
            <w:tcW w:w="133" w:type="pct"/>
            <w:shd w:val="clear" w:color="auto" w:fill="FFFFFF"/>
            <w:tcMar>
              <w:top w:w="0" w:type="dxa"/>
              <w:left w:w="0" w:type="dxa"/>
              <w:bottom w:w="0" w:type="dxa"/>
              <w:right w:w="0" w:type="dxa"/>
            </w:tcMar>
            <w:vAlign w:val="center"/>
          </w:tcPr>
          <w:p w14:paraId="5D47DA68">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北</w:t>
            </w:r>
          </w:p>
        </w:tc>
        <w:tc>
          <w:tcPr>
            <w:tcW w:w="115" w:type="pct"/>
            <w:shd w:val="clear" w:color="auto" w:fill="FFFFFF"/>
            <w:tcMar>
              <w:top w:w="0" w:type="dxa"/>
              <w:left w:w="0" w:type="dxa"/>
              <w:bottom w:w="0" w:type="dxa"/>
              <w:right w:w="0" w:type="dxa"/>
            </w:tcMar>
            <w:vAlign w:val="center"/>
          </w:tcPr>
          <w:p w14:paraId="2892A66B">
            <w:pPr>
              <w:autoSpaceDE w:val="0"/>
              <w:autoSpaceDN w:val="0"/>
              <w:adjustRightInd w:val="0"/>
              <w:snapToGrid w:val="0"/>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建筑物外距离</w:t>
            </w:r>
          </w:p>
        </w:tc>
      </w:tr>
      <w:tr w14:paraId="0DC293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34834EB8">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p>
        </w:tc>
        <w:tc>
          <w:tcPr>
            <w:tcW w:w="175" w:type="pct"/>
            <w:vMerge w:val="restart"/>
            <w:shd w:val="clear" w:color="auto" w:fill="FFFFFF"/>
            <w:tcMar>
              <w:top w:w="0" w:type="dxa"/>
              <w:left w:w="0" w:type="dxa"/>
              <w:bottom w:w="0" w:type="dxa"/>
              <w:right w:w="0" w:type="dxa"/>
            </w:tcMar>
            <w:vAlign w:val="center"/>
          </w:tcPr>
          <w:p w14:paraId="2C6FA8AF">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生产车间</w:t>
            </w:r>
          </w:p>
        </w:tc>
        <w:tc>
          <w:tcPr>
            <w:tcW w:w="308" w:type="pct"/>
            <w:shd w:val="clear" w:color="auto" w:fill="FFFFFF"/>
            <w:tcMar>
              <w:top w:w="0" w:type="dxa"/>
              <w:left w:w="0" w:type="dxa"/>
              <w:bottom w:w="0" w:type="dxa"/>
              <w:right w:w="0" w:type="dxa"/>
            </w:tcMar>
            <w:vAlign w:val="center"/>
          </w:tcPr>
          <w:p w14:paraId="52A7121F">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滚圆机</w:t>
            </w:r>
          </w:p>
        </w:tc>
        <w:tc>
          <w:tcPr>
            <w:tcW w:w="299" w:type="pct"/>
            <w:shd w:val="clear" w:color="auto" w:fill="FFFFFF"/>
            <w:tcMar>
              <w:top w:w="0" w:type="dxa"/>
              <w:left w:w="0" w:type="dxa"/>
              <w:bottom w:w="0" w:type="dxa"/>
              <w:right w:w="0" w:type="dxa"/>
            </w:tcMar>
            <w:vAlign w:val="center"/>
          </w:tcPr>
          <w:p w14:paraId="6E6F1337">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6台</w:t>
            </w:r>
          </w:p>
        </w:tc>
        <w:tc>
          <w:tcPr>
            <w:tcW w:w="202" w:type="pct"/>
            <w:shd w:val="clear" w:color="auto" w:fill="FFFFFF"/>
            <w:tcMar>
              <w:top w:w="0" w:type="dxa"/>
              <w:left w:w="0" w:type="dxa"/>
              <w:bottom w:w="0" w:type="dxa"/>
              <w:right w:w="0" w:type="dxa"/>
            </w:tcMar>
            <w:vAlign w:val="center"/>
          </w:tcPr>
          <w:p w14:paraId="36410AA9">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85</w:t>
            </w:r>
          </w:p>
        </w:tc>
        <w:tc>
          <w:tcPr>
            <w:tcW w:w="353" w:type="pct"/>
            <w:shd w:val="clear" w:color="auto" w:fill="FFFFFF"/>
            <w:tcMar>
              <w:top w:w="0" w:type="dxa"/>
              <w:left w:w="0" w:type="dxa"/>
              <w:bottom w:w="0" w:type="dxa"/>
              <w:right w:w="0" w:type="dxa"/>
            </w:tcMar>
            <w:vAlign w:val="center"/>
          </w:tcPr>
          <w:p w14:paraId="7842BB99">
            <w:pPr>
              <w:adjustRightInd w:val="0"/>
              <w:snapToGrid w:val="0"/>
              <w:jc w:val="center"/>
              <w:rPr>
                <w:color w:val="000000" w:themeColor="text1"/>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3323E45A">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70</w:t>
            </w:r>
          </w:p>
        </w:tc>
        <w:tc>
          <w:tcPr>
            <w:tcW w:w="251" w:type="pct"/>
            <w:shd w:val="clear" w:color="auto" w:fill="FFFFFF"/>
            <w:vAlign w:val="center"/>
          </w:tcPr>
          <w:p w14:paraId="02FC2FA2">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77.78</w:t>
            </w:r>
          </w:p>
        </w:tc>
        <w:tc>
          <w:tcPr>
            <w:tcW w:w="168" w:type="pct"/>
            <w:shd w:val="clear" w:color="auto" w:fill="FFFFFF"/>
            <w:tcMar>
              <w:top w:w="0" w:type="dxa"/>
              <w:left w:w="0" w:type="dxa"/>
              <w:bottom w:w="0" w:type="dxa"/>
              <w:right w:w="0" w:type="dxa"/>
            </w:tcMar>
            <w:vAlign w:val="center"/>
          </w:tcPr>
          <w:p w14:paraId="1FBC12A6">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9</w:t>
            </w:r>
          </w:p>
        </w:tc>
        <w:tc>
          <w:tcPr>
            <w:tcW w:w="169" w:type="pct"/>
            <w:shd w:val="clear" w:color="auto" w:fill="FFFFFF"/>
            <w:tcMar>
              <w:top w:w="0" w:type="dxa"/>
              <w:left w:w="0" w:type="dxa"/>
              <w:bottom w:w="0" w:type="dxa"/>
              <w:right w:w="0" w:type="dxa"/>
            </w:tcMar>
            <w:vAlign w:val="center"/>
          </w:tcPr>
          <w:p w14:paraId="0D243803">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12.4</w:t>
            </w:r>
          </w:p>
        </w:tc>
        <w:tc>
          <w:tcPr>
            <w:tcW w:w="169" w:type="pct"/>
            <w:shd w:val="clear" w:color="auto" w:fill="FFFFFF"/>
            <w:tcMar>
              <w:top w:w="0" w:type="dxa"/>
              <w:left w:w="0" w:type="dxa"/>
              <w:bottom w:w="0" w:type="dxa"/>
              <w:right w:w="0" w:type="dxa"/>
            </w:tcMar>
            <w:vAlign w:val="center"/>
          </w:tcPr>
          <w:p w14:paraId="41857D11">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391BD4EF">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13.0</w:t>
            </w:r>
          </w:p>
        </w:tc>
        <w:tc>
          <w:tcPr>
            <w:tcW w:w="151" w:type="pct"/>
            <w:shd w:val="clear" w:color="auto" w:fill="FFFFFF"/>
            <w:tcMar>
              <w:top w:w="0" w:type="dxa"/>
              <w:left w:w="0" w:type="dxa"/>
              <w:bottom w:w="0" w:type="dxa"/>
              <w:right w:w="0" w:type="dxa"/>
            </w:tcMar>
            <w:vAlign w:val="center"/>
          </w:tcPr>
          <w:p w14:paraId="7BC4B3E8">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44.5</w:t>
            </w:r>
          </w:p>
        </w:tc>
        <w:tc>
          <w:tcPr>
            <w:tcW w:w="151" w:type="pct"/>
            <w:shd w:val="clear" w:color="auto" w:fill="FFFFFF"/>
            <w:tcMar>
              <w:top w:w="0" w:type="dxa"/>
              <w:left w:w="0" w:type="dxa"/>
              <w:bottom w:w="0" w:type="dxa"/>
              <w:right w:w="0" w:type="dxa"/>
            </w:tcMar>
            <w:vAlign w:val="center"/>
          </w:tcPr>
          <w:p w14:paraId="4436B860">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15.2</w:t>
            </w:r>
          </w:p>
        </w:tc>
        <w:tc>
          <w:tcPr>
            <w:tcW w:w="152" w:type="pct"/>
            <w:shd w:val="clear" w:color="auto" w:fill="FFFFFF"/>
            <w:tcMar>
              <w:top w:w="0" w:type="dxa"/>
              <w:left w:w="0" w:type="dxa"/>
              <w:bottom w:w="0" w:type="dxa"/>
              <w:right w:w="0" w:type="dxa"/>
            </w:tcMar>
            <w:vAlign w:val="center"/>
          </w:tcPr>
          <w:p w14:paraId="024C26B3">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14.2</w:t>
            </w:r>
          </w:p>
        </w:tc>
        <w:tc>
          <w:tcPr>
            <w:tcW w:w="138" w:type="pct"/>
            <w:shd w:val="clear" w:color="auto" w:fill="FFFFFF"/>
            <w:tcMar>
              <w:top w:w="0" w:type="dxa"/>
              <w:left w:w="0" w:type="dxa"/>
              <w:bottom w:w="0" w:type="dxa"/>
              <w:right w:w="0" w:type="dxa"/>
            </w:tcMar>
            <w:vAlign w:val="center"/>
          </w:tcPr>
          <w:p w14:paraId="3E75631D">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63.4</w:t>
            </w:r>
          </w:p>
        </w:tc>
        <w:tc>
          <w:tcPr>
            <w:tcW w:w="138" w:type="pct"/>
            <w:shd w:val="clear" w:color="auto" w:fill="FFFFFF"/>
            <w:tcMar>
              <w:top w:w="0" w:type="dxa"/>
              <w:left w:w="0" w:type="dxa"/>
              <w:bottom w:w="0" w:type="dxa"/>
              <w:right w:w="0" w:type="dxa"/>
            </w:tcMar>
            <w:vAlign w:val="center"/>
          </w:tcPr>
          <w:p w14:paraId="38683152">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63.4</w:t>
            </w:r>
          </w:p>
        </w:tc>
        <w:tc>
          <w:tcPr>
            <w:tcW w:w="138" w:type="pct"/>
            <w:shd w:val="clear" w:color="auto" w:fill="FFFFFF"/>
            <w:tcMar>
              <w:top w:w="0" w:type="dxa"/>
              <w:left w:w="0" w:type="dxa"/>
              <w:bottom w:w="0" w:type="dxa"/>
              <w:right w:w="0" w:type="dxa"/>
            </w:tcMar>
            <w:vAlign w:val="center"/>
          </w:tcPr>
          <w:p w14:paraId="1038E2D8">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63.4</w:t>
            </w:r>
          </w:p>
        </w:tc>
        <w:tc>
          <w:tcPr>
            <w:tcW w:w="143" w:type="pct"/>
            <w:shd w:val="clear" w:color="auto" w:fill="FFFFFF"/>
            <w:tcMar>
              <w:top w:w="0" w:type="dxa"/>
              <w:left w:w="0" w:type="dxa"/>
              <w:bottom w:w="0" w:type="dxa"/>
              <w:right w:w="0" w:type="dxa"/>
            </w:tcMar>
            <w:vAlign w:val="center"/>
          </w:tcPr>
          <w:p w14:paraId="716339F4">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63.4</w:t>
            </w:r>
          </w:p>
        </w:tc>
        <w:tc>
          <w:tcPr>
            <w:tcW w:w="115" w:type="pct"/>
            <w:vMerge w:val="restart"/>
            <w:shd w:val="clear" w:color="auto" w:fill="FFFFFF"/>
            <w:tcMar>
              <w:top w:w="0" w:type="dxa"/>
              <w:left w:w="0" w:type="dxa"/>
              <w:bottom w:w="0" w:type="dxa"/>
              <w:right w:w="0" w:type="dxa"/>
            </w:tcMar>
            <w:vAlign w:val="center"/>
          </w:tcPr>
          <w:p w14:paraId="06B33C68">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昼间</w:t>
            </w:r>
          </w:p>
        </w:tc>
        <w:tc>
          <w:tcPr>
            <w:tcW w:w="151" w:type="pct"/>
            <w:shd w:val="clear" w:color="auto" w:fill="FFFFFF"/>
            <w:tcMar>
              <w:top w:w="0" w:type="dxa"/>
              <w:left w:w="0" w:type="dxa"/>
              <w:bottom w:w="0" w:type="dxa"/>
              <w:right w:w="0" w:type="dxa"/>
            </w:tcMar>
            <w:vAlign w:val="center"/>
          </w:tcPr>
          <w:p w14:paraId="25211183">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00A99D1E">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05FD492A">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60EC8BC0">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6DBA32A0">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42.4</w:t>
            </w:r>
          </w:p>
        </w:tc>
        <w:tc>
          <w:tcPr>
            <w:tcW w:w="133" w:type="pct"/>
            <w:shd w:val="clear" w:color="auto" w:fill="FFFFFF"/>
            <w:tcMar>
              <w:top w:w="0" w:type="dxa"/>
              <w:left w:w="0" w:type="dxa"/>
              <w:bottom w:w="0" w:type="dxa"/>
              <w:right w:w="0" w:type="dxa"/>
            </w:tcMar>
            <w:vAlign w:val="center"/>
          </w:tcPr>
          <w:p w14:paraId="1B3517F7">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42.4</w:t>
            </w:r>
          </w:p>
        </w:tc>
        <w:tc>
          <w:tcPr>
            <w:tcW w:w="133" w:type="pct"/>
            <w:shd w:val="clear" w:color="auto" w:fill="FFFFFF"/>
            <w:tcMar>
              <w:top w:w="0" w:type="dxa"/>
              <w:left w:w="0" w:type="dxa"/>
              <w:bottom w:w="0" w:type="dxa"/>
              <w:right w:w="0" w:type="dxa"/>
            </w:tcMar>
            <w:vAlign w:val="center"/>
          </w:tcPr>
          <w:p w14:paraId="5EE531AD">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42.4</w:t>
            </w:r>
          </w:p>
        </w:tc>
        <w:tc>
          <w:tcPr>
            <w:tcW w:w="133" w:type="pct"/>
            <w:shd w:val="clear" w:color="auto" w:fill="FFFFFF"/>
            <w:tcMar>
              <w:top w:w="0" w:type="dxa"/>
              <w:left w:w="0" w:type="dxa"/>
              <w:bottom w:w="0" w:type="dxa"/>
              <w:right w:w="0" w:type="dxa"/>
            </w:tcMar>
            <w:vAlign w:val="center"/>
          </w:tcPr>
          <w:p w14:paraId="19AF969D">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42.4</w:t>
            </w:r>
          </w:p>
        </w:tc>
        <w:tc>
          <w:tcPr>
            <w:tcW w:w="115" w:type="pct"/>
            <w:shd w:val="clear" w:color="auto" w:fill="FFFFFF"/>
            <w:tcMar>
              <w:top w:w="0" w:type="dxa"/>
              <w:left w:w="0" w:type="dxa"/>
              <w:bottom w:w="0" w:type="dxa"/>
              <w:right w:w="0" w:type="dxa"/>
            </w:tcMar>
            <w:vAlign w:val="center"/>
          </w:tcPr>
          <w:p w14:paraId="0031B392">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1m</w:t>
            </w:r>
          </w:p>
        </w:tc>
      </w:tr>
      <w:tr w14:paraId="6FB12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7CACD5F2">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w:t>
            </w:r>
          </w:p>
        </w:tc>
        <w:tc>
          <w:tcPr>
            <w:tcW w:w="175" w:type="pct"/>
            <w:vMerge w:val="continue"/>
            <w:shd w:val="clear" w:color="auto" w:fill="FFFFFF"/>
            <w:tcMar>
              <w:top w:w="0" w:type="dxa"/>
              <w:left w:w="0" w:type="dxa"/>
              <w:bottom w:w="0" w:type="dxa"/>
              <w:right w:w="0" w:type="dxa"/>
            </w:tcMar>
            <w:vAlign w:val="center"/>
          </w:tcPr>
          <w:p w14:paraId="0D988F26">
            <w:pPr>
              <w:autoSpaceDE w:val="0"/>
              <w:autoSpaceDN w:val="0"/>
              <w:adjustRightInd w:val="0"/>
              <w:snapToGrid w:val="0"/>
              <w:jc w:val="center"/>
              <w:rPr>
                <w:color w:val="000000" w:themeColor="text1"/>
                <w:sz w:val="18"/>
                <w:szCs w:val="18"/>
                <w14:textFill>
                  <w14:solidFill>
                    <w14:schemeClr w14:val="tx1"/>
                  </w14:solidFill>
                </w14:textFill>
              </w:rPr>
            </w:pPr>
          </w:p>
        </w:tc>
        <w:tc>
          <w:tcPr>
            <w:tcW w:w="308" w:type="pct"/>
            <w:shd w:val="clear" w:color="auto" w:fill="FFFFFF"/>
            <w:tcMar>
              <w:top w:w="0" w:type="dxa"/>
              <w:left w:w="0" w:type="dxa"/>
              <w:bottom w:w="0" w:type="dxa"/>
              <w:right w:w="0" w:type="dxa"/>
            </w:tcMar>
            <w:vAlign w:val="center"/>
          </w:tcPr>
          <w:p w14:paraId="30B84F97">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成型机</w:t>
            </w:r>
          </w:p>
        </w:tc>
        <w:tc>
          <w:tcPr>
            <w:tcW w:w="299" w:type="pct"/>
            <w:shd w:val="clear" w:color="auto" w:fill="FFFFFF"/>
            <w:tcMar>
              <w:top w:w="0" w:type="dxa"/>
              <w:left w:w="0" w:type="dxa"/>
              <w:bottom w:w="0" w:type="dxa"/>
              <w:right w:w="0" w:type="dxa"/>
            </w:tcMar>
            <w:vAlign w:val="center"/>
          </w:tcPr>
          <w:p w14:paraId="29D222D5">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r>
              <w:rPr>
                <w:color w:val="000000" w:themeColor="text1"/>
                <w:sz w:val="18"/>
                <w:szCs w:val="18"/>
                <w14:textFill>
                  <w14:solidFill>
                    <w14:schemeClr w14:val="tx1"/>
                  </w14:solidFill>
                </w14:textFill>
              </w:rPr>
              <w:t>台</w:t>
            </w:r>
          </w:p>
        </w:tc>
        <w:tc>
          <w:tcPr>
            <w:tcW w:w="202" w:type="pct"/>
            <w:shd w:val="clear" w:color="auto" w:fill="FFFFFF"/>
            <w:tcMar>
              <w:top w:w="0" w:type="dxa"/>
              <w:left w:w="0" w:type="dxa"/>
              <w:bottom w:w="0" w:type="dxa"/>
              <w:right w:w="0" w:type="dxa"/>
            </w:tcMar>
            <w:vAlign w:val="center"/>
          </w:tcPr>
          <w:p w14:paraId="7D8F0A16">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85</w:t>
            </w:r>
          </w:p>
        </w:tc>
        <w:tc>
          <w:tcPr>
            <w:tcW w:w="353" w:type="pct"/>
            <w:shd w:val="clear" w:color="auto" w:fill="FFFFFF"/>
            <w:tcMar>
              <w:top w:w="0" w:type="dxa"/>
              <w:left w:w="0" w:type="dxa"/>
              <w:bottom w:w="0" w:type="dxa"/>
              <w:right w:w="0" w:type="dxa"/>
            </w:tcMar>
            <w:vAlign w:val="center"/>
          </w:tcPr>
          <w:p w14:paraId="7382DD7C">
            <w:pPr>
              <w:adjustRightInd w:val="0"/>
              <w:snapToGrid w:val="0"/>
              <w:jc w:val="center"/>
              <w:rPr>
                <w:color w:val="000000" w:themeColor="text1"/>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7E77C2AC">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70</w:t>
            </w:r>
          </w:p>
        </w:tc>
        <w:tc>
          <w:tcPr>
            <w:tcW w:w="251" w:type="pct"/>
            <w:shd w:val="clear" w:color="auto" w:fill="FFFFFF"/>
            <w:vAlign w:val="center"/>
          </w:tcPr>
          <w:p w14:paraId="53743E96">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77.78</w:t>
            </w:r>
          </w:p>
        </w:tc>
        <w:tc>
          <w:tcPr>
            <w:tcW w:w="168" w:type="pct"/>
            <w:shd w:val="clear" w:color="auto" w:fill="FFFFFF"/>
            <w:tcMar>
              <w:top w:w="0" w:type="dxa"/>
              <w:left w:w="0" w:type="dxa"/>
              <w:bottom w:w="0" w:type="dxa"/>
              <w:right w:w="0" w:type="dxa"/>
            </w:tcMar>
            <w:vAlign w:val="center"/>
          </w:tcPr>
          <w:p w14:paraId="2D91F54F">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-19.2</w:t>
            </w:r>
          </w:p>
        </w:tc>
        <w:tc>
          <w:tcPr>
            <w:tcW w:w="169" w:type="pct"/>
            <w:shd w:val="clear" w:color="auto" w:fill="FFFFFF"/>
            <w:tcMar>
              <w:top w:w="0" w:type="dxa"/>
              <w:left w:w="0" w:type="dxa"/>
              <w:bottom w:w="0" w:type="dxa"/>
              <w:right w:w="0" w:type="dxa"/>
            </w:tcMar>
            <w:vAlign w:val="center"/>
          </w:tcPr>
          <w:p w14:paraId="537C91FE">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-7.3</w:t>
            </w:r>
          </w:p>
        </w:tc>
        <w:tc>
          <w:tcPr>
            <w:tcW w:w="169" w:type="pct"/>
            <w:shd w:val="clear" w:color="auto" w:fill="FFFFFF"/>
            <w:tcMar>
              <w:top w:w="0" w:type="dxa"/>
              <w:left w:w="0" w:type="dxa"/>
              <w:bottom w:w="0" w:type="dxa"/>
              <w:right w:w="0" w:type="dxa"/>
            </w:tcMar>
            <w:vAlign w:val="center"/>
          </w:tcPr>
          <w:p w14:paraId="6CF9A340">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3FF8B042">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25.3</w:t>
            </w:r>
          </w:p>
        </w:tc>
        <w:tc>
          <w:tcPr>
            <w:tcW w:w="151" w:type="pct"/>
            <w:shd w:val="clear" w:color="auto" w:fill="FFFFFF"/>
            <w:tcMar>
              <w:top w:w="0" w:type="dxa"/>
              <w:left w:w="0" w:type="dxa"/>
              <w:bottom w:w="0" w:type="dxa"/>
              <w:right w:w="0" w:type="dxa"/>
            </w:tcMar>
            <w:vAlign w:val="center"/>
          </w:tcPr>
          <w:p w14:paraId="428E9DEE">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12.0</w:t>
            </w:r>
          </w:p>
        </w:tc>
        <w:tc>
          <w:tcPr>
            <w:tcW w:w="151" w:type="pct"/>
            <w:shd w:val="clear" w:color="auto" w:fill="FFFFFF"/>
            <w:tcMar>
              <w:top w:w="0" w:type="dxa"/>
              <w:left w:w="0" w:type="dxa"/>
              <w:bottom w:w="0" w:type="dxa"/>
              <w:right w:w="0" w:type="dxa"/>
            </w:tcMar>
            <w:vAlign w:val="center"/>
          </w:tcPr>
          <w:p w14:paraId="744D9803">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3.0</w:t>
            </w:r>
          </w:p>
        </w:tc>
        <w:tc>
          <w:tcPr>
            <w:tcW w:w="152" w:type="pct"/>
            <w:shd w:val="clear" w:color="auto" w:fill="FFFFFF"/>
            <w:tcMar>
              <w:top w:w="0" w:type="dxa"/>
              <w:left w:w="0" w:type="dxa"/>
              <w:bottom w:w="0" w:type="dxa"/>
              <w:right w:w="0" w:type="dxa"/>
            </w:tcMar>
            <w:vAlign w:val="center"/>
          </w:tcPr>
          <w:p w14:paraId="5FCDA226">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46.5</w:t>
            </w:r>
          </w:p>
        </w:tc>
        <w:tc>
          <w:tcPr>
            <w:tcW w:w="138" w:type="pct"/>
            <w:shd w:val="clear" w:color="auto" w:fill="FFFFFF"/>
            <w:tcMar>
              <w:top w:w="0" w:type="dxa"/>
              <w:left w:w="0" w:type="dxa"/>
              <w:bottom w:w="0" w:type="dxa"/>
              <w:right w:w="0" w:type="dxa"/>
            </w:tcMar>
            <w:vAlign w:val="center"/>
          </w:tcPr>
          <w:p w14:paraId="6ED27DC5">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63.4</w:t>
            </w:r>
          </w:p>
        </w:tc>
        <w:tc>
          <w:tcPr>
            <w:tcW w:w="138" w:type="pct"/>
            <w:shd w:val="clear" w:color="auto" w:fill="FFFFFF"/>
            <w:tcMar>
              <w:top w:w="0" w:type="dxa"/>
              <w:left w:w="0" w:type="dxa"/>
              <w:bottom w:w="0" w:type="dxa"/>
              <w:right w:w="0" w:type="dxa"/>
            </w:tcMar>
            <w:vAlign w:val="center"/>
          </w:tcPr>
          <w:p w14:paraId="1C2FD2F9">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63.4</w:t>
            </w:r>
          </w:p>
        </w:tc>
        <w:tc>
          <w:tcPr>
            <w:tcW w:w="138" w:type="pct"/>
            <w:shd w:val="clear" w:color="auto" w:fill="FFFFFF"/>
            <w:tcMar>
              <w:top w:w="0" w:type="dxa"/>
              <w:left w:w="0" w:type="dxa"/>
              <w:bottom w:w="0" w:type="dxa"/>
              <w:right w:w="0" w:type="dxa"/>
            </w:tcMar>
            <w:vAlign w:val="center"/>
          </w:tcPr>
          <w:p w14:paraId="71BD5D37">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64.3</w:t>
            </w:r>
          </w:p>
        </w:tc>
        <w:tc>
          <w:tcPr>
            <w:tcW w:w="143" w:type="pct"/>
            <w:shd w:val="clear" w:color="auto" w:fill="FFFFFF"/>
            <w:tcMar>
              <w:top w:w="0" w:type="dxa"/>
              <w:left w:w="0" w:type="dxa"/>
              <w:bottom w:w="0" w:type="dxa"/>
              <w:right w:w="0" w:type="dxa"/>
            </w:tcMar>
            <w:vAlign w:val="center"/>
          </w:tcPr>
          <w:p w14:paraId="08AE011E">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63.4</w:t>
            </w:r>
          </w:p>
        </w:tc>
        <w:tc>
          <w:tcPr>
            <w:tcW w:w="115" w:type="pct"/>
            <w:vMerge w:val="continue"/>
            <w:shd w:val="clear" w:color="auto" w:fill="FFFFFF"/>
            <w:tcMar>
              <w:top w:w="0" w:type="dxa"/>
              <w:left w:w="0" w:type="dxa"/>
              <w:bottom w:w="0" w:type="dxa"/>
              <w:right w:w="0" w:type="dxa"/>
            </w:tcMar>
            <w:vAlign w:val="center"/>
          </w:tcPr>
          <w:p w14:paraId="166D9260">
            <w:pPr>
              <w:autoSpaceDE w:val="0"/>
              <w:autoSpaceDN w:val="0"/>
              <w:adjustRightInd w:val="0"/>
              <w:snapToGrid w:val="0"/>
              <w:jc w:val="center"/>
              <w:rPr>
                <w:color w:val="000000" w:themeColor="text1"/>
                <w:sz w:val="18"/>
                <w:szCs w:val="18"/>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04952261">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68548AE0">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0E609097">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2997A2D6">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394EA523">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42.4</w:t>
            </w:r>
          </w:p>
        </w:tc>
        <w:tc>
          <w:tcPr>
            <w:tcW w:w="133" w:type="pct"/>
            <w:shd w:val="clear" w:color="auto" w:fill="FFFFFF"/>
            <w:tcMar>
              <w:top w:w="0" w:type="dxa"/>
              <w:left w:w="0" w:type="dxa"/>
              <w:bottom w:w="0" w:type="dxa"/>
              <w:right w:w="0" w:type="dxa"/>
            </w:tcMar>
            <w:vAlign w:val="center"/>
          </w:tcPr>
          <w:p w14:paraId="19220ECD">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42.4</w:t>
            </w:r>
          </w:p>
        </w:tc>
        <w:tc>
          <w:tcPr>
            <w:tcW w:w="133" w:type="pct"/>
            <w:shd w:val="clear" w:color="auto" w:fill="FFFFFF"/>
            <w:tcMar>
              <w:top w:w="0" w:type="dxa"/>
              <w:left w:w="0" w:type="dxa"/>
              <w:bottom w:w="0" w:type="dxa"/>
              <w:right w:w="0" w:type="dxa"/>
            </w:tcMar>
            <w:vAlign w:val="center"/>
          </w:tcPr>
          <w:p w14:paraId="4A9E9534">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43.3</w:t>
            </w:r>
          </w:p>
        </w:tc>
        <w:tc>
          <w:tcPr>
            <w:tcW w:w="133" w:type="pct"/>
            <w:shd w:val="clear" w:color="auto" w:fill="FFFFFF"/>
            <w:tcMar>
              <w:top w:w="0" w:type="dxa"/>
              <w:left w:w="0" w:type="dxa"/>
              <w:bottom w:w="0" w:type="dxa"/>
              <w:right w:w="0" w:type="dxa"/>
            </w:tcMar>
            <w:vAlign w:val="center"/>
          </w:tcPr>
          <w:p w14:paraId="40CED7B6">
            <w:pPr>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42.4</w:t>
            </w:r>
          </w:p>
        </w:tc>
        <w:tc>
          <w:tcPr>
            <w:tcW w:w="115" w:type="pct"/>
            <w:shd w:val="clear" w:color="auto" w:fill="FFFFFF"/>
            <w:tcMar>
              <w:top w:w="0" w:type="dxa"/>
              <w:left w:w="0" w:type="dxa"/>
              <w:bottom w:w="0" w:type="dxa"/>
              <w:right w:w="0" w:type="dxa"/>
            </w:tcMar>
            <w:vAlign w:val="center"/>
          </w:tcPr>
          <w:p w14:paraId="5A364991">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1m</w:t>
            </w:r>
          </w:p>
        </w:tc>
      </w:tr>
      <w:tr w14:paraId="4DD8A8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795D60EA">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w:t>
            </w:r>
          </w:p>
        </w:tc>
        <w:tc>
          <w:tcPr>
            <w:tcW w:w="175" w:type="pct"/>
            <w:vMerge w:val="continue"/>
            <w:shd w:val="clear" w:color="auto" w:fill="FFFFFF"/>
            <w:tcMar>
              <w:top w:w="0" w:type="dxa"/>
              <w:left w:w="0" w:type="dxa"/>
              <w:bottom w:w="0" w:type="dxa"/>
              <w:right w:w="0" w:type="dxa"/>
            </w:tcMar>
            <w:vAlign w:val="center"/>
          </w:tcPr>
          <w:p w14:paraId="0E5BE1EE">
            <w:pPr>
              <w:autoSpaceDE w:val="0"/>
              <w:autoSpaceDN w:val="0"/>
              <w:adjustRightInd w:val="0"/>
              <w:snapToGrid w:val="0"/>
              <w:jc w:val="center"/>
              <w:rPr>
                <w:color w:val="000000" w:themeColor="text1"/>
                <w:sz w:val="18"/>
                <w:szCs w:val="18"/>
                <w14:textFill>
                  <w14:solidFill>
                    <w14:schemeClr w14:val="tx1"/>
                  </w14:solidFill>
                </w14:textFill>
              </w:rPr>
            </w:pPr>
          </w:p>
        </w:tc>
        <w:tc>
          <w:tcPr>
            <w:tcW w:w="308" w:type="pct"/>
            <w:shd w:val="clear" w:color="auto" w:fill="FFFFFF"/>
            <w:tcMar>
              <w:top w:w="0" w:type="dxa"/>
              <w:left w:w="0" w:type="dxa"/>
              <w:bottom w:w="0" w:type="dxa"/>
              <w:right w:w="0" w:type="dxa"/>
            </w:tcMar>
            <w:vAlign w:val="center"/>
          </w:tcPr>
          <w:p w14:paraId="75F710BE">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打眼机</w:t>
            </w:r>
          </w:p>
        </w:tc>
        <w:tc>
          <w:tcPr>
            <w:tcW w:w="299" w:type="pct"/>
            <w:shd w:val="clear" w:color="auto" w:fill="FFFFFF"/>
            <w:tcMar>
              <w:top w:w="0" w:type="dxa"/>
              <w:left w:w="0" w:type="dxa"/>
              <w:bottom w:w="0" w:type="dxa"/>
              <w:right w:w="0" w:type="dxa"/>
            </w:tcMar>
            <w:vAlign w:val="center"/>
          </w:tcPr>
          <w:p w14:paraId="224A4C73">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10台</w:t>
            </w:r>
          </w:p>
        </w:tc>
        <w:tc>
          <w:tcPr>
            <w:tcW w:w="202" w:type="pct"/>
            <w:shd w:val="clear" w:color="auto" w:fill="FFFFFF"/>
            <w:tcMar>
              <w:top w:w="0" w:type="dxa"/>
              <w:left w:w="0" w:type="dxa"/>
              <w:bottom w:w="0" w:type="dxa"/>
              <w:right w:w="0" w:type="dxa"/>
            </w:tcMar>
            <w:vAlign w:val="center"/>
          </w:tcPr>
          <w:p w14:paraId="1763A255">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85</w:t>
            </w:r>
          </w:p>
        </w:tc>
        <w:tc>
          <w:tcPr>
            <w:tcW w:w="353" w:type="pct"/>
            <w:shd w:val="clear" w:color="auto" w:fill="FFFFFF"/>
            <w:tcMar>
              <w:top w:w="0" w:type="dxa"/>
              <w:left w:w="0" w:type="dxa"/>
              <w:bottom w:w="0" w:type="dxa"/>
              <w:right w:w="0" w:type="dxa"/>
            </w:tcMar>
            <w:vAlign w:val="center"/>
          </w:tcPr>
          <w:p w14:paraId="64576673">
            <w:pPr>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0802463D">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70</w:t>
            </w:r>
          </w:p>
        </w:tc>
        <w:tc>
          <w:tcPr>
            <w:tcW w:w="251" w:type="pct"/>
            <w:shd w:val="clear" w:color="auto" w:fill="FFFFFF"/>
            <w:vAlign w:val="center"/>
          </w:tcPr>
          <w:p w14:paraId="5A4D3A52">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80</w:t>
            </w:r>
          </w:p>
        </w:tc>
        <w:tc>
          <w:tcPr>
            <w:tcW w:w="168" w:type="pct"/>
            <w:shd w:val="clear" w:color="auto" w:fill="FFFFFF"/>
            <w:tcMar>
              <w:top w:w="0" w:type="dxa"/>
              <w:left w:w="0" w:type="dxa"/>
              <w:bottom w:w="0" w:type="dxa"/>
              <w:right w:w="0" w:type="dxa"/>
            </w:tcMar>
            <w:vAlign w:val="center"/>
          </w:tcPr>
          <w:p w14:paraId="5FC3436A">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-7.4</w:t>
            </w:r>
          </w:p>
        </w:tc>
        <w:tc>
          <w:tcPr>
            <w:tcW w:w="169" w:type="pct"/>
            <w:shd w:val="clear" w:color="auto" w:fill="FFFFFF"/>
            <w:tcMar>
              <w:top w:w="0" w:type="dxa"/>
              <w:left w:w="0" w:type="dxa"/>
              <w:bottom w:w="0" w:type="dxa"/>
              <w:right w:w="0" w:type="dxa"/>
            </w:tcMar>
            <w:vAlign w:val="center"/>
          </w:tcPr>
          <w:p w14:paraId="60FE1B5D">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-9.2</w:t>
            </w:r>
          </w:p>
        </w:tc>
        <w:tc>
          <w:tcPr>
            <w:tcW w:w="169" w:type="pct"/>
            <w:shd w:val="clear" w:color="auto" w:fill="FFFFFF"/>
            <w:tcMar>
              <w:top w:w="0" w:type="dxa"/>
              <w:left w:w="0" w:type="dxa"/>
              <w:bottom w:w="0" w:type="dxa"/>
              <w:right w:w="0" w:type="dxa"/>
            </w:tcMar>
            <w:vAlign w:val="center"/>
          </w:tcPr>
          <w:p w14:paraId="0F6CA12B">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556FB50D">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14.5</w:t>
            </w:r>
          </w:p>
        </w:tc>
        <w:tc>
          <w:tcPr>
            <w:tcW w:w="151" w:type="pct"/>
            <w:shd w:val="clear" w:color="auto" w:fill="FFFFFF"/>
            <w:tcMar>
              <w:top w:w="0" w:type="dxa"/>
              <w:left w:w="0" w:type="dxa"/>
              <w:bottom w:w="0" w:type="dxa"/>
              <w:right w:w="0" w:type="dxa"/>
            </w:tcMar>
            <w:vAlign w:val="center"/>
          </w:tcPr>
          <w:p w14:paraId="3981AA09">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17.4</w:t>
            </w:r>
          </w:p>
        </w:tc>
        <w:tc>
          <w:tcPr>
            <w:tcW w:w="151" w:type="pct"/>
            <w:shd w:val="clear" w:color="auto" w:fill="FFFFFF"/>
            <w:tcMar>
              <w:top w:w="0" w:type="dxa"/>
              <w:left w:w="0" w:type="dxa"/>
              <w:bottom w:w="0" w:type="dxa"/>
              <w:right w:w="0" w:type="dxa"/>
            </w:tcMar>
            <w:vAlign w:val="center"/>
          </w:tcPr>
          <w:p w14:paraId="3E64EDD7">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13.8</w:t>
            </w:r>
          </w:p>
        </w:tc>
        <w:tc>
          <w:tcPr>
            <w:tcW w:w="152" w:type="pct"/>
            <w:shd w:val="clear" w:color="auto" w:fill="FFFFFF"/>
            <w:tcMar>
              <w:top w:w="0" w:type="dxa"/>
              <w:left w:w="0" w:type="dxa"/>
              <w:bottom w:w="0" w:type="dxa"/>
              <w:right w:w="0" w:type="dxa"/>
            </w:tcMar>
            <w:vAlign w:val="center"/>
          </w:tcPr>
          <w:p w14:paraId="41053163">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41.3</w:t>
            </w:r>
          </w:p>
        </w:tc>
        <w:tc>
          <w:tcPr>
            <w:tcW w:w="138" w:type="pct"/>
            <w:shd w:val="clear" w:color="auto" w:fill="FFFFFF"/>
            <w:tcMar>
              <w:top w:w="0" w:type="dxa"/>
              <w:left w:w="0" w:type="dxa"/>
              <w:bottom w:w="0" w:type="dxa"/>
              <w:right w:w="0" w:type="dxa"/>
            </w:tcMar>
            <w:vAlign w:val="center"/>
          </w:tcPr>
          <w:p w14:paraId="7F448C76">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65.6</w:t>
            </w:r>
          </w:p>
        </w:tc>
        <w:tc>
          <w:tcPr>
            <w:tcW w:w="138" w:type="pct"/>
            <w:shd w:val="clear" w:color="auto" w:fill="FFFFFF"/>
            <w:tcMar>
              <w:top w:w="0" w:type="dxa"/>
              <w:left w:w="0" w:type="dxa"/>
              <w:bottom w:w="0" w:type="dxa"/>
              <w:right w:w="0" w:type="dxa"/>
            </w:tcMar>
            <w:vAlign w:val="center"/>
          </w:tcPr>
          <w:p w14:paraId="03CD817C">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65.6</w:t>
            </w:r>
          </w:p>
        </w:tc>
        <w:tc>
          <w:tcPr>
            <w:tcW w:w="138" w:type="pct"/>
            <w:shd w:val="clear" w:color="auto" w:fill="FFFFFF"/>
            <w:tcMar>
              <w:top w:w="0" w:type="dxa"/>
              <w:left w:w="0" w:type="dxa"/>
              <w:bottom w:w="0" w:type="dxa"/>
              <w:right w:w="0" w:type="dxa"/>
            </w:tcMar>
            <w:vAlign w:val="center"/>
          </w:tcPr>
          <w:p w14:paraId="7DED13D6">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65.6</w:t>
            </w:r>
          </w:p>
        </w:tc>
        <w:tc>
          <w:tcPr>
            <w:tcW w:w="143" w:type="pct"/>
            <w:shd w:val="clear" w:color="auto" w:fill="FFFFFF"/>
            <w:tcMar>
              <w:top w:w="0" w:type="dxa"/>
              <w:left w:w="0" w:type="dxa"/>
              <w:bottom w:w="0" w:type="dxa"/>
              <w:right w:w="0" w:type="dxa"/>
            </w:tcMar>
            <w:vAlign w:val="center"/>
          </w:tcPr>
          <w:p w14:paraId="0B1EF5E0">
            <w:pPr>
              <w:autoSpaceDE w:val="0"/>
              <w:autoSpaceDN w:val="0"/>
              <w:adjustRightInd w:val="0"/>
              <w:snapToGrid w:val="0"/>
              <w:jc w:val="center"/>
              <w:rPr>
                <w:color w:val="000000" w:themeColor="text1"/>
                <w:sz w:val="18"/>
                <w:szCs w:val="18"/>
                <w:lang w:eastAsia="en-US"/>
                <w14:textFill>
                  <w14:solidFill>
                    <w14:schemeClr w14:val="tx1"/>
                  </w14:solidFill>
                </w14:textFill>
              </w:rPr>
            </w:pPr>
            <w:r>
              <w:rPr>
                <w:color w:val="000000" w:themeColor="text1"/>
                <w:sz w:val="18"/>
                <w:szCs w:val="18"/>
                <w14:textFill>
                  <w14:solidFill>
                    <w14:schemeClr w14:val="tx1"/>
                  </w14:solidFill>
                </w14:textFill>
              </w:rPr>
              <w:t>65.6</w:t>
            </w:r>
          </w:p>
        </w:tc>
        <w:tc>
          <w:tcPr>
            <w:tcW w:w="115" w:type="pct"/>
            <w:vMerge w:val="continue"/>
            <w:shd w:val="clear" w:color="auto" w:fill="FFFFFF"/>
            <w:tcMar>
              <w:top w:w="0" w:type="dxa"/>
              <w:left w:w="0" w:type="dxa"/>
              <w:bottom w:w="0" w:type="dxa"/>
              <w:right w:w="0" w:type="dxa"/>
            </w:tcMar>
            <w:vAlign w:val="center"/>
          </w:tcPr>
          <w:p w14:paraId="3DCB530A">
            <w:pPr>
              <w:autoSpaceDE w:val="0"/>
              <w:autoSpaceDN w:val="0"/>
              <w:adjustRightInd w:val="0"/>
              <w:snapToGrid w:val="0"/>
              <w:jc w:val="center"/>
              <w:rPr>
                <w:color w:val="000000" w:themeColor="text1"/>
                <w:sz w:val="18"/>
                <w:szCs w:val="18"/>
                <w:lang w:eastAsia="en-US"/>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3C3D771B">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1D0F23CC">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68DD0C8B">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03371C9F">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7451B75B">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44.6</w:t>
            </w:r>
          </w:p>
        </w:tc>
        <w:tc>
          <w:tcPr>
            <w:tcW w:w="133" w:type="pct"/>
            <w:shd w:val="clear" w:color="auto" w:fill="FFFFFF"/>
            <w:tcMar>
              <w:top w:w="0" w:type="dxa"/>
              <w:left w:w="0" w:type="dxa"/>
              <w:bottom w:w="0" w:type="dxa"/>
              <w:right w:w="0" w:type="dxa"/>
            </w:tcMar>
            <w:vAlign w:val="center"/>
          </w:tcPr>
          <w:p w14:paraId="7DF415B8">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44.6</w:t>
            </w:r>
          </w:p>
        </w:tc>
        <w:tc>
          <w:tcPr>
            <w:tcW w:w="133" w:type="pct"/>
            <w:shd w:val="clear" w:color="auto" w:fill="FFFFFF"/>
            <w:tcMar>
              <w:top w:w="0" w:type="dxa"/>
              <w:left w:w="0" w:type="dxa"/>
              <w:bottom w:w="0" w:type="dxa"/>
              <w:right w:w="0" w:type="dxa"/>
            </w:tcMar>
            <w:vAlign w:val="center"/>
          </w:tcPr>
          <w:p w14:paraId="17F227C3">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44.6</w:t>
            </w:r>
          </w:p>
        </w:tc>
        <w:tc>
          <w:tcPr>
            <w:tcW w:w="133" w:type="pct"/>
            <w:shd w:val="clear" w:color="auto" w:fill="FFFFFF"/>
            <w:tcMar>
              <w:top w:w="0" w:type="dxa"/>
              <w:left w:w="0" w:type="dxa"/>
              <w:bottom w:w="0" w:type="dxa"/>
              <w:right w:w="0" w:type="dxa"/>
            </w:tcMar>
            <w:vAlign w:val="center"/>
          </w:tcPr>
          <w:p w14:paraId="3FEC1751">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ascii="Arial" w:hAnsi="Arial" w:cs="Arial"/>
                <w:color w:val="000000" w:themeColor="text1"/>
                <w:sz w:val="18"/>
                <w:szCs w:val="18"/>
                <w14:textFill>
                  <w14:solidFill>
                    <w14:schemeClr w14:val="tx1"/>
                  </w14:solidFill>
                </w14:textFill>
              </w:rPr>
              <w:t>44.6</w:t>
            </w:r>
          </w:p>
        </w:tc>
        <w:tc>
          <w:tcPr>
            <w:tcW w:w="115" w:type="pct"/>
            <w:shd w:val="clear" w:color="auto" w:fill="FFFFFF"/>
            <w:tcMar>
              <w:top w:w="0" w:type="dxa"/>
              <w:left w:w="0" w:type="dxa"/>
              <w:bottom w:w="0" w:type="dxa"/>
              <w:right w:w="0" w:type="dxa"/>
            </w:tcMar>
            <w:vAlign w:val="center"/>
          </w:tcPr>
          <w:p w14:paraId="5F475019">
            <w:pPr>
              <w:autoSpaceDE w:val="0"/>
              <w:autoSpaceDN w:val="0"/>
              <w:adjustRightInd w:val="0"/>
              <w:snapToGrid w:val="0"/>
              <w:jc w:val="center"/>
              <w:rPr>
                <w:color w:val="000000" w:themeColor="text1"/>
                <w:sz w:val="18"/>
                <w:szCs w:val="18"/>
                <w:lang w:eastAsia="en-US"/>
                <w14:textFill>
                  <w14:solidFill>
                    <w14:schemeClr w14:val="tx1"/>
                  </w14:solidFill>
                </w14:textFill>
              </w:rPr>
            </w:pPr>
            <w:r>
              <w:rPr>
                <w:rFonts w:eastAsia="Arial"/>
                <w:color w:val="000000" w:themeColor="text1"/>
                <w:sz w:val="18"/>
                <w:szCs w:val="18"/>
                <w14:textFill>
                  <w14:solidFill>
                    <w14:schemeClr w14:val="tx1"/>
                  </w14:solidFill>
                </w14:textFill>
              </w:rPr>
              <w:t>1m</w:t>
            </w:r>
          </w:p>
        </w:tc>
      </w:tr>
      <w:tr w14:paraId="557535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6BED871F">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w:t>
            </w:r>
          </w:p>
        </w:tc>
        <w:tc>
          <w:tcPr>
            <w:tcW w:w="175" w:type="pct"/>
            <w:vMerge w:val="continue"/>
            <w:shd w:val="clear" w:color="auto" w:fill="FFFFFF"/>
            <w:tcMar>
              <w:top w:w="0" w:type="dxa"/>
              <w:left w:w="0" w:type="dxa"/>
              <w:bottom w:w="0" w:type="dxa"/>
              <w:right w:w="0" w:type="dxa"/>
            </w:tcMar>
            <w:vAlign w:val="center"/>
          </w:tcPr>
          <w:p w14:paraId="1265A41B">
            <w:pPr>
              <w:autoSpaceDE w:val="0"/>
              <w:autoSpaceDN w:val="0"/>
              <w:adjustRightInd w:val="0"/>
              <w:snapToGrid w:val="0"/>
              <w:jc w:val="center"/>
              <w:rPr>
                <w:color w:val="000000" w:themeColor="text1"/>
                <w:sz w:val="18"/>
                <w:szCs w:val="18"/>
                <w14:textFill>
                  <w14:solidFill>
                    <w14:schemeClr w14:val="tx1"/>
                  </w14:solidFill>
                </w14:textFill>
              </w:rPr>
            </w:pPr>
          </w:p>
        </w:tc>
        <w:tc>
          <w:tcPr>
            <w:tcW w:w="308" w:type="pct"/>
            <w:shd w:val="clear" w:color="auto" w:fill="FFFFFF"/>
            <w:tcMar>
              <w:top w:w="0" w:type="dxa"/>
              <w:left w:w="0" w:type="dxa"/>
              <w:bottom w:w="0" w:type="dxa"/>
              <w:right w:w="0" w:type="dxa"/>
            </w:tcMar>
            <w:vAlign w:val="center"/>
          </w:tcPr>
          <w:p w14:paraId="60554C64">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烘干箱</w:t>
            </w:r>
          </w:p>
        </w:tc>
        <w:tc>
          <w:tcPr>
            <w:tcW w:w="299" w:type="pct"/>
            <w:shd w:val="clear" w:color="auto" w:fill="FFFFFF"/>
            <w:tcMar>
              <w:top w:w="0" w:type="dxa"/>
              <w:left w:w="0" w:type="dxa"/>
              <w:bottom w:w="0" w:type="dxa"/>
              <w:right w:w="0" w:type="dxa"/>
            </w:tcMar>
            <w:vAlign w:val="center"/>
          </w:tcPr>
          <w:p w14:paraId="43607517">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4台</w:t>
            </w:r>
          </w:p>
        </w:tc>
        <w:tc>
          <w:tcPr>
            <w:tcW w:w="202" w:type="pct"/>
            <w:shd w:val="clear" w:color="auto" w:fill="FFFFFF"/>
            <w:tcMar>
              <w:top w:w="0" w:type="dxa"/>
              <w:left w:w="0" w:type="dxa"/>
              <w:bottom w:w="0" w:type="dxa"/>
              <w:right w:w="0" w:type="dxa"/>
            </w:tcMar>
            <w:vAlign w:val="center"/>
          </w:tcPr>
          <w:p w14:paraId="6678C83F">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80</w:t>
            </w:r>
          </w:p>
        </w:tc>
        <w:tc>
          <w:tcPr>
            <w:tcW w:w="353" w:type="pct"/>
            <w:shd w:val="clear" w:color="auto" w:fill="FFFFFF"/>
            <w:tcMar>
              <w:top w:w="0" w:type="dxa"/>
              <w:left w:w="0" w:type="dxa"/>
              <w:bottom w:w="0" w:type="dxa"/>
              <w:right w:w="0" w:type="dxa"/>
            </w:tcMar>
            <w:vAlign w:val="center"/>
          </w:tcPr>
          <w:p w14:paraId="42A7115F">
            <w:pPr>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1E52465A">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65</w:t>
            </w:r>
          </w:p>
        </w:tc>
        <w:tc>
          <w:tcPr>
            <w:tcW w:w="251" w:type="pct"/>
            <w:shd w:val="clear" w:color="auto" w:fill="FFFFFF"/>
            <w:vAlign w:val="center"/>
          </w:tcPr>
          <w:p w14:paraId="5561A031">
            <w:pPr>
              <w:widowControl/>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71.02</w:t>
            </w:r>
          </w:p>
        </w:tc>
        <w:tc>
          <w:tcPr>
            <w:tcW w:w="168" w:type="pct"/>
            <w:shd w:val="clear" w:color="auto" w:fill="FFFFFF"/>
            <w:tcMar>
              <w:top w:w="0" w:type="dxa"/>
              <w:left w:w="0" w:type="dxa"/>
              <w:bottom w:w="0" w:type="dxa"/>
              <w:right w:w="0" w:type="dxa"/>
            </w:tcMar>
            <w:vAlign w:val="center"/>
          </w:tcPr>
          <w:p w14:paraId="1D4B6C2B">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-11.8</w:t>
            </w:r>
          </w:p>
        </w:tc>
        <w:tc>
          <w:tcPr>
            <w:tcW w:w="169" w:type="pct"/>
            <w:shd w:val="clear" w:color="auto" w:fill="FFFFFF"/>
            <w:tcMar>
              <w:top w:w="0" w:type="dxa"/>
              <w:left w:w="0" w:type="dxa"/>
              <w:bottom w:w="0" w:type="dxa"/>
              <w:right w:w="0" w:type="dxa"/>
            </w:tcMar>
            <w:vAlign w:val="center"/>
          </w:tcPr>
          <w:p w14:paraId="71816477">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-15.1</w:t>
            </w:r>
          </w:p>
        </w:tc>
        <w:tc>
          <w:tcPr>
            <w:tcW w:w="169" w:type="pct"/>
            <w:shd w:val="clear" w:color="auto" w:fill="FFFFFF"/>
            <w:tcMar>
              <w:top w:w="0" w:type="dxa"/>
              <w:left w:w="0" w:type="dxa"/>
              <w:bottom w:w="0" w:type="dxa"/>
              <w:right w:w="0" w:type="dxa"/>
            </w:tcMar>
            <w:vAlign w:val="center"/>
          </w:tcPr>
          <w:p w14:paraId="0BF827F0">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4A20DBA8">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14.8</w:t>
            </w:r>
          </w:p>
        </w:tc>
        <w:tc>
          <w:tcPr>
            <w:tcW w:w="151" w:type="pct"/>
            <w:shd w:val="clear" w:color="auto" w:fill="FFFFFF"/>
            <w:tcMar>
              <w:top w:w="0" w:type="dxa"/>
              <w:left w:w="0" w:type="dxa"/>
              <w:bottom w:w="0" w:type="dxa"/>
              <w:right w:w="0" w:type="dxa"/>
            </w:tcMar>
            <w:vAlign w:val="center"/>
          </w:tcPr>
          <w:p w14:paraId="6997A215">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10.0</w:t>
            </w:r>
          </w:p>
        </w:tc>
        <w:tc>
          <w:tcPr>
            <w:tcW w:w="151" w:type="pct"/>
            <w:shd w:val="clear" w:color="auto" w:fill="FFFFFF"/>
            <w:tcMar>
              <w:top w:w="0" w:type="dxa"/>
              <w:left w:w="0" w:type="dxa"/>
              <w:bottom w:w="0" w:type="dxa"/>
              <w:right w:w="0" w:type="dxa"/>
            </w:tcMar>
            <w:vAlign w:val="center"/>
          </w:tcPr>
          <w:p w14:paraId="7931E89A">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13.5</w:t>
            </w:r>
          </w:p>
        </w:tc>
        <w:tc>
          <w:tcPr>
            <w:tcW w:w="152" w:type="pct"/>
            <w:shd w:val="clear" w:color="auto" w:fill="FFFFFF"/>
            <w:tcMar>
              <w:top w:w="0" w:type="dxa"/>
              <w:left w:w="0" w:type="dxa"/>
              <w:bottom w:w="0" w:type="dxa"/>
              <w:right w:w="0" w:type="dxa"/>
            </w:tcMar>
            <w:vAlign w:val="center"/>
          </w:tcPr>
          <w:p w14:paraId="0AB54825">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48.6</w:t>
            </w:r>
          </w:p>
        </w:tc>
        <w:tc>
          <w:tcPr>
            <w:tcW w:w="138" w:type="pct"/>
            <w:shd w:val="clear" w:color="auto" w:fill="FFFFFF"/>
            <w:tcMar>
              <w:top w:w="0" w:type="dxa"/>
              <w:left w:w="0" w:type="dxa"/>
              <w:bottom w:w="0" w:type="dxa"/>
              <w:right w:w="0" w:type="dxa"/>
            </w:tcMar>
            <w:vAlign w:val="center"/>
          </w:tcPr>
          <w:p w14:paraId="679D7201">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56.6</w:t>
            </w:r>
          </w:p>
        </w:tc>
        <w:tc>
          <w:tcPr>
            <w:tcW w:w="138" w:type="pct"/>
            <w:shd w:val="clear" w:color="auto" w:fill="FFFFFF"/>
            <w:tcMar>
              <w:top w:w="0" w:type="dxa"/>
              <w:left w:w="0" w:type="dxa"/>
              <w:bottom w:w="0" w:type="dxa"/>
              <w:right w:w="0" w:type="dxa"/>
            </w:tcMar>
            <w:vAlign w:val="center"/>
          </w:tcPr>
          <w:p w14:paraId="1E2B83E8">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56.7</w:t>
            </w:r>
          </w:p>
        </w:tc>
        <w:tc>
          <w:tcPr>
            <w:tcW w:w="138" w:type="pct"/>
            <w:shd w:val="clear" w:color="auto" w:fill="FFFFFF"/>
            <w:tcMar>
              <w:top w:w="0" w:type="dxa"/>
              <w:left w:w="0" w:type="dxa"/>
              <w:bottom w:w="0" w:type="dxa"/>
              <w:right w:w="0" w:type="dxa"/>
            </w:tcMar>
            <w:vAlign w:val="center"/>
          </w:tcPr>
          <w:p w14:paraId="06701235">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56.6</w:t>
            </w:r>
          </w:p>
        </w:tc>
        <w:tc>
          <w:tcPr>
            <w:tcW w:w="143" w:type="pct"/>
            <w:shd w:val="clear" w:color="auto" w:fill="FFFFFF"/>
            <w:tcMar>
              <w:top w:w="0" w:type="dxa"/>
              <w:left w:w="0" w:type="dxa"/>
              <w:bottom w:w="0" w:type="dxa"/>
              <w:right w:w="0" w:type="dxa"/>
            </w:tcMar>
            <w:vAlign w:val="center"/>
          </w:tcPr>
          <w:p w14:paraId="14773434">
            <w:pPr>
              <w:autoSpaceDE w:val="0"/>
              <w:autoSpaceDN w:val="0"/>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56.6</w:t>
            </w:r>
          </w:p>
        </w:tc>
        <w:tc>
          <w:tcPr>
            <w:tcW w:w="115" w:type="pct"/>
            <w:vMerge w:val="continue"/>
            <w:shd w:val="clear" w:color="auto" w:fill="FFFFFF"/>
            <w:tcMar>
              <w:top w:w="0" w:type="dxa"/>
              <w:left w:w="0" w:type="dxa"/>
              <w:bottom w:w="0" w:type="dxa"/>
              <w:right w:w="0" w:type="dxa"/>
            </w:tcMar>
            <w:vAlign w:val="center"/>
          </w:tcPr>
          <w:p w14:paraId="3C1A642A">
            <w:pPr>
              <w:autoSpaceDE w:val="0"/>
              <w:autoSpaceDN w:val="0"/>
              <w:adjustRightInd w:val="0"/>
              <w:snapToGrid w:val="0"/>
              <w:jc w:val="center"/>
              <w:rPr>
                <w:color w:val="000000" w:themeColor="text1"/>
                <w:sz w:val="18"/>
                <w:szCs w:val="18"/>
                <w:lang w:eastAsia="en-US"/>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5B817EB7">
            <w:pPr>
              <w:autoSpaceDE w:val="0"/>
              <w:autoSpaceDN w:val="0"/>
              <w:adjustRightInd w:val="0"/>
              <w:snapToGrid w:val="0"/>
              <w:jc w:val="center"/>
              <w:rPr>
                <w:rFonts w:eastAsia="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11E71C0F">
            <w:pPr>
              <w:autoSpaceDE w:val="0"/>
              <w:autoSpaceDN w:val="0"/>
              <w:adjustRightInd w:val="0"/>
              <w:snapToGrid w:val="0"/>
              <w:jc w:val="center"/>
              <w:rPr>
                <w:rFonts w:eastAsia="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6A2C1C4D">
            <w:pPr>
              <w:autoSpaceDE w:val="0"/>
              <w:autoSpaceDN w:val="0"/>
              <w:adjustRightInd w:val="0"/>
              <w:snapToGrid w:val="0"/>
              <w:jc w:val="center"/>
              <w:rPr>
                <w:rFonts w:eastAsia="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3946A04C">
            <w:pPr>
              <w:autoSpaceDE w:val="0"/>
              <w:autoSpaceDN w:val="0"/>
              <w:adjustRightInd w:val="0"/>
              <w:snapToGrid w:val="0"/>
              <w:jc w:val="center"/>
              <w:rPr>
                <w:rFonts w:eastAsia="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658053C8">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35.7</w:t>
            </w:r>
          </w:p>
        </w:tc>
        <w:tc>
          <w:tcPr>
            <w:tcW w:w="133" w:type="pct"/>
            <w:shd w:val="clear" w:color="auto" w:fill="FFFFFF"/>
            <w:tcMar>
              <w:top w:w="0" w:type="dxa"/>
              <w:left w:w="0" w:type="dxa"/>
              <w:bottom w:w="0" w:type="dxa"/>
              <w:right w:w="0" w:type="dxa"/>
            </w:tcMar>
            <w:vAlign w:val="center"/>
          </w:tcPr>
          <w:p w14:paraId="071B0723">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35.6</w:t>
            </w:r>
          </w:p>
        </w:tc>
        <w:tc>
          <w:tcPr>
            <w:tcW w:w="133" w:type="pct"/>
            <w:shd w:val="clear" w:color="auto" w:fill="FFFFFF"/>
            <w:tcMar>
              <w:top w:w="0" w:type="dxa"/>
              <w:left w:w="0" w:type="dxa"/>
              <w:bottom w:w="0" w:type="dxa"/>
              <w:right w:w="0" w:type="dxa"/>
            </w:tcMar>
            <w:vAlign w:val="center"/>
          </w:tcPr>
          <w:p w14:paraId="32ED7746">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35.6</w:t>
            </w:r>
          </w:p>
        </w:tc>
        <w:tc>
          <w:tcPr>
            <w:tcW w:w="133" w:type="pct"/>
            <w:shd w:val="clear" w:color="auto" w:fill="FFFFFF"/>
            <w:tcMar>
              <w:top w:w="0" w:type="dxa"/>
              <w:left w:w="0" w:type="dxa"/>
              <w:bottom w:w="0" w:type="dxa"/>
              <w:right w:w="0" w:type="dxa"/>
            </w:tcMar>
            <w:vAlign w:val="center"/>
          </w:tcPr>
          <w:p w14:paraId="5B057CB0">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35.6</w:t>
            </w:r>
          </w:p>
        </w:tc>
        <w:tc>
          <w:tcPr>
            <w:tcW w:w="115" w:type="pct"/>
            <w:shd w:val="clear" w:color="auto" w:fill="FFFFFF"/>
            <w:tcMar>
              <w:top w:w="0" w:type="dxa"/>
              <w:left w:w="0" w:type="dxa"/>
              <w:bottom w:w="0" w:type="dxa"/>
              <w:right w:w="0" w:type="dxa"/>
            </w:tcMar>
            <w:vAlign w:val="center"/>
          </w:tcPr>
          <w:p w14:paraId="7C8D57FB">
            <w:pPr>
              <w:autoSpaceDE w:val="0"/>
              <w:autoSpaceDN w:val="0"/>
              <w:adjustRightInd w:val="0"/>
              <w:snapToGrid w:val="0"/>
              <w:jc w:val="center"/>
              <w:rPr>
                <w:rFonts w:eastAsiaTheme="minorEastAsia"/>
                <w:color w:val="000000" w:themeColor="text1"/>
                <w:sz w:val="18"/>
                <w:szCs w:val="18"/>
                <w14:textFill>
                  <w14:solidFill>
                    <w14:schemeClr w14:val="tx1"/>
                  </w14:solidFill>
                </w14:textFill>
              </w:rPr>
            </w:pPr>
            <w:r>
              <w:rPr>
                <w:rFonts w:eastAsiaTheme="minorEastAsia"/>
                <w:color w:val="000000" w:themeColor="text1"/>
                <w:sz w:val="18"/>
                <w:szCs w:val="18"/>
                <w14:textFill>
                  <w14:solidFill>
                    <w14:schemeClr w14:val="tx1"/>
                  </w14:solidFill>
                </w14:textFill>
              </w:rPr>
              <w:t>1m</w:t>
            </w:r>
          </w:p>
        </w:tc>
      </w:tr>
      <w:tr w14:paraId="4725D7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5F01E405">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75" w:type="pct"/>
            <w:vMerge w:val="continue"/>
            <w:shd w:val="clear" w:color="auto" w:fill="FFFFFF"/>
            <w:tcMar>
              <w:top w:w="0" w:type="dxa"/>
              <w:left w:w="0" w:type="dxa"/>
              <w:bottom w:w="0" w:type="dxa"/>
              <w:right w:w="0" w:type="dxa"/>
            </w:tcMar>
            <w:vAlign w:val="center"/>
          </w:tcPr>
          <w:p w14:paraId="66956B55">
            <w:pPr>
              <w:autoSpaceDE w:val="0"/>
              <w:autoSpaceDN w:val="0"/>
              <w:adjustRightInd w:val="0"/>
              <w:snapToGrid w:val="0"/>
              <w:jc w:val="center"/>
              <w:rPr>
                <w:color w:val="000000" w:themeColor="text1"/>
                <w:sz w:val="18"/>
                <w:szCs w:val="18"/>
                <w14:textFill>
                  <w14:solidFill>
                    <w14:schemeClr w14:val="tx1"/>
                  </w14:solidFill>
                </w14:textFill>
              </w:rPr>
            </w:pPr>
          </w:p>
        </w:tc>
        <w:tc>
          <w:tcPr>
            <w:tcW w:w="308" w:type="pct"/>
            <w:shd w:val="clear" w:color="auto" w:fill="FFFFFF"/>
            <w:tcMar>
              <w:top w:w="0" w:type="dxa"/>
              <w:left w:w="0" w:type="dxa"/>
              <w:bottom w:w="0" w:type="dxa"/>
              <w:right w:w="0" w:type="dxa"/>
            </w:tcMar>
            <w:vAlign w:val="center"/>
          </w:tcPr>
          <w:p w14:paraId="0D437BB7">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打护套机</w:t>
            </w:r>
          </w:p>
        </w:tc>
        <w:tc>
          <w:tcPr>
            <w:tcW w:w="299" w:type="pct"/>
            <w:shd w:val="clear" w:color="auto" w:fill="FFFFFF"/>
            <w:tcMar>
              <w:top w:w="0" w:type="dxa"/>
              <w:left w:w="0" w:type="dxa"/>
              <w:bottom w:w="0" w:type="dxa"/>
              <w:right w:w="0" w:type="dxa"/>
            </w:tcMar>
            <w:vAlign w:val="center"/>
          </w:tcPr>
          <w:p w14:paraId="70EDDB2B">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5台</w:t>
            </w:r>
          </w:p>
        </w:tc>
        <w:tc>
          <w:tcPr>
            <w:tcW w:w="202" w:type="pct"/>
            <w:shd w:val="clear" w:color="auto" w:fill="FFFFFF"/>
            <w:tcMar>
              <w:top w:w="0" w:type="dxa"/>
              <w:left w:w="0" w:type="dxa"/>
              <w:bottom w:w="0" w:type="dxa"/>
              <w:right w:w="0" w:type="dxa"/>
            </w:tcMar>
            <w:vAlign w:val="center"/>
          </w:tcPr>
          <w:p w14:paraId="6FFDE998">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70</w:t>
            </w:r>
          </w:p>
        </w:tc>
        <w:tc>
          <w:tcPr>
            <w:tcW w:w="353" w:type="pct"/>
            <w:shd w:val="clear" w:color="auto" w:fill="FFFFFF"/>
            <w:tcMar>
              <w:top w:w="0" w:type="dxa"/>
              <w:left w:w="0" w:type="dxa"/>
              <w:bottom w:w="0" w:type="dxa"/>
              <w:right w:w="0" w:type="dxa"/>
            </w:tcMar>
            <w:vAlign w:val="center"/>
          </w:tcPr>
          <w:p w14:paraId="7AF7587D">
            <w:pPr>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7E0A9F61">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55</w:t>
            </w:r>
          </w:p>
        </w:tc>
        <w:tc>
          <w:tcPr>
            <w:tcW w:w="251" w:type="pct"/>
            <w:shd w:val="clear" w:color="auto" w:fill="FFFFFF"/>
            <w:vAlign w:val="center"/>
          </w:tcPr>
          <w:p w14:paraId="789142B2">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61.99</w:t>
            </w:r>
          </w:p>
        </w:tc>
        <w:tc>
          <w:tcPr>
            <w:tcW w:w="168" w:type="pct"/>
            <w:shd w:val="clear" w:color="auto" w:fill="FFFFFF"/>
            <w:tcMar>
              <w:top w:w="0" w:type="dxa"/>
              <w:left w:w="0" w:type="dxa"/>
              <w:bottom w:w="0" w:type="dxa"/>
              <w:right w:w="0" w:type="dxa"/>
            </w:tcMar>
            <w:vAlign w:val="center"/>
          </w:tcPr>
          <w:p w14:paraId="77B8AD9B">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6.3</w:t>
            </w:r>
          </w:p>
        </w:tc>
        <w:tc>
          <w:tcPr>
            <w:tcW w:w="169" w:type="pct"/>
            <w:shd w:val="clear" w:color="auto" w:fill="FFFFFF"/>
            <w:tcMar>
              <w:top w:w="0" w:type="dxa"/>
              <w:left w:w="0" w:type="dxa"/>
              <w:bottom w:w="0" w:type="dxa"/>
              <w:right w:w="0" w:type="dxa"/>
            </w:tcMar>
            <w:vAlign w:val="center"/>
          </w:tcPr>
          <w:p w14:paraId="02E918C3">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1.1</w:t>
            </w:r>
          </w:p>
        </w:tc>
        <w:tc>
          <w:tcPr>
            <w:tcW w:w="169" w:type="pct"/>
            <w:shd w:val="clear" w:color="auto" w:fill="FFFFFF"/>
            <w:tcMar>
              <w:top w:w="0" w:type="dxa"/>
              <w:left w:w="0" w:type="dxa"/>
              <w:bottom w:w="0" w:type="dxa"/>
              <w:right w:w="0" w:type="dxa"/>
            </w:tcMar>
            <w:vAlign w:val="center"/>
          </w:tcPr>
          <w:p w14:paraId="43679149">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773D69F2">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8.9</w:t>
            </w:r>
          </w:p>
        </w:tc>
        <w:tc>
          <w:tcPr>
            <w:tcW w:w="151" w:type="pct"/>
            <w:shd w:val="clear" w:color="auto" w:fill="FFFFFF"/>
            <w:tcMar>
              <w:top w:w="0" w:type="dxa"/>
              <w:left w:w="0" w:type="dxa"/>
              <w:bottom w:w="0" w:type="dxa"/>
              <w:right w:w="0" w:type="dxa"/>
            </w:tcMar>
            <w:vAlign w:val="center"/>
          </w:tcPr>
          <w:p w14:paraId="0A166440">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33.8</w:t>
            </w:r>
          </w:p>
        </w:tc>
        <w:tc>
          <w:tcPr>
            <w:tcW w:w="151" w:type="pct"/>
            <w:shd w:val="clear" w:color="auto" w:fill="FFFFFF"/>
            <w:tcMar>
              <w:top w:w="0" w:type="dxa"/>
              <w:left w:w="0" w:type="dxa"/>
              <w:bottom w:w="0" w:type="dxa"/>
              <w:right w:w="0" w:type="dxa"/>
            </w:tcMar>
            <w:vAlign w:val="center"/>
          </w:tcPr>
          <w:p w14:paraId="18109E21">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19.3</w:t>
            </w:r>
          </w:p>
        </w:tc>
        <w:tc>
          <w:tcPr>
            <w:tcW w:w="152" w:type="pct"/>
            <w:shd w:val="clear" w:color="auto" w:fill="FFFFFF"/>
            <w:tcMar>
              <w:top w:w="0" w:type="dxa"/>
              <w:left w:w="0" w:type="dxa"/>
              <w:bottom w:w="0" w:type="dxa"/>
              <w:right w:w="0" w:type="dxa"/>
            </w:tcMar>
            <w:vAlign w:val="center"/>
          </w:tcPr>
          <w:p w14:paraId="508F1847">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25.0</w:t>
            </w:r>
          </w:p>
        </w:tc>
        <w:tc>
          <w:tcPr>
            <w:tcW w:w="138" w:type="pct"/>
            <w:shd w:val="clear" w:color="auto" w:fill="FFFFFF"/>
            <w:tcMar>
              <w:top w:w="0" w:type="dxa"/>
              <w:left w:w="0" w:type="dxa"/>
              <w:bottom w:w="0" w:type="dxa"/>
              <w:right w:w="0" w:type="dxa"/>
            </w:tcMar>
            <w:vAlign w:val="center"/>
          </w:tcPr>
          <w:p w14:paraId="1CA32FCA">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47.7</w:t>
            </w:r>
          </w:p>
        </w:tc>
        <w:tc>
          <w:tcPr>
            <w:tcW w:w="138" w:type="pct"/>
            <w:shd w:val="clear" w:color="auto" w:fill="FFFFFF"/>
            <w:tcMar>
              <w:top w:w="0" w:type="dxa"/>
              <w:left w:w="0" w:type="dxa"/>
              <w:bottom w:w="0" w:type="dxa"/>
              <w:right w:w="0" w:type="dxa"/>
            </w:tcMar>
            <w:vAlign w:val="center"/>
          </w:tcPr>
          <w:p w14:paraId="3B6D239D">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47.6</w:t>
            </w:r>
          </w:p>
        </w:tc>
        <w:tc>
          <w:tcPr>
            <w:tcW w:w="138" w:type="pct"/>
            <w:shd w:val="clear" w:color="auto" w:fill="FFFFFF"/>
            <w:tcMar>
              <w:top w:w="0" w:type="dxa"/>
              <w:left w:w="0" w:type="dxa"/>
              <w:bottom w:w="0" w:type="dxa"/>
              <w:right w:w="0" w:type="dxa"/>
            </w:tcMar>
            <w:vAlign w:val="center"/>
          </w:tcPr>
          <w:p w14:paraId="64FBFF98">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47.6</w:t>
            </w:r>
          </w:p>
        </w:tc>
        <w:tc>
          <w:tcPr>
            <w:tcW w:w="143" w:type="pct"/>
            <w:shd w:val="clear" w:color="auto" w:fill="FFFFFF"/>
            <w:tcMar>
              <w:top w:w="0" w:type="dxa"/>
              <w:left w:w="0" w:type="dxa"/>
              <w:bottom w:w="0" w:type="dxa"/>
              <w:right w:w="0" w:type="dxa"/>
            </w:tcMar>
            <w:vAlign w:val="center"/>
          </w:tcPr>
          <w:p w14:paraId="328967F3">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47.6</w:t>
            </w:r>
          </w:p>
        </w:tc>
        <w:tc>
          <w:tcPr>
            <w:tcW w:w="115" w:type="pct"/>
            <w:vMerge w:val="continue"/>
            <w:shd w:val="clear" w:color="auto" w:fill="FFFFFF"/>
            <w:tcMar>
              <w:top w:w="0" w:type="dxa"/>
              <w:left w:w="0" w:type="dxa"/>
              <w:bottom w:w="0" w:type="dxa"/>
              <w:right w:w="0" w:type="dxa"/>
            </w:tcMar>
            <w:vAlign w:val="center"/>
          </w:tcPr>
          <w:p w14:paraId="5C65A72C">
            <w:pPr>
              <w:autoSpaceDE w:val="0"/>
              <w:autoSpaceDN w:val="0"/>
              <w:adjustRightInd w:val="0"/>
              <w:snapToGrid w:val="0"/>
              <w:jc w:val="center"/>
              <w:rPr>
                <w:color w:val="000000" w:themeColor="text1"/>
                <w:sz w:val="18"/>
                <w:szCs w:val="18"/>
                <w:lang w:eastAsia="en-US"/>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42CB3147">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082E5906">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7519E1B1">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7CF42B13">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3E2567C5">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26.7</w:t>
            </w:r>
          </w:p>
        </w:tc>
        <w:tc>
          <w:tcPr>
            <w:tcW w:w="133" w:type="pct"/>
            <w:shd w:val="clear" w:color="auto" w:fill="FFFFFF"/>
            <w:tcMar>
              <w:top w:w="0" w:type="dxa"/>
              <w:left w:w="0" w:type="dxa"/>
              <w:bottom w:w="0" w:type="dxa"/>
              <w:right w:w="0" w:type="dxa"/>
            </w:tcMar>
            <w:vAlign w:val="center"/>
          </w:tcPr>
          <w:p w14:paraId="3C0AD1C0">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26.6</w:t>
            </w:r>
          </w:p>
        </w:tc>
        <w:tc>
          <w:tcPr>
            <w:tcW w:w="133" w:type="pct"/>
            <w:shd w:val="clear" w:color="auto" w:fill="FFFFFF"/>
            <w:tcMar>
              <w:top w:w="0" w:type="dxa"/>
              <w:left w:w="0" w:type="dxa"/>
              <w:bottom w:w="0" w:type="dxa"/>
              <w:right w:w="0" w:type="dxa"/>
            </w:tcMar>
            <w:vAlign w:val="center"/>
          </w:tcPr>
          <w:p w14:paraId="061D7CC8">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26.6</w:t>
            </w:r>
          </w:p>
        </w:tc>
        <w:tc>
          <w:tcPr>
            <w:tcW w:w="133" w:type="pct"/>
            <w:shd w:val="clear" w:color="auto" w:fill="FFFFFF"/>
            <w:tcMar>
              <w:top w:w="0" w:type="dxa"/>
              <w:left w:w="0" w:type="dxa"/>
              <w:bottom w:w="0" w:type="dxa"/>
              <w:right w:w="0" w:type="dxa"/>
            </w:tcMar>
            <w:vAlign w:val="center"/>
          </w:tcPr>
          <w:p w14:paraId="3448C9D1">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26.6</w:t>
            </w:r>
          </w:p>
        </w:tc>
        <w:tc>
          <w:tcPr>
            <w:tcW w:w="115" w:type="pct"/>
            <w:shd w:val="clear" w:color="auto" w:fill="FFFFFF"/>
            <w:tcMar>
              <w:top w:w="0" w:type="dxa"/>
              <w:left w:w="0" w:type="dxa"/>
              <w:bottom w:w="0" w:type="dxa"/>
              <w:right w:w="0" w:type="dxa"/>
            </w:tcMar>
            <w:vAlign w:val="center"/>
          </w:tcPr>
          <w:p w14:paraId="67732380">
            <w:pPr>
              <w:autoSpaceDE w:val="0"/>
              <w:autoSpaceDN w:val="0"/>
              <w:adjustRightInd w:val="0"/>
              <w:snapToGrid w:val="0"/>
              <w:jc w:val="center"/>
              <w:rPr>
                <w:rFonts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1m</w:t>
            </w:r>
          </w:p>
        </w:tc>
      </w:tr>
      <w:tr w14:paraId="115F00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 w:type="pct"/>
            <w:shd w:val="clear" w:color="auto" w:fill="FFFFFF"/>
            <w:tcMar>
              <w:top w:w="0" w:type="dxa"/>
              <w:left w:w="0" w:type="dxa"/>
              <w:bottom w:w="0" w:type="dxa"/>
              <w:right w:w="0" w:type="dxa"/>
            </w:tcMar>
            <w:vAlign w:val="center"/>
          </w:tcPr>
          <w:p w14:paraId="1C35C68F">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75" w:type="pct"/>
            <w:vMerge w:val="continue"/>
            <w:shd w:val="clear" w:color="auto" w:fill="FFFFFF"/>
            <w:tcMar>
              <w:top w:w="0" w:type="dxa"/>
              <w:left w:w="0" w:type="dxa"/>
              <w:bottom w:w="0" w:type="dxa"/>
              <w:right w:w="0" w:type="dxa"/>
            </w:tcMar>
            <w:vAlign w:val="center"/>
          </w:tcPr>
          <w:p w14:paraId="560F1292">
            <w:pPr>
              <w:autoSpaceDE w:val="0"/>
              <w:autoSpaceDN w:val="0"/>
              <w:adjustRightInd w:val="0"/>
              <w:snapToGrid w:val="0"/>
              <w:jc w:val="center"/>
              <w:rPr>
                <w:color w:val="000000" w:themeColor="text1"/>
                <w:sz w:val="18"/>
                <w:szCs w:val="18"/>
                <w14:textFill>
                  <w14:solidFill>
                    <w14:schemeClr w14:val="tx1"/>
                  </w14:solidFill>
                </w14:textFill>
              </w:rPr>
            </w:pPr>
          </w:p>
        </w:tc>
        <w:tc>
          <w:tcPr>
            <w:tcW w:w="308" w:type="pct"/>
            <w:shd w:val="clear" w:color="auto" w:fill="FFFFFF"/>
            <w:tcMar>
              <w:top w:w="0" w:type="dxa"/>
              <w:left w:w="0" w:type="dxa"/>
              <w:bottom w:w="0" w:type="dxa"/>
              <w:right w:w="0" w:type="dxa"/>
            </w:tcMar>
            <w:vAlign w:val="center"/>
          </w:tcPr>
          <w:p w14:paraId="1B4854D7">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紧线机</w:t>
            </w:r>
          </w:p>
        </w:tc>
        <w:tc>
          <w:tcPr>
            <w:tcW w:w="299" w:type="pct"/>
            <w:shd w:val="clear" w:color="auto" w:fill="FFFFFF"/>
            <w:tcMar>
              <w:top w:w="0" w:type="dxa"/>
              <w:left w:w="0" w:type="dxa"/>
              <w:bottom w:w="0" w:type="dxa"/>
              <w:right w:w="0" w:type="dxa"/>
            </w:tcMar>
            <w:vAlign w:val="center"/>
          </w:tcPr>
          <w:p w14:paraId="40EB81DD">
            <w:pPr>
              <w:autoSpaceDE w:val="0"/>
              <w:autoSpaceDN w:val="0"/>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8台</w:t>
            </w:r>
          </w:p>
        </w:tc>
        <w:tc>
          <w:tcPr>
            <w:tcW w:w="202" w:type="pct"/>
            <w:shd w:val="clear" w:color="auto" w:fill="FFFFFF"/>
            <w:tcMar>
              <w:top w:w="0" w:type="dxa"/>
              <w:left w:w="0" w:type="dxa"/>
              <w:bottom w:w="0" w:type="dxa"/>
              <w:right w:w="0" w:type="dxa"/>
            </w:tcMar>
            <w:vAlign w:val="center"/>
          </w:tcPr>
          <w:p w14:paraId="25E1D93F">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70</w:t>
            </w:r>
          </w:p>
        </w:tc>
        <w:tc>
          <w:tcPr>
            <w:tcW w:w="353" w:type="pct"/>
            <w:shd w:val="clear" w:color="auto" w:fill="FFFFFF"/>
            <w:tcMar>
              <w:top w:w="0" w:type="dxa"/>
              <w:left w:w="0" w:type="dxa"/>
              <w:bottom w:w="0" w:type="dxa"/>
              <w:right w:w="0" w:type="dxa"/>
            </w:tcMar>
            <w:vAlign w:val="center"/>
          </w:tcPr>
          <w:p w14:paraId="6458172F">
            <w:pPr>
              <w:adjustRightInd w:val="0"/>
              <w:snapToGrid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减振、隔声</w:t>
            </w:r>
          </w:p>
        </w:tc>
        <w:tc>
          <w:tcPr>
            <w:tcW w:w="250" w:type="pct"/>
            <w:shd w:val="clear" w:color="auto" w:fill="FFFFFF"/>
            <w:vAlign w:val="center"/>
          </w:tcPr>
          <w:p w14:paraId="227E42FD">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55</w:t>
            </w:r>
          </w:p>
        </w:tc>
        <w:tc>
          <w:tcPr>
            <w:tcW w:w="251" w:type="pct"/>
            <w:shd w:val="clear" w:color="auto" w:fill="FFFFFF"/>
            <w:vAlign w:val="center"/>
          </w:tcPr>
          <w:p w14:paraId="60DCA060">
            <w:pPr>
              <w:widowControl/>
              <w:adjustRightInd w:val="0"/>
              <w:snapToGrid w:val="0"/>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64.03</w:t>
            </w:r>
          </w:p>
        </w:tc>
        <w:tc>
          <w:tcPr>
            <w:tcW w:w="168" w:type="pct"/>
            <w:shd w:val="clear" w:color="auto" w:fill="FFFFFF"/>
            <w:tcMar>
              <w:top w:w="0" w:type="dxa"/>
              <w:left w:w="0" w:type="dxa"/>
              <w:bottom w:w="0" w:type="dxa"/>
              <w:right w:w="0" w:type="dxa"/>
            </w:tcMar>
            <w:vAlign w:val="center"/>
          </w:tcPr>
          <w:p w14:paraId="0B01731F">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8.6</w:t>
            </w:r>
          </w:p>
        </w:tc>
        <w:tc>
          <w:tcPr>
            <w:tcW w:w="169" w:type="pct"/>
            <w:shd w:val="clear" w:color="auto" w:fill="FFFFFF"/>
            <w:tcMar>
              <w:top w:w="0" w:type="dxa"/>
              <w:left w:w="0" w:type="dxa"/>
              <w:bottom w:w="0" w:type="dxa"/>
              <w:right w:w="0" w:type="dxa"/>
            </w:tcMar>
            <w:vAlign w:val="center"/>
          </w:tcPr>
          <w:p w14:paraId="51AA237C">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4.9</w:t>
            </w:r>
          </w:p>
        </w:tc>
        <w:tc>
          <w:tcPr>
            <w:tcW w:w="169" w:type="pct"/>
            <w:shd w:val="clear" w:color="auto" w:fill="FFFFFF"/>
            <w:tcMar>
              <w:top w:w="0" w:type="dxa"/>
              <w:left w:w="0" w:type="dxa"/>
              <w:bottom w:w="0" w:type="dxa"/>
              <w:right w:w="0" w:type="dxa"/>
            </w:tcMar>
            <w:vAlign w:val="center"/>
          </w:tcPr>
          <w:p w14:paraId="072020DF">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1.2</w:t>
            </w:r>
          </w:p>
        </w:tc>
        <w:tc>
          <w:tcPr>
            <w:tcW w:w="151" w:type="pct"/>
            <w:shd w:val="clear" w:color="auto" w:fill="FFFFFF"/>
            <w:tcMar>
              <w:top w:w="0" w:type="dxa"/>
              <w:left w:w="0" w:type="dxa"/>
              <w:bottom w:w="0" w:type="dxa"/>
              <w:right w:w="0" w:type="dxa"/>
            </w:tcMar>
            <w:vAlign w:val="center"/>
          </w:tcPr>
          <w:p w14:paraId="7699AFCC">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9.1</w:t>
            </w:r>
          </w:p>
        </w:tc>
        <w:tc>
          <w:tcPr>
            <w:tcW w:w="151" w:type="pct"/>
            <w:shd w:val="clear" w:color="auto" w:fill="FFFFFF"/>
            <w:tcMar>
              <w:top w:w="0" w:type="dxa"/>
              <w:left w:w="0" w:type="dxa"/>
              <w:bottom w:w="0" w:type="dxa"/>
              <w:right w:w="0" w:type="dxa"/>
            </w:tcMar>
            <w:vAlign w:val="center"/>
          </w:tcPr>
          <w:p w14:paraId="00FA2C6F">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38.2</w:t>
            </w:r>
          </w:p>
        </w:tc>
        <w:tc>
          <w:tcPr>
            <w:tcW w:w="151" w:type="pct"/>
            <w:shd w:val="clear" w:color="auto" w:fill="FFFFFF"/>
            <w:tcMar>
              <w:top w:w="0" w:type="dxa"/>
              <w:left w:w="0" w:type="dxa"/>
              <w:bottom w:w="0" w:type="dxa"/>
              <w:right w:w="0" w:type="dxa"/>
            </w:tcMar>
            <w:vAlign w:val="center"/>
          </w:tcPr>
          <w:p w14:paraId="1887539A">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19.1</w:t>
            </w:r>
          </w:p>
        </w:tc>
        <w:tc>
          <w:tcPr>
            <w:tcW w:w="152" w:type="pct"/>
            <w:shd w:val="clear" w:color="auto" w:fill="FFFFFF"/>
            <w:tcMar>
              <w:top w:w="0" w:type="dxa"/>
              <w:left w:w="0" w:type="dxa"/>
              <w:bottom w:w="0" w:type="dxa"/>
              <w:right w:w="0" w:type="dxa"/>
            </w:tcMar>
            <w:vAlign w:val="center"/>
          </w:tcPr>
          <w:p w14:paraId="1A9EF40B">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20.5</w:t>
            </w:r>
          </w:p>
        </w:tc>
        <w:tc>
          <w:tcPr>
            <w:tcW w:w="138" w:type="pct"/>
            <w:shd w:val="clear" w:color="auto" w:fill="FFFFFF"/>
            <w:tcMar>
              <w:top w:w="0" w:type="dxa"/>
              <w:left w:w="0" w:type="dxa"/>
              <w:bottom w:w="0" w:type="dxa"/>
              <w:right w:w="0" w:type="dxa"/>
            </w:tcMar>
            <w:vAlign w:val="center"/>
          </w:tcPr>
          <w:p w14:paraId="5F0518B5">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49.7</w:t>
            </w:r>
          </w:p>
        </w:tc>
        <w:tc>
          <w:tcPr>
            <w:tcW w:w="138" w:type="pct"/>
            <w:shd w:val="clear" w:color="auto" w:fill="FFFFFF"/>
            <w:tcMar>
              <w:top w:w="0" w:type="dxa"/>
              <w:left w:w="0" w:type="dxa"/>
              <w:bottom w:w="0" w:type="dxa"/>
              <w:right w:w="0" w:type="dxa"/>
            </w:tcMar>
            <w:vAlign w:val="center"/>
          </w:tcPr>
          <w:p w14:paraId="6191BD9E">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49.6</w:t>
            </w:r>
          </w:p>
        </w:tc>
        <w:tc>
          <w:tcPr>
            <w:tcW w:w="138" w:type="pct"/>
            <w:shd w:val="clear" w:color="auto" w:fill="FFFFFF"/>
            <w:tcMar>
              <w:top w:w="0" w:type="dxa"/>
              <w:left w:w="0" w:type="dxa"/>
              <w:bottom w:w="0" w:type="dxa"/>
              <w:right w:w="0" w:type="dxa"/>
            </w:tcMar>
            <w:vAlign w:val="center"/>
          </w:tcPr>
          <w:p w14:paraId="2F244119">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49.6</w:t>
            </w:r>
          </w:p>
        </w:tc>
        <w:tc>
          <w:tcPr>
            <w:tcW w:w="143" w:type="pct"/>
            <w:shd w:val="clear" w:color="auto" w:fill="FFFFFF"/>
            <w:tcMar>
              <w:top w:w="0" w:type="dxa"/>
              <w:left w:w="0" w:type="dxa"/>
              <w:bottom w:w="0" w:type="dxa"/>
              <w:right w:w="0" w:type="dxa"/>
            </w:tcMar>
            <w:vAlign w:val="center"/>
          </w:tcPr>
          <w:p w14:paraId="1CE228BC">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49.6</w:t>
            </w:r>
          </w:p>
        </w:tc>
        <w:tc>
          <w:tcPr>
            <w:tcW w:w="115" w:type="pct"/>
            <w:vMerge w:val="continue"/>
            <w:shd w:val="clear" w:color="auto" w:fill="FFFFFF"/>
            <w:tcMar>
              <w:top w:w="0" w:type="dxa"/>
              <w:left w:w="0" w:type="dxa"/>
              <w:bottom w:w="0" w:type="dxa"/>
              <w:right w:w="0" w:type="dxa"/>
            </w:tcMar>
            <w:vAlign w:val="center"/>
          </w:tcPr>
          <w:p w14:paraId="2B41872B">
            <w:pPr>
              <w:autoSpaceDE w:val="0"/>
              <w:autoSpaceDN w:val="0"/>
              <w:adjustRightInd w:val="0"/>
              <w:snapToGrid w:val="0"/>
              <w:jc w:val="center"/>
              <w:rPr>
                <w:color w:val="000000" w:themeColor="text1"/>
                <w:sz w:val="18"/>
                <w:szCs w:val="18"/>
                <w:lang w:eastAsia="en-US"/>
                <w14:textFill>
                  <w14:solidFill>
                    <w14:schemeClr w14:val="tx1"/>
                  </w14:solidFill>
                </w14:textFill>
              </w:rPr>
            </w:pPr>
          </w:p>
        </w:tc>
        <w:tc>
          <w:tcPr>
            <w:tcW w:w="151" w:type="pct"/>
            <w:shd w:val="clear" w:color="auto" w:fill="FFFFFF"/>
            <w:tcMar>
              <w:top w:w="0" w:type="dxa"/>
              <w:left w:w="0" w:type="dxa"/>
              <w:bottom w:w="0" w:type="dxa"/>
              <w:right w:w="0" w:type="dxa"/>
            </w:tcMar>
            <w:vAlign w:val="center"/>
          </w:tcPr>
          <w:p w14:paraId="0BEB526B">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5DC58585">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1" w:type="pct"/>
            <w:shd w:val="clear" w:color="auto" w:fill="FFFFFF"/>
            <w:tcMar>
              <w:top w:w="0" w:type="dxa"/>
              <w:left w:w="0" w:type="dxa"/>
              <w:bottom w:w="0" w:type="dxa"/>
              <w:right w:w="0" w:type="dxa"/>
            </w:tcMar>
            <w:vAlign w:val="center"/>
          </w:tcPr>
          <w:p w14:paraId="7DA0376C">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52" w:type="pct"/>
            <w:shd w:val="clear" w:color="auto" w:fill="FFFFFF"/>
            <w:tcMar>
              <w:top w:w="0" w:type="dxa"/>
              <w:left w:w="0" w:type="dxa"/>
              <w:bottom w:w="0" w:type="dxa"/>
              <w:right w:w="0" w:type="dxa"/>
            </w:tcMar>
            <w:vAlign w:val="center"/>
          </w:tcPr>
          <w:p w14:paraId="067B30F6">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21.0</w:t>
            </w:r>
          </w:p>
        </w:tc>
        <w:tc>
          <w:tcPr>
            <w:tcW w:w="133" w:type="pct"/>
            <w:shd w:val="clear" w:color="auto" w:fill="FFFFFF"/>
            <w:tcMar>
              <w:top w:w="0" w:type="dxa"/>
              <w:left w:w="0" w:type="dxa"/>
              <w:bottom w:w="0" w:type="dxa"/>
              <w:right w:w="0" w:type="dxa"/>
            </w:tcMar>
            <w:vAlign w:val="center"/>
          </w:tcPr>
          <w:p w14:paraId="3F11F142">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28.7</w:t>
            </w:r>
          </w:p>
        </w:tc>
        <w:tc>
          <w:tcPr>
            <w:tcW w:w="133" w:type="pct"/>
            <w:shd w:val="clear" w:color="auto" w:fill="FFFFFF"/>
            <w:tcMar>
              <w:top w:w="0" w:type="dxa"/>
              <w:left w:w="0" w:type="dxa"/>
              <w:bottom w:w="0" w:type="dxa"/>
              <w:right w:w="0" w:type="dxa"/>
            </w:tcMar>
            <w:vAlign w:val="center"/>
          </w:tcPr>
          <w:p w14:paraId="2E614B0B">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28.6</w:t>
            </w:r>
          </w:p>
        </w:tc>
        <w:tc>
          <w:tcPr>
            <w:tcW w:w="133" w:type="pct"/>
            <w:shd w:val="clear" w:color="auto" w:fill="FFFFFF"/>
            <w:tcMar>
              <w:top w:w="0" w:type="dxa"/>
              <w:left w:w="0" w:type="dxa"/>
              <w:bottom w:w="0" w:type="dxa"/>
              <w:right w:w="0" w:type="dxa"/>
            </w:tcMar>
            <w:vAlign w:val="center"/>
          </w:tcPr>
          <w:p w14:paraId="6588A535">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28.6</w:t>
            </w:r>
          </w:p>
        </w:tc>
        <w:tc>
          <w:tcPr>
            <w:tcW w:w="133" w:type="pct"/>
            <w:shd w:val="clear" w:color="auto" w:fill="FFFFFF"/>
            <w:tcMar>
              <w:top w:w="0" w:type="dxa"/>
              <w:left w:w="0" w:type="dxa"/>
              <w:bottom w:w="0" w:type="dxa"/>
              <w:right w:w="0" w:type="dxa"/>
            </w:tcMar>
            <w:vAlign w:val="center"/>
          </w:tcPr>
          <w:p w14:paraId="4636D5A5">
            <w:pPr>
              <w:autoSpaceDE w:val="0"/>
              <w:autoSpaceDN w:val="0"/>
              <w:adjustRightInd w:val="0"/>
              <w:snapToGrid w:val="0"/>
              <w:jc w:val="center"/>
              <w:rPr>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28.6</w:t>
            </w:r>
          </w:p>
        </w:tc>
        <w:tc>
          <w:tcPr>
            <w:tcW w:w="115" w:type="pct"/>
            <w:shd w:val="clear" w:color="auto" w:fill="FFFFFF"/>
            <w:tcMar>
              <w:top w:w="0" w:type="dxa"/>
              <w:left w:w="0" w:type="dxa"/>
              <w:bottom w:w="0" w:type="dxa"/>
              <w:right w:w="0" w:type="dxa"/>
            </w:tcMar>
            <w:vAlign w:val="center"/>
          </w:tcPr>
          <w:p w14:paraId="40AEEA4A">
            <w:pPr>
              <w:autoSpaceDE w:val="0"/>
              <w:autoSpaceDN w:val="0"/>
              <w:adjustRightInd w:val="0"/>
              <w:snapToGrid w:val="0"/>
              <w:jc w:val="center"/>
              <w:rPr>
                <w:rFonts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1m</w:t>
            </w:r>
          </w:p>
        </w:tc>
      </w:tr>
    </w:tbl>
    <w:p w14:paraId="0BC3F830">
      <w:pPr>
        <w:rPr>
          <w:color w:val="000000" w:themeColor="text1"/>
          <w14:textFill>
            <w14:solidFill>
              <w14:schemeClr w14:val="tx1"/>
            </w14:solidFill>
          </w14:textFill>
        </w:rPr>
      </w:pPr>
      <w:r>
        <w:rPr>
          <w:bCs/>
          <w:color w:val="000000" w:themeColor="text1"/>
          <w:szCs w:val="21"/>
          <w14:textFill>
            <w14:solidFill>
              <w14:schemeClr w14:val="tx1"/>
            </w14:solidFill>
          </w14:textFill>
        </w:rPr>
        <w:t>注：表中坐标以厂界中心（115.291404</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,28.304208</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）为坐标原点，正东向为X轴正方向，正北向为Y轴正方向。</w:t>
      </w:r>
    </w:p>
    <w:p w14:paraId="7814EED3">
      <w:pPr>
        <w:pStyle w:val="3"/>
        <w:rPr>
          <w:color w:val="000000" w:themeColor="text1"/>
          <w14:textFill>
            <w14:solidFill>
              <w14:schemeClr w14:val="tx1"/>
            </w14:solidFill>
          </w14:textFill>
        </w:rPr>
      </w:pPr>
    </w:p>
    <w:p w14:paraId="561B06FE">
      <w:pPr>
        <w:adjustRightInd w:val="0"/>
        <w:snapToGrid w:val="0"/>
        <w:spacing w:line="360" w:lineRule="auto"/>
        <w:rPr>
          <w:b/>
          <w:color w:val="000000" w:themeColor="text1"/>
          <w:kern w:val="0"/>
          <w:sz w:val="28"/>
          <w:szCs w:val="28"/>
          <w14:textFill>
            <w14:solidFill>
              <w14:schemeClr w14:val="tx1"/>
            </w14:solidFill>
          </w14:textFill>
        </w:rPr>
        <w:sectPr>
          <w:pgSz w:w="16840" w:h="11907" w:orient="landscape"/>
          <w:pgMar w:top="1080" w:right="1440" w:bottom="1080" w:left="1440" w:header="851" w:footer="851" w:gutter="0"/>
          <w:cols w:space="720" w:num="1"/>
          <w:docGrid w:linePitch="312" w:charSpace="0"/>
        </w:sectPr>
      </w:pPr>
    </w:p>
    <w:tbl>
      <w:tblPr>
        <w:tblStyle w:val="43"/>
        <w:tblW w:w="501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83"/>
        <w:gridCol w:w="9526"/>
      </w:tblGrid>
      <w:tr w14:paraId="3AB05D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54" w:type="dxa"/>
            <w:tcMar>
              <w:left w:w="28" w:type="dxa"/>
              <w:right w:w="28" w:type="dxa"/>
            </w:tcMar>
            <w:vAlign w:val="center"/>
          </w:tcPr>
          <w:p w14:paraId="65E81F4E">
            <w:pPr>
              <w:pStyle w:val="39"/>
              <w:adjustRightInd w:val="0"/>
              <w:snapToGrid w:val="0"/>
              <w:spacing w:before="0" w:beforeAutospacing="0" w:after="0" w:afterAutospacing="0"/>
              <w:jc w:val="center"/>
              <w:rPr>
                <w:rFonts w:ascii="Times New Roman" w:hAnsi="Times New Roman"/>
                <w:color w:val="000000" w:themeColor="text1"/>
                <w:kern w:val="2"/>
                <w14:textFill>
                  <w14:solidFill>
                    <w14:schemeClr w14:val="tx1"/>
                  </w14:solidFill>
                </w14:textFill>
              </w:rPr>
            </w:pPr>
            <w:r>
              <w:rPr>
                <w:rFonts w:ascii="Times New Roman" w:hAnsi="Times New Roman"/>
                <w:bCs/>
                <w:color w:val="000000" w:themeColor="text1"/>
                <w14:textFill>
                  <w14:solidFill>
                    <w14:schemeClr w14:val="tx1"/>
                  </w14:solidFill>
                </w14:textFill>
              </w:rPr>
              <w:t>运营期环境影响和保护措施</w:t>
            </w:r>
          </w:p>
        </w:tc>
        <w:tc>
          <w:tcPr>
            <w:tcW w:w="9289" w:type="dxa"/>
            <w:vAlign w:val="center"/>
          </w:tcPr>
          <w:p w14:paraId="1505D5CB">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2、噪声防治措施</w:t>
            </w:r>
          </w:p>
          <w:p w14:paraId="1BE79A2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本项目噪声源主要为生产设备产生的机械噪声。建设单位拟采取相应的降噪、减振措施，具体可参考以下措施：</w:t>
            </w:r>
          </w:p>
          <w:p w14:paraId="1F116FA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（1）从声源上控制，选择低噪声和符合国家噪声标准的设备。</w:t>
            </w:r>
          </w:p>
          <w:p w14:paraId="7AF46CC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（2）加强对高噪声设备维护，确保设备处于良好的运转状态，杜绝因设备不正常运转时产生的高噪声现象。</w:t>
            </w:r>
          </w:p>
          <w:p w14:paraId="0DFEAAE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（3）在设备和基础之间加弹簧和弹性材料制作的减振器或减振垫层以减少设备基础与墙体振动形成的噪声。</w:t>
            </w:r>
          </w:p>
          <w:p w14:paraId="7DEE020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（4）在机械设备结构的连接处作减振处理，如采用弹性的联轴节，弹性垫或其他装置。</w:t>
            </w:r>
          </w:p>
          <w:p w14:paraId="2ED1B325">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3、影响分析</w:t>
            </w:r>
          </w:p>
          <w:p w14:paraId="3DD2673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（1）预测模式</w:t>
            </w:r>
          </w:p>
          <w:p w14:paraId="4BCD609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根据《环境影响评价技术导则声环境》（HJ 2.4-2021），噪声预测计算的基本公式为：</w:t>
            </w:r>
          </w:p>
          <w:p w14:paraId="210098D8">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1）单个室外的点声源在预测点产生的声级计算基本公式</w:t>
            </w:r>
          </w:p>
          <w:p w14:paraId="2EF44B38">
            <w:pPr>
              <w:pStyle w:val="206"/>
              <w:spacing w:line="360" w:lineRule="auto"/>
              <w:ind w:firstLine="480"/>
              <w:jc w:val="center"/>
              <w:rPr>
                <w:rFonts w:cs="Times New Roman"/>
                <w:color w:val="000000" w:themeColor="text1"/>
                <w:lang w:val="en-US"/>
                <w14:textFill>
                  <w14:solidFill>
                    <w14:schemeClr w14:val="tx1"/>
                  </w14:solidFill>
                </w14:textFill>
              </w:rPr>
            </w:pPr>
            <w:r>
              <w:rPr>
                <w:rFonts w:cs="Times New Roman"/>
                <w:color w:val="000000" w:themeColor="text1"/>
                <w:lang w:val="en-US"/>
                <w14:textFill>
                  <w14:solidFill>
                    <w14:schemeClr w14:val="tx1"/>
                  </w14:solidFill>
                </w14:textFill>
              </w:rPr>
              <w:t>Lp(r)=Lw+DC-（Adiv+Aatm+Agr+Abar+Amisc）</w:t>
            </w:r>
          </w:p>
          <w:p w14:paraId="6CF6786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w:t>
            </w:r>
          </w:p>
          <w:p w14:paraId="46754E0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Lp(r)—预测点处声压级，dB；</w:t>
            </w:r>
          </w:p>
          <w:p w14:paraId="1D3F10E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Lw—由点声源产生的声功率级（A计权或倍频带），dB；</w:t>
            </w:r>
          </w:p>
          <w:p w14:paraId="1779184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DC—指向性校正，它描述点声源的等效连续声压级与产生声功率级Lw的全向点声源在规定方向的声级的偏差程度，dB；</w:t>
            </w:r>
          </w:p>
          <w:p w14:paraId="1BA5673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Adiv—几何发散引起的衰减，dB；</w:t>
            </w:r>
          </w:p>
          <w:p w14:paraId="337643E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Aatm—大气吸收引起的衰减，dB；</w:t>
            </w:r>
          </w:p>
          <w:p w14:paraId="5B1816B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Agr—地面效应引起的衰减，dB；</w:t>
            </w:r>
          </w:p>
          <w:p w14:paraId="462B3DF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Abar—声屏障引起的衰减，dB；</w:t>
            </w:r>
          </w:p>
          <w:p w14:paraId="03F6343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Amisc—其他多方面效应引起的衰减，dB。</w:t>
            </w:r>
          </w:p>
          <w:p w14:paraId="173E980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2）室内声源等效室外声源声功率级计算方法</w:t>
            </w:r>
          </w:p>
          <w:p w14:paraId="575BCB51">
            <w:pPr>
              <w:pStyle w:val="206"/>
              <w:spacing w:line="360" w:lineRule="auto"/>
              <w:ind w:firstLine="480"/>
              <w:rPr>
                <w:rFonts w:cs="Times New Roman"/>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rFonts w:cs="Times New Roman"/>
                <w:color w:val="000000" w:themeColor="text1"/>
                <w14:textFill>
                  <w14:solidFill>
                    <w14:schemeClr w14:val="tx1"/>
                  </w14:solidFill>
                </w14:textFill>
              </w:rPr>
              <w:t>某一室内声源靠近围护结构处产生的倍频带声压级的计算：</w:t>
            </w:r>
          </w:p>
          <w:p w14:paraId="7793BCC9">
            <w:pPr>
              <w:pStyle w:val="97"/>
              <w:framePr w:hSpace="0" w:wrap="auto" w:vAnchor="margin" w:hAnchor="text" w:xAlign="left" w:yAlign="inline"/>
              <w:ind w:firstLine="480"/>
              <w:jc w:val="center"/>
              <w:rPr>
                <w:b w:val="0"/>
                <w:color w:val="000000" w:themeColor="text1"/>
                <w14:textFill>
                  <w14:solidFill>
                    <w14:schemeClr w14:val="tx1"/>
                  </w14:solidFill>
                </w14:textFill>
              </w:rPr>
            </w:pPr>
            <w:r>
              <w:rPr>
                <w:b w:val="0"/>
                <w:color w:val="000000" w:themeColor="text1"/>
                <w14:textFill>
                  <w14:solidFill>
                    <w14:schemeClr w14:val="tx1"/>
                  </w14:solidFill>
                </w14:textFill>
              </w:rPr>
              <w:drawing>
                <wp:inline distT="0" distB="0" distL="0" distR="0">
                  <wp:extent cx="1590675" cy="40957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590675" cy="409575"/>
                          </a:xfrm>
                          <a:prstGeom prst="rect">
                            <a:avLst/>
                          </a:prstGeom>
                          <a:noFill/>
                          <a:ln>
                            <a:noFill/>
                          </a:ln>
                          <a:effectLst/>
                        </pic:spPr>
                      </pic:pic>
                    </a:graphicData>
                  </a:graphic>
                </wp:inline>
              </w:drawing>
            </w:r>
          </w:p>
          <w:p w14:paraId="79BE6D77">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式中：</w:t>
            </w:r>
          </w:p>
          <w:p w14:paraId="197A7794">
            <w:pPr>
              <w:pStyle w:val="206"/>
              <w:spacing w:line="360" w:lineRule="auto"/>
              <w:ind w:firstLine="436" w:firstLineChars="182"/>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Lp1—靠近开口处（或窗户）室内某倍频带的声压级或A声级，dB；</w:t>
            </w:r>
          </w:p>
          <w:p w14:paraId="0A4A1A4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Lw—点声源声功率级（A计权或倍频带），dB；</w:t>
            </w:r>
          </w:p>
          <w:p w14:paraId="57DF8B8E">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Q—指向性因数；通常对无指向性声源，当声源放在房间中心时，Q=1；当放在一面墙的中心时，Q=2；当放在两面墙夹角处时，Q=4；当放在三面墙夹角处时，Q=8。</w:t>
            </w:r>
          </w:p>
          <w:p w14:paraId="35F9BE6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R—房间常数；R=Sα/(1-α)，S为房间内表面面积，m2；α为平均吸声系数。</w:t>
            </w:r>
          </w:p>
          <w:p w14:paraId="490A138A">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r—声源到靠近围护结构某点处的距离，m。</w:t>
            </w:r>
          </w:p>
          <w:p w14:paraId="229C6FB9">
            <w:pPr>
              <w:pStyle w:val="206"/>
              <w:spacing w:line="360" w:lineRule="auto"/>
              <w:ind w:firstLine="480"/>
              <w:rPr>
                <w:rFonts w:cs="Times New Roman"/>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rFonts w:cs="Times New Roman"/>
                <w:color w:val="000000" w:themeColor="text1"/>
                <w14:textFill>
                  <w14:solidFill>
                    <w14:schemeClr w14:val="tx1"/>
                  </w14:solidFill>
                </w14:textFill>
              </w:rPr>
              <w:t>所有室内声源在围护结构处产生的i倍频带叠加声压的计算</w:t>
            </w:r>
          </w:p>
          <w:p w14:paraId="6676D6D5">
            <w:pPr>
              <w:pStyle w:val="97"/>
              <w:framePr w:hSpace="0" w:wrap="auto" w:vAnchor="margin" w:hAnchor="text" w:xAlign="left" w:yAlign="inline"/>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990725" cy="552450"/>
                  <wp:effectExtent l="0" t="0" r="0" b="0"/>
                  <wp:docPr id="3" name="图片 3"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s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990725" cy="552492"/>
                          </a:xfrm>
                          <a:prstGeom prst="rect">
                            <a:avLst/>
                          </a:prstGeom>
                          <a:noFill/>
                          <a:ln>
                            <a:noFill/>
                          </a:ln>
                        </pic:spPr>
                      </pic:pic>
                    </a:graphicData>
                  </a:graphic>
                </wp:inline>
              </w:drawing>
            </w:r>
          </w:p>
          <w:p w14:paraId="781CA648">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w:t>
            </w:r>
          </w:p>
          <w:p w14:paraId="7E24107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Lp1i(T)—靠近围护结构处室内N个声源i倍频带的叠加声压级，dB；</w:t>
            </w:r>
          </w:p>
          <w:p w14:paraId="489980D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Lp1ij(T)—室内j声源i倍频带的声压级，dB；</w:t>
            </w:r>
          </w:p>
          <w:p w14:paraId="43EFEA68">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N—室内声源总数。</w:t>
            </w:r>
          </w:p>
          <w:p w14:paraId="660063C2">
            <w:pPr>
              <w:pStyle w:val="206"/>
              <w:spacing w:line="360" w:lineRule="auto"/>
              <w:ind w:firstLine="480"/>
              <w:rPr>
                <w:rFonts w:cs="Times New Roman"/>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③</w:t>
            </w:r>
            <w:r>
              <w:rPr>
                <w:rFonts w:cs="Times New Roman"/>
                <w:color w:val="000000" w:themeColor="text1"/>
                <w14:textFill>
                  <w14:solidFill>
                    <w14:schemeClr w14:val="tx1"/>
                  </w14:solidFill>
                </w14:textFill>
              </w:rPr>
              <w:t>靠近室外围护结构处的声压级的计算</w:t>
            </w:r>
          </w:p>
          <w:p w14:paraId="37FFEA5C">
            <w:pPr>
              <w:pStyle w:val="206"/>
              <w:spacing w:line="360" w:lineRule="auto"/>
              <w:ind w:firstLine="480"/>
              <w:jc w:val="center"/>
              <w:rPr>
                <w:rFonts w:cs="Times New Roman"/>
                <w:color w:val="000000" w:themeColor="text1"/>
                <w:lang w:val="en-US"/>
                <w14:textFill>
                  <w14:solidFill>
                    <w14:schemeClr w14:val="tx1"/>
                  </w14:solidFill>
                </w14:textFill>
              </w:rPr>
            </w:pPr>
            <w:r>
              <w:rPr>
                <w:rFonts w:cs="Times New Roman"/>
                <w:color w:val="000000" w:themeColor="text1"/>
                <w:lang w:val="en-US"/>
                <w14:textFill>
                  <w14:solidFill>
                    <w14:schemeClr w14:val="tx1"/>
                  </w14:solidFill>
                </w14:textFill>
              </w:rPr>
              <w:t>LP2i(T)=Lp1i(T)-（TLi+6）</w:t>
            </w:r>
          </w:p>
          <w:p w14:paraId="6FCE9FF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w:t>
            </w:r>
          </w:p>
          <w:p w14:paraId="64DAB631">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Lp2i(T)—靠近围护结构处室外N个声源i倍频带的叠加声压级，dB；</w:t>
            </w:r>
          </w:p>
          <w:p w14:paraId="358C6751">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Lp2i(T)—靠近围护结构处室内N个声源i倍频带的叠加声压级，dB；</w:t>
            </w:r>
          </w:p>
          <w:p w14:paraId="66646F6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TLi—围护结构i倍频带的隔声量，dB。</w:t>
            </w:r>
          </w:p>
          <w:p w14:paraId="3611DE17">
            <w:pPr>
              <w:pStyle w:val="206"/>
              <w:spacing w:line="360" w:lineRule="auto"/>
              <w:ind w:firstLine="480"/>
              <w:rPr>
                <w:rFonts w:cs="Times New Roman"/>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④</w:t>
            </w:r>
            <w:r>
              <w:rPr>
                <w:rFonts w:cs="Times New Roman"/>
                <w:color w:val="000000" w:themeColor="text1"/>
                <w14:textFill>
                  <w14:solidFill>
                    <w14:schemeClr w14:val="tx1"/>
                  </w14:solidFill>
                </w14:textFill>
              </w:rPr>
              <w:t>等效的室外声源中心位置位于透声面积（S）处的等效声源的倍频带声功率级的计算</w:t>
            </w:r>
          </w:p>
          <w:p w14:paraId="6681E9E0">
            <w:pPr>
              <w:pStyle w:val="206"/>
              <w:spacing w:line="360" w:lineRule="auto"/>
              <w:ind w:firstLine="48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Lw=Lp2(T)+10lgS</w:t>
            </w:r>
          </w:p>
          <w:p w14:paraId="20F62831">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3）工业企业噪声计算</w:t>
            </w:r>
          </w:p>
          <w:p w14:paraId="1E70B645">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设第i个室外声源在预测点产生的A声级为LAi，在T时间内该声源工作时间ti；第j个等效室外声源在预测点产生的A声级为LAj，在T时间内该声源工作时间为tj，则拟建工程声源对预测点产生的贡献值（Leqg）为：</w:t>
            </w:r>
          </w:p>
          <w:p w14:paraId="650D4011">
            <w:pPr>
              <w:pStyle w:val="97"/>
              <w:framePr w:hSpace="0" w:wrap="auto" w:vAnchor="margin" w:hAnchor="text" w:xAlign="left" w:yAlign="inline"/>
              <w:ind w:firstLine="480"/>
              <w:jc w:val="center"/>
              <w:rPr>
                <w:b w:val="0"/>
                <w:color w:val="000000" w:themeColor="text1"/>
                <w14:textFill>
                  <w14:solidFill>
                    <w14:schemeClr w14:val="tx1"/>
                  </w14:solidFill>
                </w14:textFill>
              </w:rPr>
            </w:pPr>
            <w:r>
              <w:rPr>
                <w:b w:val="0"/>
                <w:color w:val="000000" w:themeColor="text1"/>
                <w14:textFill>
                  <w14:solidFill>
                    <w14:schemeClr w14:val="tx1"/>
                  </w14:solidFill>
                </w14:textFill>
              </w:rPr>
              <w:drawing>
                <wp:inline distT="0" distB="0" distL="0" distR="0">
                  <wp:extent cx="2066925" cy="457200"/>
                  <wp:effectExtent l="0" t="0" r="0" b="0"/>
                  <wp:docPr id="10" name="图片 10" descr="file:///H:\微信文件记录\WeChat%252520Files\wxid_cvo1xpkdpdd422\FileStorage\File\Documents\WeChat%252520Files\wxid_cvo1xpkdpdd422\FileStorage\ADMINI~1\AppData\Local\Temp\ksohtml749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le:///H:\微信文件记录\WeChat%252520Files\wxid_cvo1xpkdpdd422\FileStorage\File\Documents\WeChat%252520Files\wxid_cvo1xpkdpdd422\FileStorage\ADMINI~1\AppData\Local\Temp\ksohtml7492\wps3.jpg"/>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a:xfrm>
                            <a:off x="0" y="0"/>
                            <a:ext cx="2066925" cy="457200"/>
                          </a:xfrm>
                          <a:prstGeom prst="rect">
                            <a:avLst/>
                          </a:prstGeom>
                          <a:noFill/>
                          <a:ln>
                            <a:noFill/>
                          </a:ln>
                          <a:effectLst/>
                        </pic:spPr>
                      </pic:pic>
                    </a:graphicData>
                  </a:graphic>
                </wp:inline>
              </w:drawing>
            </w:r>
          </w:p>
          <w:p w14:paraId="485FC58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w:t>
            </w:r>
          </w:p>
          <w:p w14:paraId="1D2AE2AE">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Leqg—建设项目声源在预测点产生的噪声贡献值，dB；</w:t>
            </w:r>
          </w:p>
          <w:p w14:paraId="1146FDF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T—用于计算等效声级的时间，s；</w:t>
            </w:r>
          </w:p>
          <w:p w14:paraId="6B8A7F0A">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N—室外声源个数；</w:t>
            </w:r>
          </w:p>
          <w:p w14:paraId="3B38A25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ti—在T时间内i声源工作时间，s；</w:t>
            </w:r>
          </w:p>
          <w:p w14:paraId="06B79E5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M—等效室外声源个数。</w:t>
            </w:r>
          </w:p>
          <w:p w14:paraId="4D417FAA">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tj—在T时间内j声源工作时间，s；</w:t>
            </w:r>
          </w:p>
          <w:p w14:paraId="64CB685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4）预测点的噪声预测值（Leq）的计算</w:t>
            </w:r>
          </w:p>
          <w:p w14:paraId="6A6F75D3">
            <w:pPr>
              <w:pStyle w:val="206"/>
              <w:spacing w:line="360" w:lineRule="auto"/>
              <w:ind w:firstLine="480"/>
              <w:jc w:val="center"/>
              <w:rPr>
                <w:rFonts w:cs="Times New Roman"/>
                <w:color w:val="000000" w:themeColor="text1"/>
                <w14:textFill>
                  <w14:solidFill>
                    <w14:schemeClr w14:val="tx1"/>
                  </w14:solidFill>
                </w14:textFill>
              </w:rPr>
            </w:pPr>
            <w:r>
              <w:rPr>
                <w:rFonts w:cs="Times New Roman"/>
                <w:color w:val="000000" w:themeColor="text1"/>
                <w:lang w:val="en-US"/>
                <w14:textFill>
                  <w14:solidFill>
                    <w14:schemeClr w14:val="tx1"/>
                  </w14:solidFill>
                </w14:textFill>
              </w:rPr>
              <w:drawing>
                <wp:inline distT="0" distB="0" distL="0" distR="0">
                  <wp:extent cx="1885950" cy="3143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885950" cy="314325"/>
                          </a:xfrm>
                          <a:prstGeom prst="rect">
                            <a:avLst/>
                          </a:prstGeom>
                          <a:noFill/>
                          <a:ln>
                            <a:noFill/>
                          </a:ln>
                        </pic:spPr>
                      </pic:pic>
                    </a:graphicData>
                  </a:graphic>
                </wp:inline>
              </w:drawing>
            </w:r>
          </w:p>
          <w:p w14:paraId="510808C7">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w:t>
            </w:r>
          </w:p>
          <w:p w14:paraId="3C458E1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Leq—预测点的等效声级贡献值，dB；</w:t>
            </w:r>
          </w:p>
          <w:p w14:paraId="5367D87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Leqg—建设项目声源在预测点产生的噪声贡献值，dB；</w:t>
            </w:r>
          </w:p>
          <w:p w14:paraId="51E9746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Leqb—预测点的背景噪声值，dB；</w:t>
            </w:r>
          </w:p>
          <w:p w14:paraId="04244FD8">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（2）预测结果与分析</w:t>
            </w:r>
          </w:p>
          <w:p w14:paraId="0017C79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厂界噪声排放预测结果详见</w:t>
            </w:r>
            <w:r>
              <w:rPr>
                <w:rFonts w:hint="eastAsia" w:cs="Times New Roman"/>
                <w:color w:val="000000" w:themeColor="text1"/>
                <w14:textFill>
                  <w14:solidFill>
                    <w14:schemeClr w14:val="tx1"/>
                  </w14:solidFill>
                </w14:textFill>
              </w:rPr>
              <w:t>下</w:t>
            </w:r>
            <w:r>
              <w:rPr>
                <w:rFonts w:cs="Times New Roman"/>
                <w:color w:val="000000" w:themeColor="text1"/>
                <w14:textFill>
                  <w14:solidFill>
                    <w14:schemeClr w14:val="tx1"/>
                  </w14:solidFill>
                </w14:textFill>
              </w:rPr>
              <w:t>表：</w:t>
            </w:r>
          </w:p>
          <w:p w14:paraId="2B4FE510">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  噪声源强及预测值一览表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875"/>
              <w:gridCol w:w="876"/>
              <w:gridCol w:w="878"/>
              <w:gridCol w:w="1083"/>
              <w:gridCol w:w="1546"/>
              <w:gridCol w:w="1548"/>
              <w:gridCol w:w="1293"/>
            </w:tblGrid>
            <w:tr w14:paraId="0CF94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vMerge w:val="restart"/>
                  <w:vAlign w:val="center"/>
                </w:tcPr>
                <w:p w14:paraId="3313530F">
                  <w:pPr>
                    <w:jc w:val="center"/>
                    <w:rPr>
                      <w:color w:val="000000" w:themeColor="text1"/>
                      <w:kern w:val="0"/>
                      <w:szCs w:val="21"/>
                      <w14:textFill>
                        <w14:solidFill>
                          <w14:schemeClr w14:val="tx1"/>
                        </w14:solidFill>
                      </w14:textFill>
                    </w:rPr>
                  </w:pPr>
                  <w:r>
                    <w:rPr>
                      <w:b/>
                      <w:color w:val="000000" w:themeColor="text1"/>
                      <w:szCs w:val="21"/>
                      <w14:textFill>
                        <w14:solidFill>
                          <w14:schemeClr w14:val="tx1"/>
                        </w14:solidFill>
                      </w14:textFill>
                    </w:rPr>
                    <w:t>预测方位</w:t>
                  </w:r>
                </w:p>
              </w:tc>
              <w:tc>
                <w:tcPr>
                  <w:tcW w:w="1414" w:type="pct"/>
                  <w:gridSpan w:val="3"/>
                  <w:vAlign w:val="center"/>
                </w:tcPr>
                <w:p w14:paraId="07662910">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最大值点空间相对位置/m</w:t>
                  </w:r>
                </w:p>
              </w:tc>
              <w:tc>
                <w:tcPr>
                  <w:tcW w:w="582" w:type="pct"/>
                  <w:vMerge w:val="restart"/>
                  <w:vAlign w:val="center"/>
                </w:tcPr>
                <w:p w14:paraId="754210A5">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时段</w:t>
                  </w:r>
                </w:p>
              </w:tc>
              <w:tc>
                <w:tcPr>
                  <w:tcW w:w="831" w:type="pct"/>
                  <w:vMerge w:val="restart"/>
                  <w:vAlign w:val="center"/>
                </w:tcPr>
                <w:p w14:paraId="02856EE0">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贡献值（dB(A)）</w:t>
                  </w:r>
                </w:p>
              </w:tc>
              <w:tc>
                <w:tcPr>
                  <w:tcW w:w="832" w:type="pct"/>
                  <w:vMerge w:val="restart"/>
                  <w:vAlign w:val="center"/>
                </w:tcPr>
                <w:p w14:paraId="53FB2E43">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标准限值（dB(A)）</w:t>
                  </w:r>
                </w:p>
              </w:tc>
              <w:tc>
                <w:tcPr>
                  <w:tcW w:w="695" w:type="pct"/>
                  <w:vMerge w:val="restart"/>
                  <w:vAlign w:val="center"/>
                </w:tcPr>
                <w:p w14:paraId="662AA498">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达标情况</w:t>
                  </w:r>
                </w:p>
              </w:tc>
            </w:tr>
            <w:tr w14:paraId="6E8A0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vMerge w:val="continue"/>
                  <w:vAlign w:val="center"/>
                </w:tcPr>
                <w:p w14:paraId="531B8817">
                  <w:pPr>
                    <w:widowControl/>
                    <w:jc w:val="center"/>
                    <w:rPr>
                      <w:color w:val="000000" w:themeColor="text1"/>
                      <w:szCs w:val="21"/>
                      <w14:textFill>
                        <w14:solidFill>
                          <w14:schemeClr w14:val="tx1"/>
                        </w14:solidFill>
                      </w14:textFill>
                    </w:rPr>
                  </w:pPr>
                </w:p>
              </w:tc>
              <w:tc>
                <w:tcPr>
                  <w:tcW w:w="471" w:type="pct"/>
                  <w:shd w:val="clear" w:color="auto" w:fill="FFFFFF"/>
                  <w:vAlign w:val="center"/>
                </w:tcPr>
                <w:p w14:paraId="6240B71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X</w:t>
                  </w:r>
                </w:p>
              </w:tc>
              <w:tc>
                <w:tcPr>
                  <w:tcW w:w="471" w:type="pct"/>
                  <w:shd w:val="clear" w:color="auto" w:fill="FFFFFF"/>
                  <w:vAlign w:val="center"/>
                </w:tcPr>
                <w:p w14:paraId="67BDCEC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Y</w:t>
                  </w:r>
                </w:p>
              </w:tc>
              <w:tc>
                <w:tcPr>
                  <w:tcW w:w="472" w:type="pct"/>
                  <w:shd w:val="clear" w:color="auto" w:fill="FFFFFF"/>
                  <w:vAlign w:val="center"/>
                </w:tcPr>
                <w:p w14:paraId="77B313D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Z</w:t>
                  </w:r>
                </w:p>
              </w:tc>
              <w:tc>
                <w:tcPr>
                  <w:tcW w:w="582" w:type="pct"/>
                  <w:vMerge w:val="continue"/>
                  <w:vAlign w:val="center"/>
                </w:tcPr>
                <w:p w14:paraId="2C0E087C">
                  <w:pPr>
                    <w:widowControl/>
                    <w:jc w:val="center"/>
                    <w:rPr>
                      <w:color w:val="000000" w:themeColor="text1"/>
                      <w:szCs w:val="21"/>
                      <w14:textFill>
                        <w14:solidFill>
                          <w14:schemeClr w14:val="tx1"/>
                        </w14:solidFill>
                      </w14:textFill>
                    </w:rPr>
                  </w:pPr>
                </w:p>
              </w:tc>
              <w:tc>
                <w:tcPr>
                  <w:tcW w:w="831" w:type="pct"/>
                  <w:vMerge w:val="continue"/>
                  <w:vAlign w:val="center"/>
                </w:tcPr>
                <w:p w14:paraId="316858FC">
                  <w:pPr>
                    <w:widowControl/>
                    <w:jc w:val="center"/>
                    <w:rPr>
                      <w:color w:val="000000" w:themeColor="text1"/>
                      <w:szCs w:val="21"/>
                      <w14:textFill>
                        <w14:solidFill>
                          <w14:schemeClr w14:val="tx1"/>
                        </w14:solidFill>
                      </w14:textFill>
                    </w:rPr>
                  </w:pPr>
                </w:p>
              </w:tc>
              <w:tc>
                <w:tcPr>
                  <w:tcW w:w="832" w:type="pct"/>
                  <w:vMerge w:val="continue"/>
                  <w:vAlign w:val="center"/>
                </w:tcPr>
                <w:p w14:paraId="0B2A9085">
                  <w:pPr>
                    <w:widowControl/>
                    <w:jc w:val="center"/>
                    <w:rPr>
                      <w:color w:val="000000" w:themeColor="text1"/>
                      <w:szCs w:val="21"/>
                      <w14:textFill>
                        <w14:solidFill>
                          <w14:schemeClr w14:val="tx1"/>
                        </w14:solidFill>
                      </w14:textFill>
                    </w:rPr>
                  </w:pPr>
                </w:p>
              </w:tc>
              <w:tc>
                <w:tcPr>
                  <w:tcW w:w="695" w:type="pct"/>
                  <w:vMerge w:val="continue"/>
                  <w:vAlign w:val="center"/>
                </w:tcPr>
                <w:p w14:paraId="7AF6F10A">
                  <w:pPr>
                    <w:widowControl/>
                    <w:jc w:val="center"/>
                    <w:rPr>
                      <w:color w:val="000000" w:themeColor="text1"/>
                      <w:szCs w:val="21"/>
                      <w14:textFill>
                        <w14:solidFill>
                          <w14:schemeClr w14:val="tx1"/>
                        </w14:solidFill>
                      </w14:textFill>
                    </w:rPr>
                  </w:pPr>
                </w:p>
              </w:tc>
            </w:tr>
            <w:tr w14:paraId="24065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shd w:val="clear" w:color="auto" w:fill="FFFFFF"/>
                  <w:vAlign w:val="center"/>
                </w:tcPr>
                <w:p w14:paraId="40F0215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东侧</w:t>
                  </w:r>
                </w:p>
              </w:tc>
              <w:tc>
                <w:tcPr>
                  <w:tcW w:w="471" w:type="pct"/>
                  <w:shd w:val="clear" w:color="auto" w:fill="FFFFFF"/>
                  <w:vAlign w:val="center"/>
                </w:tcPr>
                <w:p w14:paraId="573C6A9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3.9</w:t>
                  </w:r>
                </w:p>
              </w:tc>
              <w:tc>
                <w:tcPr>
                  <w:tcW w:w="471" w:type="pct"/>
                  <w:shd w:val="clear" w:color="auto" w:fill="FFFFFF"/>
                  <w:vAlign w:val="center"/>
                </w:tcPr>
                <w:p w14:paraId="43D2D89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-23.4</w:t>
                  </w:r>
                </w:p>
              </w:tc>
              <w:tc>
                <w:tcPr>
                  <w:tcW w:w="472" w:type="pct"/>
                  <w:shd w:val="clear" w:color="auto" w:fill="FFFFFF"/>
                  <w:vAlign w:val="center"/>
                </w:tcPr>
                <w:p w14:paraId="0ACCAEC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1.2</w:t>
                  </w:r>
                </w:p>
              </w:tc>
              <w:tc>
                <w:tcPr>
                  <w:tcW w:w="582" w:type="pct"/>
                  <w:shd w:val="clear" w:color="auto" w:fill="FFFFFF"/>
                  <w:vAlign w:val="center"/>
                </w:tcPr>
                <w:p w14:paraId="695963BA">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昼间</w:t>
                  </w:r>
                </w:p>
              </w:tc>
              <w:tc>
                <w:tcPr>
                  <w:tcW w:w="831" w:type="pct"/>
                  <w:shd w:val="clear" w:color="auto" w:fill="FFFFFF"/>
                  <w:vAlign w:val="center"/>
                </w:tcPr>
                <w:p w14:paraId="2553BE33">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57.8</w:t>
                  </w:r>
                </w:p>
              </w:tc>
              <w:tc>
                <w:tcPr>
                  <w:tcW w:w="832" w:type="pct"/>
                  <w:shd w:val="clear" w:color="auto" w:fill="FFFFFF"/>
                  <w:vAlign w:val="center"/>
                </w:tcPr>
                <w:p w14:paraId="18B46606">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w:t>
                  </w:r>
                </w:p>
              </w:tc>
              <w:tc>
                <w:tcPr>
                  <w:tcW w:w="695" w:type="pct"/>
                  <w:shd w:val="clear" w:color="auto" w:fill="FFFFFF"/>
                  <w:vAlign w:val="center"/>
                </w:tcPr>
                <w:p w14:paraId="5BBAB03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0A5A6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shd w:val="clear" w:color="auto" w:fill="FFFFFF"/>
                  <w:vAlign w:val="center"/>
                </w:tcPr>
                <w:p w14:paraId="22DC5F5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南侧</w:t>
                  </w:r>
                </w:p>
              </w:tc>
              <w:tc>
                <w:tcPr>
                  <w:tcW w:w="471" w:type="pct"/>
                  <w:shd w:val="clear" w:color="auto" w:fill="FFFFFF"/>
                  <w:vAlign w:val="center"/>
                </w:tcPr>
                <w:p w14:paraId="7B4178FE">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-18.4</w:t>
                  </w:r>
                </w:p>
              </w:tc>
              <w:tc>
                <w:tcPr>
                  <w:tcW w:w="471" w:type="pct"/>
                  <w:shd w:val="clear" w:color="auto" w:fill="FFFFFF"/>
                  <w:vAlign w:val="center"/>
                </w:tcPr>
                <w:p w14:paraId="19CBAEE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-24.5</w:t>
                  </w:r>
                </w:p>
              </w:tc>
              <w:tc>
                <w:tcPr>
                  <w:tcW w:w="472" w:type="pct"/>
                  <w:shd w:val="clear" w:color="auto" w:fill="FFFFFF"/>
                  <w:vAlign w:val="center"/>
                </w:tcPr>
                <w:p w14:paraId="360256F2">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1.2</w:t>
                  </w:r>
                </w:p>
              </w:tc>
              <w:tc>
                <w:tcPr>
                  <w:tcW w:w="582" w:type="pct"/>
                  <w:shd w:val="clear" w:color="auto" w:fill="FFFFFF"/>
                  <w:vAlign w:val="center"/>
                </w:tcPr>
                <w:p w14:paraId="12CE5922">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昼间</w:t>
                  </w:r>
                </w:p>
              </w:tc>
              <w:tc>
                <w:tcPr>
                  <w:tcW w:w="831" w:type="pct"/>
                  <w:shd w:val="clear" w:color="auto" w:fill="FFFFFF"/>
                  <w:vAlign w:val="center"/>
                </w:tcPr>
                <w:p w14:paraId="113E3151">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47.7</w:t>
                  </w:r>
                </w:p>
              </w:tc>
              <w:tc>
                <w:tcPr>
                  <w:tcW w:w="832" w:type="pct"/>
                  <w:shd w:val="clear" w:color="auto" w:fill="FFFFFF"/>
                  <w:vAlign w:val="center"/>
                </w:tcPr>
                <w:p w14:paraId="19F69A3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w:t>
                  </w:r>
                </w:p>
              </w:tc>
              <w:tc>
                <w:tcPr>
                  <w:tcW w:w="695" w:type="pct"/>
                  <w:shd w:val="clear" w:color="auto" w:fill="FFFFFF"/>
                  <w:vAlign w:val="center"/>
                </w:tcPr>
                <w:p w14:paraId="2487D74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5903F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shd w:val="clear" w:color="auto" w:fill="FFFFFF"/>
                  <w:vAlign w:val="center"/>
                </w:tcPr>
                <w:p w14:paraId="49FB7CF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西侧</w:t>
                  </w:r>
                </w:p>
              </w:tc>
              <w:tc>
                <w:tcPr>
                  <w:tcW w:w="471" w:type="pct"/>
                  <w:shd w:val="clear" w:color="auto" w:fill="FFFFFF"/>
                  <w:vAlign w:val="center"/>
                </w:tcPr>
                <w:p w14:paraId="4FF588B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-11.8</w:t>
                  </w:r>
                </w:p>
              </w:tc>
              <w:tc>
                <w:tcPr>
                  <w:tcW w:w="471" w:type="pct"/>
                  <w:shd w:val="clear" w:color="auto" w:fill="FFFFFF"/>
                  <w:vAlign w:val="center"/>
                </w:tcPr>
                <w:p w14:paraId="19899EE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11.5</w:t>
                  </w:r>
                </w:p>
              </w:tc>
              <w:tc>
                <w:tcPr>
                  <w:tcW w:w="472" w:type="pct"/>
                  <w:shd w:val="clear" w:color="auto" w:fill="FFFFFF"/>
                  <w:vAlign w:val="center"/>
                </w:tcPr>
                <w:p w14:paraId="4FA2E5E1">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1.2</w:t>
                  </w:r>
                </w:p>
              </w:tc>
              <w:tc>
                <w:tcPr>
                  <w:tcW w:w="582" w:type="pct"/>
                  <w:shd w:val="clear" w:color="auto" w:fill="FFFFFF"/>
                  <w:vAlign w:val="center"/>
                </w:tcPr>
                <w:p w14:paraId="3759C54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昼间</w:t>
                  </w:r>
                </w:p>
              </w:tc>
              <w:tc>
                <w:tcPr>
                  <w:tcW w:w="831" w:type="pct"/>
                  <w:shd w:val="clear" w:color="auto" w:fill="FFFFFF"/>
                  <w:vAlign w:val="center"/>
                </w:tcPr>
                <w:p w14:paraId="09F1F4C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54.3</w:t>
                  </w:r>
                </w:p>
              </w:tc>
              <w:tc>
                <w:tcPr>
                  <w:tcW w:w="832" w:type="pct"/>
                  <w:shd w:val="clear" w:color="auto" w:fill="FFFFFF"/>
                  <w:vAlign w:val="center"/>
                </w:tcPr>
                <w:p w14:paraId="22487B2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w:t>
                  </w:r>
                </w:p>
              </w:tc>
              <w:tc>
                <w:tcPr>
                  <w:tcW w:w="695" w:type="pct"/>
                  <w:shd w:val="clear" w:color="auto" w:fill="FFFFFF"/>
                  <w:vAlign w:val="center"/>
                </w:tcPr>
                <w:p w14:paraId="51A8EFC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4FE74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pct"/>
                  <w:shd w:val="clear" w:color="auto" w:fill="FFFFFF"/>
                  <w:vAlign w:val="center"/>
                </w:tcPr>
                <w:p w14:paraId="095330A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北侧</w:t>
                  </w:r>
                </w:p>
              </w:tc>
              <w:tc>
                <w:tcPr>
                  <w:tcW w:w="471" w:type="pct"/>
                  <w:shd w:val="clear" w:color="auto" w:fill="FFFFFF"/>
                  <w:vAlign w:val="center"/>
                </w:tcPr>
                <w:p w14:paraId="577E4E42">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16.5</w:t>
                  </w:r>
                </w:p>
              </w:tc>
              <w:tc>
                <w:tcPr>
                  <w:tcW w:w="471" w:type="pct"/>
                  <w:shd w:val="clear" w:color="auto" w:fill="FFFFFF"/>
                  <w:vAlign w:val="center"/>
                </w:tcPr>
                <w:p w14:paraId="238D20C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26.2</w:t>
                  </w:r>
                </w:p>
              </w:tc>
              <w:tc>
                <w:tcPr>
                  <w:tcW w:w="472" w:type="pct"/>
                  <w:shd w:val="clear" w:color="auto" w:fill="FFFFFF"/>
                  <w:vAlign w:val="center"/>
                </w:tcPr>
                <w:p w14:paraId="782F543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1.2</w:t>
                  </w:r>
                </w:p>
              </w:tc>
              <w:tc>
                <w:tcPr>
                  <w:tcW w:w="582" w:type="pct"/>
                  <w:shd w:val="clear" w:color="auto" w:fill="FFFFFF"/>
                  <w:vAlign w:val="center"/>
                </w:tcPr>
                <w:p w14:paraId="4ABEF80E">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昼间</w:t>
                  </w:r>
                </w:p>
              </w:tc>
              <w:tc>
                <w:tcPr>
                  <w:tcW w:w="831" w:type="pct"/>
                  <w:shd w:val="clear" w:color="auto" w:fill="FFFFFF"/>
                  <w:vAlign w:val="center"/>
                </w:tcPr>
                <w:p w14:paraId="1B3F19EA">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44.7</w:t>
                  </w:r>
                </w:p>
              </w:tc>
              <w:tc>
                <w:tcPr>
                  <w:tcW w:w="832" w:type="pct"/>
                  <w:shd w:val="clear" w:color="auto" w:fill="FFFFFF"/>
                  <w:vAlign w:val="center"/>
                </w:tcPr>
                <w:p w14:paraId="5ED1DDE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w:t>
                  </w:r>
                </w:p>
              </w:tc>
              <w:tc>
                <w:tcPr>
                  <w:tcW w:w="695" w:type="pct"/>
                  <w:shd w:val="clear" w:color="auto" w:fill="FFFFFF"/>
                  <w:vAlign w:val="center"/>
                </w:tcPr>
                <w:p w14:paraId="343AD41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bl>
          <w:p w14:paraId="75F9D6FB">
            <w:pPr>
              <w:rPr>
                <w:bCs/>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注：</w:t>
            </w:r>
            <w:r>
              <w:rPr>
                <w:bCs/>
                <w:color w:val="000000" w:themeColor="text1"/>
                <w:szCs w:val="21"/>
                <w14:textFill>
                  <w14:solidFill>
                    <w14:schemeClr w14:val="tx1"/>
                  </w14:solidFill>
                </w14:textFill>
              </w:rPr>
              <w:t>表中坐标以厂界中心（</w:t>
            </w:r>
            <w:r>
              <w:rPr>
                <w:bCs/>
                <w:color w:val="000000" w:themeColor="text1"/>
                <w:kern w:val="0"/>
                <w:szCs w:val="21"/>
                <w14:textFill>
                  <w14:solidFill>
                    <w14:schemeClr w14:val="tx1"/>
                  </w14:solidFill>
                </w14:textFill>
              </w:rPr>
              <w:t>115.291404</w:t>
            </w:r>
            <w:r>
              <w:rPr>
                <w:rFonts w:hint="eastAsia"/>
                <w:bCs/>
                <w:color w:val="000000" w:themeColor="text1"/>
                <w:kern w:val="0"/>
                <w:szCs w:val="21"/>
                <w14:textFill>
                  <w14:solidFill>
                    <w14:schemeClr w14:val="tx1"/>
                  </w14:solidFill>
                </w14:textFill>
              </w:rPr>
              <w:t>°</w:t>
            </w:r>
            <w:r>
              <w:rPr>
                <w:bCs/>
                <w:color w:val="000000" w:themeColor="text1"/>
                <w:kern w:val="0"/>
                <w:szCs w:val="21"/>
                <w14:textFill>
                  <w14:solidFill>
                    <w14:schemeClr w14:val="tx1"/>
                  </w14:solidFill>
                </w14:textFill>
              </w:rPr>
              <w:t>,28.304208</w:t>
            </w:r>
            <w:r>
              <w:rPr>
                <w:bCs/>
                <w:color w:val="000000" w:themeColor="text1"/>
                <w:szCs w:val="21"/>
                <w14:textFill>
                  <w14:solidFill>
                    <w14:schemeClr w14:val="tx1"/>
                  </w14:solidFill>
                </w14:textFill>
              </w:rPr>
              <w:t>°）为坐标原点，正东向为X轴正方向，正北向为Y轴正方向。</w:t>
            </w:r>
          </w:p>
          <w:p w14:paraId="0CB963B5">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4、监测计划</w:t>
            </w:r>
          </w:p>
          <w:p w14:paraId="3F32C86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根据《排污单位自行监测技术指南 总则》（HJ 819-2017）、《排污许可证申请与核发技术规范 工业噪声》（HJ 1301-2023），本项目噪声监测计划见下表。</w:t>
            </w:r>
          </w:p>
          <w:p w14:paraId="1A400E36">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 xml:space="preserve">  噪声监测计划</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638"/>
              <w:gridCol w:w="2174"/>
              <w:gridCol w:w="708"/>
              <w:gridCol w:w="1134"/>
              <w:gridCol w:w="1351"/>
              <w:gridCol w:w="3183"/>
            </w:tblGrid>
            <w:tr w14:paraId="0EF80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shd w:val="clear" w:color="auto" w:fill="FFFFFF"/>
                  <w:vAlign w:val="center"/>
                </w:tcPr>
                <w:p w14:paraId="266DF6D3">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序号</w:t>
                  </w:r>
                </w:p>
              </w:tc>
              <w:tc>
                <w:tcPr>
                  <w:tcW w:w="2174" w:type="dxa"/>
                  <w:shd w:val="clear" w:color="auto" w:fill="FFFFFF"/>
                  <w:vAlign w:val="center"/>
                </w:tcPr>
                <w:p w14:paraId="63A2C1E2">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监测点位</w:t>
                  </w:r>
                </w:p>
              </w:tc>
              <w:tc>
                <w:tcPr>
                  <w:tcW w:w="708" w:type="dxa"/>
                  <w:shd w:val="clear" w:color="auto" w:fill="FFFFFF"/>
                  <w:vAlign w:val="center"/>
                </w:tcPr>
                <w:p w14:paraId="75F4F502">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监测频次</w:t>
                  </w:r>
                </w:p>
              </w:tc>
              <w:tc>
                <w:tcPr>
                  <w:tcW w:w="1134" w:type="dxa"/>
                  <w:shd w:val="clear" w:color="auto" w:fill="FFFFFF"/>
                  <w:vAlign w:val="center"/>
                </w:tcPr>
                <w:p w14:paraId="51683BDF">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监测因子</w:t>
                  </w:r>
                </w:p>
              </w:tc>
              <w:tc>
                <w:tcPr>
                  <w:tcW w:w="1351" w:type="dxa"/>
                  <w:shd w:val="clear" w:color="auto" w:fill="FFFFFF"/>
                  <w:vAlign w:val="center"/>
                </w:tcPr>
                <w:p w14:paraId="26CDB474">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排放限值</w:t>
                  </w:r>
                </w:p>
              </w:tc>
              <w:tc>
                <w:tcPr>
                  <w:tcW w:w="3183" w:type="dxa"/>
                  <w:shd w:val="clear" w:color="auto" w:fill="FFFFFF"/>
                  <w:vAlign w:val="center"/>
                </w:tcPr>
                <w:p w14:paraId="3C9082D5">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执行排放标准</w:t>
                  </w:r>
                </w:p>
              </w:tc>
            </w:tr>
            <w:tr w14:paraId="0A14F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shd w:val="clear" w:color="auto" w:fill="FFFFFF"/>
                  <w:vAlign w:val="center"/>
                </w:tcPr>
                <w:p w14:paraId="5BC4907B">
                  <w:pPr>
                    <w:widowControl/>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w:t>
                  </w:r>
                </w:p>
              </w:tc>
              <w:tc>
                <w:tcPr>
                  <w:tcW w:w="2174" w:type="dxa"/>
                  <w:shd w:val="clear" w:color="auto" w:fill="FFFFFF"/>
                  <w:vAlign w:val="center"/>
                </w:tcPr>
                <w:p w14:paraId="1EE794A1">
                  <w:pPr>
                    <w:widowControl/>
                    <w:jc w:val="center"/>
                    <w:rPr>
                      <w:bCs/>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厂界外1米处（东、南、西、北）</w:t>
                  </w:r>
                </w:p>
              </w:tc>
              <w:tc>
                <w:tcPr>
                  <w:tcW w:w="708" w:type="dxa"/>
                  <w:shd w:val="clear" w:color="auto" w:fill="FFFFFF"/>
                  <w:vAlign w:val="center"/>
                </w:tcPr>
                <w:p w14:paraId="353DA514">
                  <w:pPr>
                    <w:widowControl/>
                    <w:jc w:val="center"/>
                    <w:rPr>
                      <w:bCs/>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1次/季度</w:t>
                  </w:r>
                </w:p>
              </w:tc>
              <w:tc>
                <w:tcPr>
                  <w:tcW w:w="1134" w:type="dxa"/>
                  <w:shd w:val="clear" w:color="auto" w:fill="FFFFFF"/>
                  <w:vAlign w:val="center"/>
                </w:tcPr>
                <w:p w14:paraId="18F2B9C6">
                  <w:pPr>
                    <w:widowControl/>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eq</w:t>
                  </w:r>
                </w:p>
              </w:tc>
              <w:tc>
                <w:tcPr>
                  <w:tcW w:w="1351" w:type="dxa"/>
                  <w:shd w:val="clear" w:color="auto" w:fill="FFFFFF"/>
                  <w:vAlign w:val="center"/>
                </w:tcPr>
                <w:p w14:paraId="32CD9BAD">
                  <w:pPr>
                    <w:widowControl/>
                    <w:jc w:val="center"/>
                    <w:rPr>
                      <w:bCs/>
                      <w:color w:val="000000" w:themeColor="text1"/>
                      <w:kern w:val="0"/>
                      <w:szCs w:val="21"/>
                      <w14:textFill>
                        <w14:solidFill>
                          <w14:schemeClr w14:val="tx1"/>
                        </w14:solidFill>
                      </w14:textFill>
                    </w:rPr>
                  </w:pPr>
                  <w:r>
                    <w:rPr>
                      <w:color w:val="000000" w:themeColor="text1"/>
                      <w14:textFill>
                        <w14:solidFill>
                          <w14:schemeClr w14:val="tx1"/>
                        </w14:solidFill>
                      </w14:textFill>
                    </w:rPr>
                    <w:t>昼间≤6</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dB（A）</w:t>
                  </w:r>
                </w:p>
              </w:tc>
              <w:tc>
                <w:tcPr>
                  <w:tcW w:w="3183" w:type="dxa"/>
                  <w:shd w:val="clear" w:color="auto" w:fill="FFFFFF"/>
                  <w:vAlign w:val="center"/>
                </w:tcPr>
                <w:p w14:paraId="14D9FEE9">
                  <w:pPr>
                    <w:widowControl/>
                    <w:jc w:val="center"/>
                    <w:rPr>
                      <w:bCs/>
                      <w:color w:val="000000" w:themeColor="text1"/>
                      <w:kern w:val="0"/>
                      <w:szCs w:val="21"/>
                      <w14:textFill>
                        <w14:solidFill>
                          <w14:schemeClr w14:val="tx1"/>
                        </w14:solidFill>
                      </w14:textFill>
                    </w:rPr>
                  </w:pPr>
                  <w:r>
                    <w:rPr>
                      <w:color w:val="000000" w:themeColor="text1"/>
                      <w14:textFill>
                        <w14:solidFill>
                          <w14:schemeClr w14:val="tx1"/>
                        </w14:solidFill>
                      </w14:textFill>
                    </w:rPr>
                    <w:t>《工业企业厂界环境噪声排放标准》（GB 12348-2008）中</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类</w:t>
                  </w:r>
                </w:p>
              </w:tc>
            </w:tr>
          </w:tbl>
          <w:p w14:paraId="61C4C54C">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5、结论</w:t>
            </w:r>
          </w:p>
          <w:p w14:paraId="54D1EA65">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项目实行每天单班制，每班工作8小时。由表4-1</w:t>
            </w:r>
            <w:r>
              <w:rPr>
                <w:rFonts w:hint="eastAsia" w:cs="Times New Roman"/>
                <w:color w:val="000000" w:themeColor="text1"/>
                <w14:textFill>
                  <w14:solidFill>
                    <w14:schemeClr w14:val="tx1"/>
                  </w14:solidFill>
                </w14:textFill>
              </w:rPr>
              <w:t>5</w:t>
            </w:r>
            <w:r>
              <w:rPr>
                <w:rFonts w:cs="Times New Roman"/>
                <w:color w:val="000000" w:themeColor="text1"/>
                <w14:textFill>
                  <w14:solidFill>
                    <w14:schemeClr w14:val="tx1"/>
                  </w14:solidFill>
                </w14:textFill>
              </w:rPr>
              <w:t>可知：拟建项目投入运营后，通过选用低噪声设备，加强设备润滑维修，对各种机械设备运行噪声采取相应的消声、隔声、减振等防护措施。除风机外，其他设备均设置于室内，经室内墙壁屏蔽和吸声处理后，项目厂界昼间噪声排放能满足《工业企业厂界环境噪声排放标准》（GB 12348-2008）中</w:t>
            </w:r>
            <w:r>
              <w:rPr>
                <w:rFonts w:hint="eastAsia" w:cs="Times New Roman"/>
                <w:color w:val="000000" w:themeColor="text1"/>
                <w14:textFill>
                  <w14:solidFill>
                    <w14:schemeClr w14:val="tx1"/>
                  </w14:solidFill>
                </w14:textFill>
              </w:rPr>
              <w:t>2</w:t>
            </w:r>
            <w:r>
              <w:rPr>
                <w:rFonts w:cs="Times New Roman"/>
                <w:color w:val="000000" w:themeColor="text1"/>
                <w14:textFill>
                  <w14:solidFill>
                    <w14:schemeClr w14:val="tx1"/>
                  </w14:solidFill>
                </w14:textFill>
              </w:rPr>
              <w:t>类标准值（昼间≤6</w:t>
            </w:r>
            <w:r>
              <w:rPr>
                <w:rFonts w:hint="eastAsia" w:cs="Times New Roman"/>
                <w:color w:val="000000" w:themeColor="text1"/>
                <w14:textFill>
                  <w14:solidFill>
                    <w14:schemeClr w14:val="tx1"/>
                  </w14:solidFill>
                </w14:textFill>
              </w:rPr>
              <w:t>0</w:t>
            </w:r>
            <w:r>
              <w:rPr>
                <w:rFonts w:cs="Times New Roman"/>
                <w:color w:val="000000" w:themeColor="text1"/>
                <w14:textFill>
                  <w14:solidFill>
                    <w14:schemeClr w14:val="tx1"/>
                  </w14:solidFill>
                </w14:textFill>
              </w:rPr>
              <w:t>dB（A））。因此项目运行后产生的噪声不会对区域声环境产生明显不利影响。</w:t>
            </w:r>
          </w:p>
          <w:p w14:paraId="141A1337">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四、固体废物影响分析</w:t>
            </w:r>
          </w:p>
          <w:p w14:paraId="475FD562">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1、固体废物产排源强分析</w:t>
            </w:r>
          </w:p>
          <w:p w14:paraId="4289F77A">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按《固体废物鉴别标准 通则》（GB 34330-20</w:t>
            </w:r>
            <w:r>
              <w:rPr>
                <w:rFonts w:hint="eastAsia"/>
                <w:color w:val="000000" w:themeColor="text1"/>
                <w:sz w:val="24"/>
                <w14:textFill>
                  <w14:solidFill>
                    <w14:schemeClr w14:val="tx1"/>
                  </w14:solidFill>
                </w14:textFill>
              </w:rPr>
              <w:t>25</w:t>
            </w:r>
            <w:r>
              <w:rPr>
                <w:color w:val="000000" w:themeColor="text1"/>
                <w:sz w:val="24"/>
                <w14:textFill>
                  <w14:solidFill>
                    <w14:schemeClr w14:val="tx1"/>
                  </w14:solidFill>
                </w14:textFill>
              </w:rPr>
              <w:t>）、《危险废物鉴别标准 通则》（GB 5085.7-2019）和《国家危险废物名录》（2025年版）的有关要求，对项目固废进行分类，本项目固废产生类别主要有一般工业固废、危险废物和生活垃圾。</w:t>
            </w:r>
          </w:p>
          <w:p w14:paraId="41E7EC38">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本项目固体废物分为一般</w:t>
            </w:r>
            <w:r>
              <w:rPr>
                <w:rFonts w:hint="eastAsia"/>
                <w:b w:val="0"/>
                <w:color w:val="000000" w:themeColor="text1"/>
                <w14:textFill>
                  <w14:solidFill>
                    <w14:schemeClr w14:val="tx1"/>
                  </w14:solidFill>
                </w14:textFill>
              </w:rPr>
              <w:t>工业</w:t>
            </w:r>
            <w:r>
              <w:rPr>
                <w:b w:val="0"/>
                <w:color w:val="000000" w:themeColor="text1"/>
                <w14:textFill>
                  <w14:solidFill>
                    <w14:schemeClr w14:val="tx1"/>
                  </w14:solidFill>
                </w14:textFill>
              </w:rPr>
              <w:t>固废</w:t>
            </w:r>
            <w:r>
              <w:rPr>
                <w:rFonts w:hint="eastAsia"/>
                <w:b w:val="0"/>
                <w:color w:val="000000" w:themeColor="text1"/>
                <w14:textFill>
                  <w14:solidFill>
                    <w14:schemeClr w14:val="tx1"/>
                  </w14:solidFill>
                </w14:textFill>
              </w:rPr>
              <w:t>、危险废物</w:t>
            </w:r>
            <w:r>
              <w:rPr>
                <w:b w:val="0"/>
                <w:color w:val="000000" w:themeColor="text1"/>
                <w14:textFill>
                  <w14:solidFill>
                    <w14:schemeClr w14:val="tx1"/>
                  </w14:solidFill>
                </w14:textFill>
              </w:rPr>
              <w:t>及生活垃圾，其中一般</w:t>
            </w:r>
            <w:r>
              <w:rPr>
                <w:rFonts w:hint="eastAsia"/>
                <w:b w:val="0"/>
                <w:color w:val="000000" w:themeColor="text1"/>
                <w14:textFill>
                  <w14:solidFill>
                    <w14:schemeClr w14:val="tx1"/>
                  </w14:solidFill>
                </w14:textFill>
              </w:rPr>
              <w:t>工业</w:t>
            </w:r>
            <w:r>
              <w:rPr>
                <w:b w:val="0"/>
                <w:color w:val="000000" w:themeColor="text1"/>
                <w14:textFill>
                  <w14:solidFill>
                    <w14:schemeClr w14:val="tx1"/>
                  </w14:solidFill>
                </w14:textFill>
              </w:rPr>
              <w:t>固废主要为金属边角料、废包装材料。危险废物主要为废活性炭、废过滤棉、</w:t>
            </w:r>
            <w:r>
              <w:rPr>
                <w:rFonts w:hint="eastAsia"/>
                <w:b w:val="0"/>
                <w:color w:val="000000" w:themeColor="text1"/>
                <w14:textFill>
                  <w14:solidFill>
                    <w14:schemeClr w14:val="tx1"/>
                  </w14:solidFill>
                </w14:textFill>
              </w:rPr>
              <w:t>废催化剂、漆渣、水帘废水、</w:t>
            </w:r>
            <w:r>
              <w:rPr>
                <w:b w:val="0"/>
                <w:color w:val="000000" w:themeColor="text1"/>
                <w14:textFill>
                  <w14:solidFill>
                    <w14:schemeClr w14:val="tx1"/>
                  </w14:solidFill>
                </w14:textFill>
              </w:rPr>
              <w:t>废包装桶、废机油、机油桶、含油</w:t>
            </w:r>
            <w:r>
              <w:rPr>
                <w:rFonts w:hint="eastAsia"/>
                <w:b w:val="0"/>
                <w:color w:val="000000" w:themeColor="text1"/>
                <w14:textFill>
                  <w14:solidFill>
                    <w14:schemeClr w14:val="tx1"/>
                  </w14:solidFill>
                </w14:textFill>
              </w:rPr>
              <w:t>或油漆</w:t>
            </w:r>
            <w:r>
              <w:rPr>
                <w:b w:val="0"/>
                <w:color w:val="000000" w:themeColor="text1"/>
                <w14:textFill>
                  <w14:solidFill>
                    <w14:schemeClr w14:val="tx1"/>
                  </w14:solidFill>
                </w14:textFill>
              </w:rPr>
              <w:t>废抹布及劳保用品。</w:t>
            </w:r>
          </w:p>
          <w:p w14:paraId="795E059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（1）一般</w:t>
            </w:r>
            <w:r>
              <w:rPr>
                <w:rFonts w:hint="eastAsia" w:cs="Times New Roman"/>
                <w:color w:val="000000" w:themeColor="text1"/>
                <w14:textFill>
                  <w14:solidFill>
                    <w14:schemeClr w14:val="tx1"/>
                  </w14:solidFill>
                </w14:textFill>
              </w:rPr>
              <w:t>工业</w:t>
            </w:r>
            <w:r>
              <w:rPr>
                <w:rFonts w:cs="Times New Roman"/>
                <w:color w:val="000000" w:themeColor="text1"/>
                <w14:textFill>
                  <w14:solidFill>
                    <w14:schemeClr w14:val="tx1"/>
                  </w14:solidFill>
                </w14:textFill>
              </w:rPr>
              <w:t>固废</w:t>
            </w:r>
          </w:p>
          <w:p w14:paraId="27089B17">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1）金属边角料：项目打眼的过程中会产生一定量的金属边角料，根据建设单位提供资料，本项目金属边角料产生量约1t/a，暂存于一般固废间，定期外售物资回收单位。</w:t>
            </w:r>
          </w:p>
          <w:p w14:paraId="10328E4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2）废包装材料：项目来料以及成品包装过程中会产生一定量的废包装材料，根据建设单位提供资料，本项目废包装材料产生量约0.5t/a，暂存于一般固废间，定期外售物资回收单位。</w:t>
            </w:r>
          </w:p>
          <w:p w14:paraId="7E8A3514">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（2）生活垃圾</w:t>
            </w:r>
          </w:p>
          <w:p w14:paraId="17232BF1">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本项目员工</w:t>
            </w:r>
            <w:r>
              <w:rPr>
                <w:rFonts w:hint="eastAsia" w:cs="Times New Roman"/>
                <w:color w:val="000000" w:themeColor="text1"/>
                <w14:textFill>
                  <w14:solidFill>
                    <w14:schemeClr w14:val="tx1"/>
                  </w14:solidFill>
                </w14:textFill>
              </w:rPr>
              <w:t>15</w:t>
            </w:r>
            <w:r>
              <w:rPr>
                <w:rFonts w:cs="Times New Roman"/>
                <w:color w:val="000000" w:themeColor="text1"/>
                <w14:textFill>
                  <w14:solidFill>
                    <w14:schemeClr w14:val="tx1"/>
                  </w14:solidFill>
                </w14:textFill>
              </w:rPr>
              <w:t>人，按0.5kg/人·天计算，则生活垃圾产生量为</w:t>
            </w:r>
            <w:r>
              <w:rPr>
                <w:rFonts w:hint="eastAsia" w:cs="Times New Roman"/>
                <w:color w:val="000000" w:themeColor="text1"/>
                <w14:textFill>
                  <w14:solidFill>
                    <w14:schemeClr w14:val="tx1"/>
                  </w14:solidFill>
                </w14:textFill>
              </w:rPr>
              <w:t>7.5</w:t>
            </w:r>
            <w:r>
              <w:rPr>
                <w:rFonts w:cs="Times New Roman"/>
                <w:color w:val="000000" w:themeColor="text1"/>
                <w14:textFill>
                  <w14:solidFill>
                    <w14:schemeClr w14:val="tx1"/>
                  </w14:solidFill>
                </w14:textFill>
              </w:rPr>
              <w:t>kg/d（</w:t>
            </w:r>
            <w:r>
              <w:rPr>
                <w:rFonts w:hint="eastAsia" w:cs="Times New Roman"/>
                <w:color w:val="000000" w:themeColor="text1"/>
                <w14:textFill>
                  <w14:solidFill>
                    <w14:schemeClr w14:val="tx1"/>
                  </w14:solidFill>
                </w14:textFill>
              </w:rPr>
              <w:t>2.25</w:t>
            </w:r>
            <w:r>
              <w:rPr>
                <w:rFonts w:cs="Times New Roman"/>
                <w:color w:val="000000" w:themeColor="text1"/>
                <w14:textFill>
                  <w14:solidFill>
                    <w14:schemeClr w14:val="tx1"/>
                  </w14:solidFill>
                </w14:textFill>
              </w:rPr>
              <w:t>t/a）。生活垃圾经垃圾桶收集后，交由当地环卫部门清运。</w:t>
            </w:r>
          </w:p>
          <w:p w14:paraId="3B5970C7">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（3）危险废物</w:t>
            </w:r>
          </w:p>
          <w:p w14:paraId="71484CE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1）废活性炭：项目有组织有机废气通过“</w:t>
            </w:r>
            <w:r>
              <w:rPr>
                <w:rFonts w:hint="eastAsia" w:cs="Times New Roman"/>
                <w:color w:val="000000" w:themeColor="text1"/>
                <w14:textFill>
                  <w14:solidFill>
                    <w14:schemeClr w14:val="tx1"/>
                  </w14:solidFill>
                </w14:textFill>
              </w:rPr>
              <w:t>活性炭吸附脱附+小型催化燃烧装置</w:t>
            </w:r>
            <w:r>
              <w:rPr>
                <w:rFonts w:cs="Times New Roman"/>
                <w:color w:val="000000" w:themeColor="text1"/>
                <w14:textFill>
                  <w14:solidFill>
                    <w14:schemeClr w14:val="tx1"/>
                  </w14:solidFill>
                </w14:textFill>
              </w:rPr>
              <w:t>”进行处理</w:t>
            </w:r>
            <w:r>
              <w:rPr>
                <w:rFonts w:hint="eastAsia" w:cs="Times New Roman"/>
                <w:color w:val="000000" w:themeColor="text1"/>
                <w14:textFill>
                  <w14:solidFill>
                    <w14:schemeClr w14:val="tx1"/>
                  </w14:solidFill>
                </w14:textFill>
              </w:rPr>
              <w:t>，活性炭吸附的挥发性有机物经脱附后进入小型催化燃烧装置处理，活性炭吸附装置为现场再生，当活性炭失效后需更换，更换时会产生一定量的废活性炭</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本</w:t>
            </w:r>
            <w:r>
              <w:rPr>
                <w:rFonts w:cs="Times New Roman"/>
                <w:color w:val="000000" w:themeColor="text1"/>
                <w14:textFill>
                  <w14:solidFill>
                    <w14:schemeClr w14:val="tx1"/>
                  </w14:solidFill>
                </w14:textFill>
              </w:rPr>
              <w:t>项目活性炭箱容量为0.</w:t>
            </w:r>
            <w:r>
              <w:rPr>
                <w:rFonts w:hint="eastAsia" w:cs="Times New Roman"/>
                <w:color w:val="000000" w:themeColor="text1"/>
                <w14:textFill>
                  <w14:solidFill>
                    <w14:schemeClr w14:val="tx1"/>
                  </w14:solidFill>
                </w14:textFill>
              </w:rPr>
              <w:t>5</w:t>
            </w:r>
            <w:r>
              <w:rPr>
                <w:rFonts w:cs="Times New Roman"/>
                <w:color w:val="000000" w:themeColor="text1"/>
                <w14:textFill>
                  <w14:solidFill>
                    <w14:schemeClr w14:val="tx1"/>
                  </w14:solidFill>
                </w14:textFill>
              </w:rPr>
              <w:t>t，</w:t>
            </w:r>
            <w:r>
              <w:rPr>
                <w:rFonts w:hint="eastAsia" w:cs="Times New Roman"/>
                <w:color w:val="000000" w:themeColor="text1"/>
                <w14:textFill>
                  <w14:solidFill>
                    <w14:schemeClr w14:val="tx1"/>
                  </w14:solidFill>
                </w14:textFill>
              </w:rPr>
              <w:t>活性炭吸附脱附+小型催化燃烧装置中活性炭属于现场再生，更换频率较低，本报告活性炭按</w:t>
            </w:r>
            <w:r>
              <w:rPr>
                <w:rFonts w:cs="Times New Roman"/>
                <w:color w:val="000000" w:themeColor="text1"/>
                <w14:textFill>
                  <w14:solidFill>
                    <w14:schemeClr w14:val="tx1"/>
                  </w14:solidFill>
                </w14:textFill>
              </w:rPr>
              <w:t>每</w:t>
            </w:r>
            <w:r>
              <w:rPr>
                <w:rFonts w:hint="eastAsia" w:cs="Times New Roman"/>
                <w:color w:val="000000" w:themeColor="text1"/>
                <w14:textFill>
                  <w14:solidFill>
                    <w14:schemeClr w14:val="tx1"/>
                  </w14:solidFill>
                </w14:textFill>
              </w:rPr>
              <w:t>年</w:t>
            </w:r>
            <w:r>
              <w:rPr>
                <w:rFonts w:cs="Times New Roman"/>
                <w:color w:val="000000" w:themeColor="text1"/>
                <w14:textFill>
                  <w14:solidFill>
                    <w14:schemeClr w14:val="tx1"/>
                  </w14:solidFill>
                </w14:textFill>
              </w:rPr>
              <w:t>更换一次</w:t>
            </w:r>
            <w:r>
              <w:rPr>
                <w:rFonts w:hint="eastAsia" w:cs="Times New Roman"/>
                <w:color w:val="000000" w:themeColor="text1"/>
                <w14:textFill>
                  <w14:solidFill>
                    <w14:schemeClr w14:val="tx1"/>
                  </w14:solidFill>
                </w14:textFill>
              </w:rPr>
              <w:t>计</w:t>
            </w:r>
            <w:r>
              <w:rPr>
                <w:rFonts w:cs="Times New Roman"/>
                <w:color w:val="000000" w:themeColor="text1"/>
                <w14:textFill>
                  <w14:solidFill>
                    <w14:schemeClr w14:val="tx1"/>
                  </w14:solidFill>
                </w14:textFill>
              </w:rPr>
              <w:t>，则本项目废活性炭产生量</w:t>
            </w:r>
            <w:r>
              <w:rPr>
                <w:rFonts w:hint="eastAsia" w:cs="Times New Roman"/>
                <w:color w:val="000000" w:themeColor="text1"/>
                <w14:textFill>
                  <w14:solidFill>
                    <w14:schemeClr w14:val="tx1"/>
                  </w14:solidFill>
                </w14:textFill>
              </w:rPr>
              <w:t>约</w:t>
            </w:r>
            <w:r>
              <w:rPr>
                <w:rFonts w:cs="Times New Roman"/>
                <w:color w:val="000000" w:themeColor="text1"/>
                <w14:textFill>
                  <w14:solidFill>
                    <w14:schemeClr w14:val="tx1"/>
                  </w14:solidFill>
                </w14:textFill>
              </w:rPr>
              <w:t>为</w:t>
            </w:r>
            <w:r>
              <w:rPr>
                <w:rFonts w:hint="eastAsia" w:cs="Times New Roman"/>
                <w:color w:val="000000" w:themeColor="text1"/>
                <w14:textFill>
                  <w14:solidFill>
                    <w14:schemeClr w14:val="tx1"/>
                  </w14:solidFill>
                </w14:textFill>
              </w:rPr>
              <w:t>0.5</w:t>
            </w:r>
            <w:r>
              <w:rPr>
                <w:rFonts w:cs="Times New Roman"/>
                <w:color w:val="000000" w:themeColor="text1"/>
                <w14:textFill>
                  <w14:solidFill>
                    <w14:schemeClr w14:val="tx1"/>
                  </w14:solidFill>
                </w14:textFill>
              </w:rPr>
              <w:t>t/a。根据《国家危险废物名录》（2025年版），废活性炭属于HW49（代码为900-039-49），集中收集后危废贮存库暂存，定期委托有资质单位进行收集处置。</w:t>
            </w:r>
          </w:p>
          <w:p w14:paraId="7DBBD04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2）废过滤棉：项目油漆使用过程中采用过滤棉吸附漆雾会产生废过滤棉，过滤棉重量与吸附漆雾量比例约为1:1，根据前述工程分析，</w:t>
            </w:r>
            <w:r>
              <w:rPr>
                <w:rFonts w:hint="eastAsia" w:cs="Times New Roman"/>
                <w:color w:val="000000" w:themeColor="text1"/>
                <w14:textFill>
                  <w14:solidFill>
                    <w14:schemeClr w14:val="tx1"/>
                  </w14:solidFill>
                </w14:textFill>
              </w:rPr>
              <w:t>过滤棉</w:t>
            </w:r>
            <w:r>
              <w:rPr>
                <w:rFonts w:cs="Times New Roman"/>
                <w:color w:val="000000" w:themeColor="text1"/>
                <w14:textFill>
                  <w14:solidFill>
                    <w14:schemeClr w14:val="tx1"/>
                  </w14:solidFill>
                </w14:textFill>
              </w:rPr>
              <w:t>漆雾吸附量约为0.</w:t>
            </w:r>
            <w:r>
              <w:rPr>
                <w:rFonts w:hint="eastAsia" w:cs="Times New Roman"/>
                <w:color w:val="000000" w:themeColor="text1"/>
                <w14:textFill>
                  <w14:solidFill>
                    <w14:schemeClr w14:val="tx1"/>
                  </w14:solidFill>
                </w14:textFill>
              </w:rPr>
              <w:t>223</w:t>
            </w:r>
            <w:r>
              <w:rPr>
                <w:rFonts w:cs="Times New Roman"/>
                <w:color w:val="000000" w:themeColor="text1"/>
                <w14:textFill>
                  <w14:solidFill>
                    <w14:schemeClr w14:val="tx1"/>
                  </w14:solidFill>
                </w14:textFill>
              </w:rPr>
              <w:t>t/a，则废过滤棉产生量为</w:t>
            </w:r>
            <w:r>
              <w:rPr>
                <w:rFonts w:hint="eastAsia" w:cs="Times New Roman"/>
                <w:color w:val="000000" w:themeColor="text1"/>
                <w14:textFill>
                  <w14:solidFill>
                    <w14:schemeClr w14:val="tx1"/>
                  </w14:solidFill>
                </w14:textFill>
              </w:rPr>
              <w:t>0.446</w:t>
            </w:r>
            <w:r>
              <w:rPr>
                <w:rFonts w:cs="Times New Roman"/>
                <w:color w:val="000000" w:themeColor="text1"/>
                <w14:textFill>
                  <w14:solidFill>
                    <w14:schemeClr w14:val="tx1"/>
                  </w14:solidFill>
                </w14:textFill>
              </w:rPr>
              <w:t>t/a。根据《国家危险废物名录》（2025年版），废过滤棉属于HW49（900-041-49），集中收集后危废贮存库暂存，定期交由有资质单位处置。</w:t>
            </w:r>
          </w:p>
          <w:p w14:paraId="734AB74E">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3）废催化剂：有机废气采用小型催化燃烧装置处理，会产生一定量的废催化剂。催化剂定期更换，根据建设单位提供资料，废催化剂产生量约0.1t/a。</w:t>
            </w:r>
            <w:r>
              <w:rPr>
                <w:rFonts w:cs="Times New Roman"/>
                <w:color w:val="000000" w:themeColor="text1"/>
                <w14:textFill>
                  <w14:solidFill>
                    <w14:schemeClr w14:val="tx1"/>
                  </w14:solidFill>
                </w14:textFill>
              </w:rPr>
              <w:t>根据《国家危险废物名录》（2025年版），</w:t>
            </w:r>
            <w:r>
              <w:rPr>
                <w:rFonts w:hint="eastAsia" w:cs="Times New Roman"/>
                <w:color w:val="000000" w:themeColor="text1"/>
                <w14:textFill>
                  <w14:solidFill>
                    <w14:schemeClr w14:val="tx1"/>
                  </w14:solidFill>
                </w14:textFill>
              </w:rPr>
              <w:t>本项目废催化剂类似于机动车和非道路移动机械尾气净化废催化剂，属于</w:t>
            </w:r>
            <w:r>
              <w:rPr>
                <w:rFonts w:cs="Times New Roman"/>
                <w:color w:val="000000" w:themeColor="text1"/>
                <w14:textFill>
                  <w14:solidFill>
                    <w14:schemeClr w14:val="tx1"/>
                  </w14:solidFill>
                </w14:textFill>
              </w:rPr>
              <w:t>HW</w:t>
            </w:r>
            <w:r>
              <w:rPr>
                <w:rFonts w:hint="eastAsia" w:cs="Times New Roman"/>
                <w:color w:val="000000" w:themeColor="text1"/>
                <w14:textFill>
                  <w14:solidFill>
                    <w14:schemeClr w14:val="tx1"/>
                  </w14:solidFill>
                </w14:textFill>
              </w:rPr>
              <w:t>50</w:t>
            </w:r>
            <w:r>
              <w:rPr>
                <w:rFonts w:cs="Times New Roman"/>
                <w:color w:val="000000" w:themeColor="text1"/>
                <w14:textFill>
                  <w14:solidFill>
                    <w14:schemeClr w14:val="tx1"/>
                  </w14:solidFill>
                </w14:textFill>
              </w:rPr>
              <w:t>（900-04</w:t>
            </w:r>
            <w:r>
              <w:rPr>
                <w:rFonts w:hint="eastAsia" w:cs="Times New Roman"/>
                <w:color w:val="000000" w:themeColor="text1"/>
                <w14:textFill>
                  <w14:solidFill>
                    <w14:schemeClr w14:val="tx1"/>
                  </w14:solidFill>
                </w14:textFill>
              </w:rPr>
              <w:t>9</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50</w:t>
            </w:r>
            <w:r>
              <w:rPr>
                <w:rFonts w:cs="Times New Roman"/>
                <w:color w:val="000000" w:themeColor="text1"/>
                <w14:textFill>
                  <w14:solidFill>
                    <w14:schemeClr w14:val="tx1"/>
                  </w14:solidFill>
                </w14:textFill>
              </w:rPr>
              <w:t>），集中收集后危废贮存库暂存，定期交由有资质单位处置。</w:t>
            </w:r>
          </w:p>
          <w:p w14:paraId="6162D24B">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4）漆渣：项目喷漆过程中，油漆会有一部分成为漆渣，水帘柜去除漆雾过程中也会产生一部分漆渣，根据前述分析，喷漆过程中漆渣产生量为0.172t/a，水帘柜去除漆雾过程中产生的漆渣约0.371t/a，合计漆渣产生量为0.543t/a。</w:t>
            </w:r>
            <w:r>
              <w:rPr>
                <w:rFonts w:cs="Times New Roman"/>
                <w:color w:val="000000" w:themeColor="text1"/>
                <w14:textFill>
                  <w14:solidFill>
                    <w14:schemeClr w14:val="tx1"/>
                  </w14:solidFill>
                </w14:textFill>
              </w:rPr>
              <w:t>根据《国家危险废物名录》（2025年版），</w:t>
            </w:r>
            <w:r>
              <w:rPr>
                <w:rFonts w:hint="eastAsia" w:cs="Times New Roman"/>
                <w:color w:val="000000" w:themeColor="text1"/>
                <w14:textFill>
                  <w14:solidFill>
                    <w14:schemeClr w14:val="tx1"/>
                  </w14:solidFill>
                </w14:textFill>
              </w:rPr>
              <w:t>漆渣</w:t>
            </w:r>
            <w:r>
              <w:rPr>
                <w:rFonts w:cs="Times New Roman"/>
                <w:color w:val="000000" w:themeColor="text1"/>
                <w14:textFill>
                  <w14:solidFill>
                    <w14:schemeClr w14:val="tx1"/>
                  </w14:solidFill>
                </w14:textFill>
              </w:rPr>
              <w:t>属于HW</w:t>
            </w:r>
            <w:r>
              <w:rPr>
                <w:rFonts w:hint="eastAsia" w:cs="Times New Roman"/>
                <w:color w:val="000000" w:themeColor="text1"/>
                <w14:textFill>
                  <w14:solidFill>
                    <w14:schemeClr w14:val="tx1"/>
                  </w14:solidFill>
                </w14:textFill>
              </w:rPr>
              <w:t>12</w:t>
            </w:r>
            <w:r>
              <w:rPr>
                <w:rFonts w:cs="Times New Roman"/>
                <w:color w:val="000000" w:themeColor="text1"/>
                <w14:textFill>
                  <w14:solidFill>
                    <w14:schemeClr w14:val="tx1"/>
                  </w14:solidFill>
                </w14:textFill>
              </w:rPr>
              <w:t>（废物代码900-</w:t>
            </w:r>
            <w:r>
              <w:rPr>
                <w:rFonts w:hint="eastAsia" w:cs="Times New Roman"/>
                <w:color w:val="000000" w:themeColor="text1"/>
                <w14:textFill>
                  <w14:solidFill>
                    <w14:schemeClr w14:val="tx1"/>
                  </w14:solidFill>
                </w14:textFill>
              </w:rPr>
              <w:t>252</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12</w:t>
            </w:r>
            <w:r>
              <w:rPr>
                <w:rFonts w:cs="Times New Roman"/>
                <w:color w:val="000000" w:themeColor="text1"/>
                <w14:textFill>
                  <w14:solidFill>
                    <w14:schemeClr w14:val="tx1"/>
                  </w14:solidFill>
                </w14:textFill>
              </w:rPr>
              <w:t>），集中收集后危废贮存库暂存，定期交由有资质单位处置。</w:t>
            </w:r>
          </w:p>
          <w:p w14:paraId="290C2DE1">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5</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水帘废水：</w:t>
            </w:r>
            <w:r>
              <w:rPr>
                <w:color w:val="000000" w:themeColor="text1"/>
                <w14:textFill>
                  <w14:solidFill>
                    <w14:schemeClr w14:val="tx1"/>
                  </w14:solidFill>
                </w14:textFill>
              </w:rPr>
              <w:t>项目水帘</w:t>
            </w:r>
            <w:r>
              <w:rPr>
                <w:rFonts w:hint="eastAsia"/>
                <w:color w:val="000000" w:themeColor="text1"/>
                <w14:textFill>
                  <w14:solidFill>
                    <w14:schemeClr w14:val="tx1"/>
                  </w14:solidFill>
                </w14:textFill>
              </w:rPr>
              <w:t>柜处理</w:t>
            </w:r>
            <w:r>
              <w:rPr>
                <w:color w:val="000000" w:themeColor="text1"/>
                <w14:textFill>
                  <w14:solidFill>
                    <w14:schemeClr w14:val="tx1"/>
                  </w14:solidFill>
                </w14:textFill>
              </w:rPr>
              <w:t>漆雾</w:t>
            </w:r>
            <w:r>
              <w:rPr>
                <w:rFonts w:hint="eastAsia"/>
                <w:color w:val="000000" w:themeColor="text1"/>
                <w14:textFill>
                  <w14:solidFill>
                    <w14:schemeClr w14:val="tx1"/>
                  </w14:solidFill>
                </w14:textFill>
              </w:rPr>
              <w:t>时</w:t>
            </w:r>
            <w:r>
              <w:rPr>
                <w:color w:val="000000" w:themeColor="text1"/>
                <w14:textFill>
                  <w14:solidFill>
                    <w14:schemeClr w14:val="tx1"/>
                  </w14:solidFill>
                </w14:textFill>
              </w:rPr>
              <w:t>会定期排放水帘废水，每半年</w:t>
            </w:r>
            <w:r>
              <w:rPr>
                <w:rFonts w:hint="eastAsia"/>
                <w:color w:val="000000" w:themeColor="text1"/>
                <w14:textFill>
                  <w14:solidFill>
                    <w14:schemeClr w14:val="tx1"/>
                  </w14:solidFill>
                </w14:textFill>
              </w:rPr>
              <w:t>排放一次，每次排放</w:t>
            </w:r>
            <w:r>
              <w:rPr>
                <w:rFonts w:hint="eastAsia"/>
                <w:color w:val="000000" w:themeColor="text1"/>
                <w:lang w:val="en-US"/>
                <w14:textFill>
                  <w14:solidFill>
                    <w14:schemeClr w14:val="tx1"/>
                  </w14:solidFill>
                </w14:textFill>
              </w:rPr>
              <w:t>1.6</w:t>
            </w:r>
            <w:r>
              <w:rPr>
                <w:rFonts w:hint="eastAsia"/>
                <w:color w:val="000000" w:themeColor="text1"/>
                <w14:textFill>
                  <w14:solidFill>
                    <w14:schemeClr w14:val="tx1"/>
                  </w14:solidFill>
                </w14:textFill>
              </w:rPr>
              <w:t>t，则水帘废水产生量为</w:t>
            </w:r>
            <w:r>
              <w:rPr>
                <w:rFonts w:hint="eastAsia"/>
                <w:color w:val="000000" w:themeColor="text1"/>
                <w:lang w:val="en-US"/>
                <w14:textFill>
                  <w14:solidFill>
                    <w14:schemeClr w14:val="tx1"/>
                  </w14:solidFill>
                </w14:textFill>
              </w:rPr>
              <w:t>3.2</w:t>
            </w:r>
            <w:r>
              <w:rPr>
                <w:rFonts w:hint="eastAsia"/>
                <w:color w:val="000000" w:themeColor="text1"/>
                <w14:textFill>
                  <w14:solidFill>
                    <w14:schemeClr w14:val="tx1"/>
                  </w14:solidFill>
                </w14:textFill>
              </w:rPr>
              <w:t>t/a。</w:t>
            </w:r>
            <w:r>
              <w:rPr>
                <w:rFonts w:cs="Times New Roman"/>
                <w:color w:val="000000" w:themeColor="text1"/>
                <w14:textFill>
                  <w14:solidFill>
                    <w14:schemeClr w14:val="tx1"/>
                  </w14:solidFill>
                </w14:textFill>
              </w:rPr>
              <w:t>根据《国家危险废物名录》（2025年版），</w:t>
            </w:r>
            <w:r>
              <w:rPr>
                <w:rFonts w:hint="eastAsia" w:cs="Times New Roman"/>
                <w:color w:val="000000" w:themeColor="text1"/>
                <w14:textFill>
                  <w14:solidFill>
                    <w14:schemeClr w14:val="tx1"/>
                  </w14:solidFill>
                </w14:textFill>
              </w:rPr>
              <w:t>水帘废水</w:t>
            </w:r>
            <w:r>
              <w:rPr>
                <w:rFonts w:cs="Times New Roman"/>
                <w:color w:val="000000" w:themeColor="text1"/>
                <w14:textFill>
                  <w14:solidFill>
                    <w14:schemeClr w14:val="tx1"/>
                  </w14:solidFill>
                </w14:textFill>
              </w:rPr>
              <w:t>属于HW</w:t>
            </w:r>
            <w:r>
              <w:rPr>
                <w:rFonts w:hint="eastAsia" w:cs="Times New Roman"/>
                <w:color w:val="000000" w:themeColor="text1"/>
                <w14:textFill>
                  <w14:solidFill>
                    <w14:schemeClr w14:val="tx1"/>
                  </w14:solidFill>
                </w14:textFill>
              </w:rPr>
              <w:t>12</w:t>
            </w:r>
            <w:r>
              <w:rPr>
                <w:rFonts w:cs="Times New Roman"/>
                <w:color w:val="000000" w:themeColor="text1"/>
                <w14:textFill>
                  <w14:solidFill>
                    <w14:schemeClr w14:val="tx1"/>
                  </w14:solidFill>
                </w14:textFill>
              </w:rPr>
              <w:t>（废物代码900-</w:t>
            </w:r>
            <w:r>
              <w:rPr>
                <w:rFonts w:hint="eastAsia" w:cs="Times New Roman"/>
                <w:color w:val="000000" w:themeColor="text1"/>
                <w14:textFill>
                  <w14:solidFill>
                    <w14:schemeClr w14:val="tx1"/>
                  </w14:solidFill>
                </w14:textFill>
              </w:rPr>
              <w:t>252</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12</w:t>
            </w:r>
            <w:r>
              <w:rPr>
                <w:rFonts w:cs="Times New Roman"/>
                <w:color w:val="000000" w:themeColor="text1"/>
                <w14:textFill>
                  <w14:solidFill>
                    <w14:schemeClr w14:val="tx1"/>
                  </w14:solidFill>
                </w14:textFill>
              </w:rPr>
              <w:t>），集中收集后危废贮存库暂存，定期交由有资质单位处置</w:t>
            </w:r>
            <w:r>
              <w:rPr>
                <w:rFonts w:hint="eastAsia"/>
                <w:color w:val="000000" w:themeColor="text1"/>
                <w14:textFill>
                  <w14:solidFill>
                    <w14:schemeClr w14:val="tx1"/>
                  </w14:solidFill>
                </w14:textFill>
              </w:rPr>
              <w:t>。</w:t>
            </w:r>
          </w:p>
          <w:p w14:paraId="293205D7">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6）</w:t>
            </w:r>
            <w:r>
              <w:rPr>
                <w:rFonts w:cs="Times New Roman"/>
                <w:color w:val="000000" w:themeColor="text1"/>
                <w14:textFill>
                  <w14:solidFill>
                    <w14:schemeClr w14:val="tx1"/>
                  </w14:solidFill>
                </w14:textFill>
              </w:rPr>
              <w:t>废包装桶：</w:t>
            </w:r>
            <w:r>
              <w:rPr>
                <w:rFonts w:cs="Times New Roman"/>
                <w:color w:val="000000" w:themeColor="text1"/>
                <w:lang w:val="en-US"/>
                <w14:textFill>
                  <w14:solidFill>
                    <w14:schemeClr w14:val="tx1"/>
                  </w14:solidFill>
                </w14:textFill>
              </w:rPr>
              <w:t>项目油漆、稀释剂使用后会产生一定量的废包装桶，废包装桶产生量约为0.1t/a，</w:t>
            </w:r>
            <w:r>
              <w:rPr>
                <w:rFonts w:cs="Times New Roman"/>
                <w:color w:val="000000" w:themeColor="text1"/>
                <w14:textFill>
                  <w14:solidFill>
                    <w14:schemeClr w14:val="tx1"/>
                  </w14:solidFill>
                </w14:textFill>
              </w:rPr>
              <w:t>根据《国家危险废物名录》（2025年版），废包装桶属于HW49（废物代码900-041-49），集中收集后危废贮存库暂存，定期交由有资质单位处置。</w:t>
            </w:r>
          </w:p>
          <w:p w14:paraId="7F16DF0B">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7</w:t>
            </w:r>
            <w:r>
              <w:rPr>
                <w:rFonts w:cs="Times New Roman"/>
                <w:color w:val="000000" w:themeColor="text1"/>
                <w14:textFill>
                  <w14:solidFill>
                    <w14:schemeClr w14:val="tx1"/>
                  </w14:solidFill>
                </w14:textFill>
              </w:rPr>
              <w:t>）废机油：项目机器维修机油使用量较少，根据业主提供的资料，机油年用量约为0.03t/a，70%的机油在作业中消耗，剩余30%为废机油，废机油的产生量约为0.009t/a。</w:t>
            </w:r>
            <w:r>
              <w:rPr>
                <w:rFonts w:cs="Times New Roman"/>
                <w:color w:val="000000" w:themeColor="text1"/>
                <w:lang w:val="en-US"/>
                <w14:textFill>
                  <w14:solidFill>
                    <w14:schemeClr w14:val="tx1"/>
                  </w14:solidFill>
                </w14:textFill>
              </w:rPr>
              <w:t>根据《国家危险废物名录》（2025年版），废机油属于HW08（代码为900-214-08），</w:t>
            </w:r>
            <w:r>
              <w:rPr>
                <w:rFonts w:cs="Times New Roman"/>
                <w:color w:val="000000" w:themeColor="text1"/>
                <w14:textFill>
                  <w14:solidFill>
                    <w14:schemeClr w14:val="tx1"/>
                  </w14:solidFill>
                </w14:textFill>
              </w:rPr>
              <w:t>集中收集后危废贮存库暂存，定期交由有资质单位处置。</w:t>
            </w:r>
          </w:p>
          <w:p w14:paraId="2B77B650">
            <w:pPr>
              <w:pStyle w:val="3"/>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8</w:t>
            </w:r>
            <w:r>
              <w:rPr>
                <w:color w:val="000000" w:themeColor="text1"/>
                <w:sz w:val="24"/>
                <w:szCs w:val="24"/>
                <w14:textFill>
                  <w14:solidFill>
                    <w14:schemeClr w14:val="tx1"/>
                  </w14:solidFill>
                </w14:textFill>
              </w:rPr>
              <w:t>）机油桶：项目机油使用后会产生机油桶，根据建设单位提供资料，项目机油桶产生量约为0.002t/a，根据《国家危险废物名录》（2025年版），机油桶属于HW08类，废物代码为900-249-08，集中收集后危废贮存库暂存，定期交由有资质单位处置。</w:t>
            </w:r>
          </w:p>
          <w:p w14:paraId="2A99E4B8">
            <w:pPr>
              <w:pStyle w:val="3"/>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9</w:t>
            </w:r>
            <w:r>
              <w:rPr>
                <w:color w:val="000000" w:themeColor="text1"/>
                <w:sz w:val="24"/>
                <w:szCs w:val="24"/>
                <w14:textFill>
                  <w14:solidFill>
                    <w14:schemeClr w14:val="tx1"/>
                  </w14:solidFill>
                </w14:textFill>
              </w:rPr>
              <w:t>）含油</w:t>
            </w:r>
            <w:r>
              <w:rPr>
                <w:rFonts w:hint="eastAsia"/>
                <w:color w:val="000000" w:themeColor="text1"/>
                <w:sz w:val="24"/>
                <w:szCs w:val="24"/>
                <w14:textFill>
                  <w14:solidFill>
                    <w14:schemeClr w14:val="tx1"/>
                  </w14:solidFill>
                </w14:textFill>
              </w:rPr>
              <w:t>或油漆</w:t>
            </w:r>
            <w:r>
              <w:rPr>
                <w:color w:val="000000" w:themeColor="text1"/>
                <w:sz w:val="24"/>
                <w:szCs w:val="24"/>
                <w14:textFill>
                  <w14:solidFill>
                    <w14:schemeClr w14:val="tx1"/>
                  </w14:solidFill>
                </w14:textFill>
              </w:rPr>
              <w:t>废抹布及劳保用品：本项目设备维修</w:t>
            </w:r>
            <w:r>
              <w:rPr>
                <w:rFonts w:hint="eastAsia"/>
                <w:color w:val="000000" w:themeColor="text1"/>
                <w:sz w:val="24"/>
                <w:szCs w:val="24"/>
                <w14:textFill>
                  <w14:solidFill>
                    <w14:schemeClr w14:val="tx1"/>
                  </w14:solidFill>
                </w14:textFill>
              </w:rPr>
              <w:t>及喷枪擦拭</w:t>
            </w:r>
            <w:r>
              <w:rPr>
                <w:color w:val="000000" w:themeColor="text1"/>
                <w:sz w:val="24"/>
                <w:szCs w:val="24"/>
                <w14:textFill>
                  <w14:solidFill>
                    <w14:schemeClr w14:val="tx1"/>
                  </w14:solidFill>
                </w14:textFill>
              </w:rPr>
              <w:t>等过程中会产生一定量的含油</w:t>
            </w:r>
            <w:r>
              <w:rPr>
                <w:rFonts w:hint="eastAsia"/>
                <w:color w:val="000000" w:themeColor="text1"/>
                <w:sz w:val="24"/>
                <w:szCs w:val="24"/>
                <w14:textFill>
                  <w14:solidFill>
                    <w14:schemeClr w14:val="tx1"/>
                  </w14:solidFill>
                </w14:textFill>
              </w:rPr>
              <w:t>或油漆</w:t>
            </w:r>
            <w:r>
              <w:rPr>
                <w:color w:val="000000" w:themeColor="text1"/>
                <w:sz w:val="24"/>
                <w:szCs w:val="24"/>
                <w14:textFill>
                  <w14:solidFill>
                    <w14:schemeClr w14:val="tx1"/>
                  </w14:solidFill>
                </w14:textFill>
              </w:rPr>
              <w:t>废抹布及劳保用品，根据建设单位提供资料，项目含油</w:t>
            </w:r>
            <w:r>
              <w:rPr>
                <w:rFonts w:hint="eastAsia"/>
                <w:color w:val="000000" w:themeColor="text1"/>
                <w:sz w:val="24"/>
                <w:szCs w:val="24"/>
                <w14:textFill>
                  <w14:solidFill>
                    <w14:schemeClr w14:val="tx1"/>
                  </w14:solidFill>
                </w14:textFill>
              </w:rPr>
              <w:t>或油漆</w:t>
            </w:r>
            <w:r>
              <w:rPr>
                <w:color w:val="000000" w:themeColor="text1"/>
                <w:sz w:val="24"/>
                <w:szCs w:val="24"/>
                <w14:textFill>
                  <w14:solidFill>
                    <w14:schemeClr w14:val="tx1"/>
                  </w14:solidFill>
                </w14:textFill>
              </w:rPr>
              <w:t>废抹布及劳保用品产生量约0.01t/a，根据《国家危险废物名录》（2025年版），含油</w:t>
            </w:r>
            <w:r>
              <w:rPr>
                <w:rFonts w:hint="eastAsia"/>
                <w:color w:val="000000" w:themeColor="text1"/>
                <w:sz w:val="24"/>
                <w:szCs w:val="24"/>
                <w14:textFill>
                  <w14:solidFill>
                    <w14:schemeClr w14:val="tx1"/>
                  </w14:solidFill>
                </w14:textFill>
              </w:rPr>
              <w:t>或油漆</w:t>
            </w:r>
            <w:r>
              <w:rPr>
                <w:color w:val="000000" w:themeColor="text1"/>
                <w:sz w:val="24"/>
                <w:szCs w:val="24"/>
                <w14:textFill>
                  <w14:solidFill>
                    <w14:schemeClr w14:val="tx1"/>
                  </w14:solidFill>
                </w14:textFill>
              </w:rPr>
              <w:t>废抹布及劳保用品属于HW49（代码为900-041-49），集中收集后危废贮存库暂存，定期交由有资质单位处置。</w:t>
            </w:r>
          </w:p>
          <w:p w14:paraId="6CE82F86">
            <w:pPr>
              <w:pStyle w:val="39"/>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sz w:val="21"/>
                <w:szCs w:val="21"/>
                <w:lang w:bidi="ar"/>
                <w14:textFill>
                  <w14:solidFill>
                    <w14:schemeClr w14:val="tx1"/>
                  </w14:solidFill>
                </w14:textFill>
              </w:rPr>
              <w:t>表4-1</w:t>
            </w:r>
            <w:r>
              <w:rPr>
                <w:rFonts w:hint="eastAsia" w:ascii="Times New Roman" w:hAnsi="Times New Roman"/>
                <w:b/>
                <w:color w:val="000000" w:themeColor="text1"/>
                <w:sz w:val="21"/>
                <w:szCs w:val="21"/>
                <w:lang w:bidi="ar"/>
                <w14:textFill>
                  <w14:solidFill>
                    <w14:schemeClr w14:val="tx1"/>
                  </w14:solidFill>
                </w14:textFill>
              </w:rPr>
              <w:t>7</w:t>
            </w:r>
            <w:r>
              <w:rPr>
                <w:rFonts w:ascii="Times New Roman" w:hAnsi="Times New Roman"/>
                <w:b/>
                <w:color w:val="000000" w:themeColor="text1"/>
                <w:sz w:val="21"/>
                <w:szCs w:val="21"/>
                <w:lang w:bidi="ar"/>
                <w14:textFill>
                  <w14:solidFill>
                    <w14:schemeClr w14:val="tx1"/>
                  </w14:solidFill>
                </w14:textFill>
              </w:rPr>
              <w:t xml:space="preserve">  项目危险废物汇总表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747"/>
              <w:gridCol w:w="1090"/>
              <w:gridCol w:w="1523"/>
              <w:gridCol w:w="1272"/>
              <w:gridCol w:w="811"/>
              <w:gridCol w:w="1239"/>
              <w:gridCol w:w="898"/>
            </w:tblGrid>
            <w:tr w14:paraId="41C84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jc w:val="center"/>
              </w:trPr>
              <w:tc>
                <w:tcPr>
                  <w:tcW w:w="387" w:type="pct"/>
                  <w:tcBorders>
                    <w:top w:val="single" w:color="auto" w:sz="4" w:space="0"/>
                    <w:left w:val="single" w:color="auto" w:sz="4" w:space="0"/>
                    <w:bottom w:val="single" w:color="auto" w:sz="4" w:space="0"/>
                    <w:right w:val="single" w:color="auto" w:sz="4" w:space="0"/>
                  </w:tcBorders>
                  <w:vAlign w:val="center"/>
                </w:tcPr>
                <w:p w14:paraId="227408DD">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序号</w:t>
                  </w:r>
                </w:p>
              </w:tc>
              <w:tc>
                <w:tcPr>
                  <w:tcW w:w="939" w:type="pct"/>
                  <w:tcBorders>
                    <w:top w:val="single" w:color="auto" w:sz="4" w:space="0"/>
                    <w:left w:val="single" w:color="auto" w:sz="4" w:space="0"/>
                    <w:bottom w:val="single" w:color="auto" w:sz="4" w:space="0"/>
                    <w:right w:val="single" w:color="auto" w:sz="4" w:space="0"/>
                  </w:tcBorders>
                  <w:vAlign w:val="center"/>
                </w:tcPr>
                <w:p w14:paraId="5884D063">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危险废物名称</w:t>
                  </w:r>
                </w:p>
              </w:tc>
              <w:tc>
                <w:tcPr>
                  <w:tcW w:w="586" w:type="pct"/>
                  <w:tcBorders>
                    <w:top w:val="single" w:color="auto" w:sz="4" w:space="0"/>
                    <w:left w:val="single" w:color="auto" w:sz="4" w:space="0"/>
                    <w:bottom w:val="single" w:color="auto" w:sz="4" w:space="0"/>
                    <w:right w:val="single" w:color="auto" w:sz="4" w:space="0"/>
                  </w:tcBorders>
                  <w:vAlign w:val="center"/>
                </w:tcPr>
                <w:p w14:paraId="7A3B5874">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危险废物类别</w:t>
                  </w:r>
                </w:p>
              </w:tc>
              <w:tc>
                <w:tcPr>
                  <w:tcW w:w="819" w:type="pct"/>
                  <w:tcBorders>
                    <w:top w:val="single" w:color="auto" w:sz="4" w:space="0"/>
                    <w:left w:val="single" w:color="auto" w:sz="4" w:space="0"/>
                    <w:bottom w:val="single" w:color="auto" w:sz="4" w:space="0"/>
                    <w:right w:val="single" w:color="auto" w:sz="4" w:space="0"/>
                  </w:tcBorders>
                  <w:vAlign w:val="center"/>
                </w:tcPr>
                <w:p w14:paraId="51BD48F5">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危险废物代码</w:t>
                  </w:r>
                </w:p>
              </w:tc>
              <w:tc>
                <w:tcPr>
                  <w:tcW w:w="684" w:type="pct"/>
                  <w:tcBorders>
                    <w:top w:val="single" w:color="auto" w:sz="4" w:space="0"/>
                    <w:left w:val="single" w:color="auto" w:sz="4" w:space="0"/>
                    <w:bottom w:val="single" w:color="auto" w:sz="4" w:space="0"/>
                    <w:right w:val="single" w:color="auto" w:sz="4" w:space="0"/>
                  </w:tcBorders>
                  <w:vAlign w:val="center"/>
                </w:tcPr>
                <w:p w14:paraId="65A4D1B8">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产生量</w:t>
                  </w:r>
                </w:p>
              </w:tc>
              <w:tc>
                <w:tcPr>
                  <w:tcW w:w="436" w:type="pct"/>
                  <w:tcBorders>
                    <w:top w:val="single" w:color="auto" w:sz="4" w:space="0"/>
                    <w:left w:val="single" w:color="auto" w:sz="4" w:space="0"/>
                    <w:bottom w:val="single" w:color="auto" w:sz="4" w:space="0"/>
                    <w:right w:val="single" w:color="auto" w:sz="4" w:space="0"/>
                  </w:tcBorders>
                  <w:vAlign w:val="center"/>
                </w:tcPr>
                <w:p w14:paraId="7F0E5D33">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形态</w:t>
                  </w:r>
                </w:p>
              </w:tc>
              <w:tc>
                <w:tcPr>
                  <w:tcW w:w="666" w:type="pct"/>
                  <w:tcBorders>
                    <w:top w:val="single" w:color="auto" w:sz="4" w:space="0"/>
                    <w:left w:val="single" w:color="auto" w:sz="4" w:space="0"/>
                    <w:bottom w:val="single" w:color="auto" w:sz="4" w:space="0"/>
                    <w:right w:val="single" w:color="auto" w:sz="4" w:space="0"/>
                  </w:tcBorders>
                  <w:vAlign w:val="center"/>
                </w:tcPr>
                <w:p w14:paraId="651A7A2A">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lang w:bidi="ar"/>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贮存方式</w:t>
                  </w:r>
                </w:p>
              </w:tc>
              <w:tc>
                <w:tcPr>
                  <w:tcW w:w="484" w:type="pct"/>
                  <w:tcBorders>
                    <w:top w:val="single" w:color="auto" w:sz="4" w:space="0"/>
                    <w:left w:val="single" w:color="auto" w:sz="4" w:space="0"/>
                    <w:bottom w:val="single" w:color="auto" w:sz="4" w:space="0"/>
                    <w:right w:val="single" w:color="auto" w:sz="4" w:space="0"/>
                  </w:tcBorders>
                  <w:vAlign w:val="center"/>
                </w:tcPr>
                <w:p w14:paraId="43CD9B36">
                  <w:pPr>
                    <w:pStyle w:val="39"/>
                    <w:widowControl w:val="0"/>
                    <w:adjustRightInd w:val="0"/>
                    <w:snapToGrid w:val="0"/>
                    <w:spacing w:before="0" w:beforeAutospacing="0" w:after="0" w:afterAutospacing="0"/>
                    <w:jc w:val="center"/>
                    <w:rPr>
                      <w:rFonts w:ascii="Times New Roman" w:hAnsi="Times New Roman"/>
                      <w:b/>
                      <w:color w:val="000000" w:themeColor="text1"/>
                      <w:kern w:val="2"/>
                      <w:sz w:val="21"/>
                      <w:szCs w:val="21"/>
                      <w14:textFill>
                        <w14:solidFill>
                          <w14:schemeClr w14:val="tx1"/>
                        </w14:solidFill>
                      </w14:textFill>
                    </w:rPr>
                  </w:pPr>
                  <w:r>
                    <w:rPr>
                      <w:rFonts w:ascii="Times New Roman" w:hAnsi="Times New Roman"/>
                      <w:b/>
                      <w:color w:val="000000" w:themeColor="text1"/>
                      <w:kern w:val="2"/>
                      <w:sz w:val="21"/>
                      <w:szCs w:val="21"/>
                      <w:lang w:bidi="ar"/>
                      <w14:textFill>
                        <w14:solidFill>
                          <w14:schemeClr w14:val="tx1"/>
                        </w14:solidFill>
                      </w14:textFill>
                    </w:rPr>
                    <w:t>危险特性</w:t>
                  </w:r>
                </w:p>
              </w:tc>
            </w:tr>
            <w:tr w14:paraId="187B7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3C4EE3CE">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14:textFill>
                        <w14:solidFill>
                          <w14:schemeClr w14:val="tx1"/>
                        </w14:solidFill>
                      </w14:textFill>
                    </w:rPr>
                    <w:t>1</w:t>
                  </w:r>
                </w:p>
              </w:tc>
              <w:tc>
                <w:tcPr>
                  <w:tcW w:w="939" w:type="pct"/>
                  <w:tcBorders>
                    <w:top w:val="single" w:color="auto" w:sz="4" w:space="0"/>
                    <w:left w:val="single" w:color="auto" w:sz="4" w:space="0"/>
                    <w:bottom w:val="single" w:color="auto" w:sz="4" w:space="0"/>
                    <w:right w:val="single" w:color="auto" w:sz="4" w:space="0"/>
                  </w:tcBorders>
                  <w:vAlign w:val="center"/>
                </w:tcPr>
                <w:p w14:paraId="398618D3">
                  <w:pPr>
                    <w:jc w:val="center"/>
                    <w:rPr>
                      <w:bCs/>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废活性炭</w:t>
                  </w:r>
                </w:p>
              </w:tc>
              <w:tc>
                <w:tcPr>
                  <w:tcW w:w="586" w:type="pct"/>
                  <w:tcBorders>
                    <w:top w:val="single" w:color="auto" w:sz="4" w:space="0"/>
                    <w:left w:val="single" w:color="auto" w:sz="4" w:space="0"/>
                    <w:bottom w:val="single" w:color="auto" w:sz="4" w:space="0"/>
                    <w:right w:val="single" w:color="auto" w:sz="4" w:space="0"/>
                  </w:tcBorders>
                  <w:vAlign w:val="center"/>
                </w:tcPr>
                <w:p w14:paraId="687318F6">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HW49</w:t>
                  </w:r>
                </w:p>
              </w:tc>
              <w:tc>
                <w:tcPr>
                  <w:tcW w:w="819" w:type="pct"/>
                  <w:tcBorders>
                    <w:top w:val="single" w:color="auto" w:sz="4" w:space="0"/>
                    <w:left w:val="single" w:color="auto" w:sz="4" w:space="0"/>
                    <w:bottom w:val="single" w:color="auto" w:sz="4" w:space="0"/>
                    <w:right w:val="single" w:color="auto" w:sz="4" w:space="0"/>
                  </w:tcBorders>
                  <w:vAlign w:val="center"/>
                </w:tcPr>
                <w:p w14:paraId="22918C0E">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sz w:val="21"/>
                      <w:szCs w:val="21"/>
                      <w:lang w:bidi="ar"/>
                      <w14:textFill>
                        <w14:solidFill>
                          <w14:schemeClr w14:val="tx1"/>
                        </w14:solidFill>
                      </w14:textFill>
                    </w:rPr>
                    <w:t>900-039-49</w:t>
                  </w:r>
                </w:p>
              </w:tc>
              <w:tc>
                <w:tcPr>
                  <w:tcW w:w="684" w:type="pct"/>
                  <w:tcBorders>
                    <w:top w:val="single" w:color="auto" w:sz="4" w:space="0"/>
                    <w:left w:val="single" w:color="auto" w:sz="4" w:space="0"/>
                    <w:bottom w:val="single" w:color="auto" w:sz="4" w:space="0"/>
                    <w:right w:val="single" w:color="auto" w:sz="4" w:space="0"/>
                  </w:tcBorders>
                  <w:vAlign w:val="center"/>
                </w:tcPr>
                <w:p w14:paraId="44B6C423">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0.5</w:t>
                  </w:r>
                  <w:r>
                    <w:rPr>
                      <w:rFonts w:ascii="Times New Roman" w:hAnsi="Times New Roman"/>
                      <w:bCs/>
                      <w:color w:val="000000" w:themeColor="text1"/>
                      <w:kern w:val="2"/>
                      <w:sz w:val="21"/>
                      <w:szCs w:val="21"/>
                      <w:lang w:bidi="ar"/>
                      <w14:textFill>
                        <w14:solidFill>
                          <w14:schemeClr w14:val="tx1"/>
                        </w14:solidFill>
                      </w14:textFill>
                    </w:rPr>
                    <w:t>t/a</w:t>
                  </w:r>
                </w:p>
              </w:tc>
              <w:tc>
                <w:tcPr>
                  <w:tcW w:w="436" w:type="pct"/>
                  <w:tcBorders>
                    <w:top w:val="single" w:color="auto" w:sz="4" w:space="0"/>
                    <w:left w:val="single" w:color="auto" w:sz="4" w:space="0"/>
                    <w:bottom w:val="single" w:color="auto" w:sz="4" w:space="0"/>
                    <w:right w:val="single" w:color="auto" w:sz="4" w:space="0"/>
                  </w:tcBorders>
                  <w:vAlign w:val="center"/>
                </w:tcPr>
                <w:p w14:paraId="328F3E65">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3C596DB3">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4DD2510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w:t>
                  </w:r>
                </w:p>
              </w:tc>
            </w:tr>
            <w:tr w14:paraId="4D2CE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531FEFE3">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2</w:t>
                  </w:r>
                </w:p>
              </w:tc>
              <w:tc>
                <w:tcPr>
                  <w:tcW w:w="939" w:type="pct"/>
                  <w:tcBorders>
                    <w:top w:val="single" w:color="auto" w:sz="4" w:space="0"/>
                    <w:left w:val="single" w:color="auto" w:sz="4" w:space="0"/>
                    <w:bottom w:val="single" w:color="auto" w:sz="4" w:space="0"/>
                    <w:right w:val="single" w:color="auto" w:sz="4" w:space="0"/>
                  </w:tcBorders>
                  <w:vAlign w:val="center"/>
                </w:tcPr>
                <w:p w14:paraId="0B42B727">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废过滤棉</w:t>
                  </w:r>
                </w:p>
              </w:tc>
              <w:tc>
                <w:tcPr>
                  <w:tcW w:w="586" w:type="pct"/>
                  <w:tcBorders>
                    <w:top w:val="single" w:color="auto" w:sz="4" w:space="0"/>
                    <w:left w:val="single" w:color="auto" w:sz="4" w:space="0"/>
                    <w:bottom w:val="single" w:color="auto" w:sz="4" w:space="0"/>
                    <w:right w:val="single" w:color="auto" w:sz="4" w:space="0"/>
                  </w:tcBorders>
                  <w:vAlign w:val="center"/>
                </w:tcPr>
                <w:p w14:paraId="197904EC">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HW49</w:t>
                  </w:r>
                </w:p>
              </w:tc>
              <w:tc>
                <w:tcPr>
                  <w:tcW w:w="819" w:type="pct"/>
                  <w:tcBorders>
                    <w:top w:val="single" w:color="auto" w:sz="4" w:space="0"/>
                    <w:left w:val="single" w:color="auto" w:sz="4" w:space="0"/>
                    <w:bottom w:val="single" w:color="auto" w:sz="4" w:space="0"/>
                    <w:right w:val="single" w:color="auto" w:sz="4" w:space="0"/>
                  </w:tcBorders>
                  <w:vAlign w:val="center"/>
                </w:tcPr>
                <w:p w14:paraId="52BE9C96">
                  <w:pPr>
                    <w:pStyle w:val="39"/>
                    <w:widowControl w:val="0"/>
                    <w:adjustRightInd w:val="0"/>
                    <w:snapToGrid w:val="0"/>
                    <w:spacing w:before="0" w:beforeAutospacing="0" w:after="0" w:afterAutospacing="0"/>
                    <w:jc w:val="center"/>
                    <w:rPr>
                      <w:rFonts w:ascii="Times New Roman" w:hAnsi="Times New Roman"/>
                      <w:bCs/>
                      <w:color w:val="000000" w:themeColor="text1"/>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900-041-49</w:t>
                  </w:r>
                </w:p>
              </w:tc>
              <w:tc>
                <w:tcPr>
                  <w:tcW w:w="684" w:type="pct"/>
                  <w:tcBorders>
                    <w:top w:val="single" w:color="auto" w:sz="4" w:space="0"/>
                    <w:left w:val="single" w:color="auto" w:sz="4" w:space="0"/>
                    <w:bottom w:val="single" w:color="auto" w:sz="4" w:space="0"/>
                    <w:right w:val="single" w:color="auto" w:sz="4" w:space="0"/>
                  </w:tcBorders>
                  <w:vAlign w:val="center"/>
                </w:tcPr>
                <w:p w14:paraId="758A11F0">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0.446</w:t>
                  </w:r>
                  <w:r>
                    <w:rPr>
                      <w:rFonts w:ascii="Times New Roman" w:hAnsi="Times New Roman"/>
                      <w:bCs/>
                      <w:color w:val="000000" w:themeColor="text1"/>
                      <w:kern w:val="2"/>
                      <w:sz w:val="21"/>
                      <w:szCs w:val="21"/>
                      <w:lang w:bidi="ar"/>
                      <w14:textFill>
                        <w14:solidFill>
                          <w14:schemeClr w14:val="tx1"/>
                        </w14:solidFill>
                      </w14:textFill>
                    </w:rPr>
                    <w:t>t/a</w:t>
                  </w:r>
                </w:p>
              </w:tc>
              <w:tc>
                <w:tcPr>
                  <w:tcW w:w="436" w:type="pct"/>
                  <w:tcBorders>
                    <w:top w:val="single" w:color="auto" w:sz="4" w:space="0"/>
                    <w:left w:val="single" w:color="auto" w:sz="4" w:space="0"/>
                    <w:bottom w:val="single" w:color="auto" w:sz="4" w:space="0"/>
                    <w:right w:val="single" w:color="auto" w:sz="4" w:space="0"/>
                  </w:tcBorders>
                  <w:vAlign w:val="center"/>
                </w:tcPr>
                <w:p w14:paraId="4CDF1029">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247BC4FF">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3B4124C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T/In</w:t>
                  </w:r>
                </w:p>
              </w:tc>
            </w:tr>
            <w:tr w14:paraId="251F4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7EBC21F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3</w:t>
                  </w:r>
                </w:p>
              </w:tc>
              <w:tc>
                <w:tcPr>
                  <w:tcW w:w="939" w:type="pct"/>
                  <w:tcBorders>
                    <w:top w:val="single" w:color="auto" w:sz="4" w:space="0"/>
                    <w:left w:val="single" w:color="auto" w:sz="4" w:space="0"/>
                    <w:bottom w:val="single" w:color="auto" w:sz="4" w:space="0"/>
                    <w:right w:val="single" w:color="auto" w:sz="4" w:space="0"/>
                  </w:tcBorders>
                  <w:vAlign w:val="center"/>
                </w:tcPr>
                <w:p w14:paraId="12702D25">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废催化剂</w:t>
                  </w:r>
                </w:p>
              </w:tc>
              <w:tc>
                <w:tcPr>
                  <w:tcW w:w="586" w:type="pct"/>
                  <w:tcBorders>
                    <w:top w:val="single" w:color="auto" w:sz="4" w:space="0"/>
                    <w:left w:val="single" w:color="auto" w:sz="4" w:space="0"/>
                    <w:bottom w:val="single" w:color="auto" w:sz="4" w:space="0"/>
                    <w:right w:val="single" w:color="auto" w:sz="4" w:space="0"/>
                  </w:tcBorders>
                  <w:vAlign w:val="center"/>
                </w:tcPr>
                <w:p w14:paraId="74809644">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HW50</w:t>
                  </w:r>
                </w:p>
              </w:tc>
              <w:tc>
                <w:tcPr>
                  <w:tcW w:w="819" w:type="pct"/>
                  <w:tcBorders>
                    <w:top w:val="single" w:color="auto" w:sz="4" w:space="0"/>
                    <w:left w:val="single" w:color="auto" w:sz="4" w:space="0"/>
                    <w:bottom w:val="single" w:color="auto" w:sz="4" w:space="0"/>
                    <w:right w:val="single" w:color="auto" w:sz="4" w:space="0"/>
                  </w:tcBorders>
                  <w:vAlign w:val="center"/>
                </w:tcPr>
                <w:p w14:paraId="0411A6E4">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900-049-50</w:t>
                  </w:r>
                </w:p>
              </w:tc>
              <w:tc>
                <w:tcPr>
                  <w:tcW w:w="684" w:type="pct"/>
                  <w:tcBorders>
                    <w:top w:val="single" w:color="auto" w:sz="4" w:space="0"/>
                    <w:left w:val="single" w:color="auto" w:sz="4" w:space="0"/>
                    <w:bottom w:val="single" w:color="auto" w:sz="4" w:space="0"/>
                    <w:right w:val="single" w:color="auto" w:sz="4" w:space="0"/>
                  </w:tcBorders>
                  <w:vAlign w:val="center"/>
                </w:tcPr>
                <w:p w14:paraId="343C39CB">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0.1t/a</w:t>
                  </w:r>
                </w:p>
              </w:tc>
              <w:tc>
                <w:tcPr>
                  <w:tcW w:w="436" w:type="pct"/>
                  <w:tcBorders>
                    <w:top w:val="single" w:color="auto" w:sz="4" w:space="0"/>
                    <w:left w:val="single" w:color="auto" w:sz="4" w:space="0"/>
                    <w:bottom w:val="single" w:color="auto" w:sz="4" w:space="0"/>
                    <w:right w:val="single" w:color="auto" w:sz="4" w:space="0"/>
                  </w:tcBorders>
                  <w:vAlign w:val="center"/>
                </w:tcPr>
                <w:p w14:paraId="0581E6BC">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637D606F">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5BE96D9F">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T</w:t>
                  </w:r>
                </w:p>
              </w:tc>
            </w:tr>
            <w:tr w14:paraId="78DF6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18B25D9A">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4</w:t>
                  </w:r>
                </w:p>
              </w:tc>
              <w:tc>
                <w:tcPr>
                  <w:tcW w:w="939" w:type="pct"/>
                  <w:tcBorders>
                    <w:top w:val="single" w:color="auto" w:sz="4" w:space="0"/>
                    <w:left w:val="single" w:color="auto" w:sz="4" w:space="0"/>
                    <w:bottom w:val="single" w:color="auto" w:sz="4" w:space="0"/>
                    <w:right w:val="single" w:color="auto" w:sz="4" w:space="0"/>
                  </w:tcBorders>
                  <w:vAlign w:val="center"/>
                </w:tcPr>
                <w:p w14:paraId="0DBD93DF">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漆渣</w:t>
                  </w:r>
                </w:p>
              </w:tc>
              <w:tc>
                <w:tcPr>
                  <w:tcW w:w="586" w:type="pct"/>
                  <w:tcBorders>
                    <w:top w:val="single" w:color="auto" w:sz="4" w:space="0"/>
                    <w:left w:val="single" w:color="auto" w:sz="4" w:space="0"/>
                    <w:bottom w:val="single" w:color="auto" w:sz="4" w:space="0"/>
                    <w:right w:val="single" w:color="auto" w:sz="4" w:space="0"/>
                  </w:tcBorders>
                  <w:vAlign w:val="center"/>
                </w:tcPr>
                <w:p w14:paraId="3CDE8AF5">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HW12</w:t>
                  </w:r>
                </w:p>
              </w:tc>
              <w:tc>
                <w:tcPr>
                  <w:tcW w:w="819" w:type="pct"/>
                  <w:tcBorders>
                    <w:top w:val="single" w:color="auto" w:sz="4" w:space="0"/>
                    <w:left w:val="single" w:color="auto" w:sz="4" w:space="0"/>
                    <w:bottom w:val="single" w:color="auto" w:sz="4" w:space="0"/>
                    <w:right w:val="single" w:color="auto" w:sz="4" w:space="0"/>
                  </w:tcBorders>
                  <w:vAlign w:val="center"/>
                </w:tcPr>
                <w:p w14:paraId="4085B4A4">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900-252-12</w:t>
                  </w:r>
                </w:p>
              </w:tc>
              <w:tc>
                <w:tcPr>
                  <w:tcW w:w="684" w:type="pct"/>
                  <w:tcBorders>
                    <w:top w:val="single" w:color="auto" w:sz="4" w:space="0"/>
                    <w:left w:val="single" w:color="auto" w:sz="4" w:space="0"/>
                    <w:bottom w:val="single" w:color="auto" w:sz="4" w:space="0"/>
                    <w:right w:val="single" w:color="auto" w:sz="4" w:space="0"/>
                  </w:tcBorders>
                  <w:vAlign w:val="center"/>
                </w:tcPr>
                <w:p w14:paraId="646FD709">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0.543t/a</w:t>
                  </w:r>
                </w:p>
              </w:tc>
              <w:tc>
                <w:tcPr>
                  <w:tcW w:w="436" w:type="pct"/>
                  <w:tcBorders>
                    <w:top w:val="single" w:color="auto" w:sz="4" w:space="0"/>
                    <w:left w:val="single" w:color="auto" w:sz="4" w:space="0"/>
                    <w:bottom w:val="single" w:color="auto" w:sz="4" w:space="0"/>
                    <w:right w:val="single" w:color="auto" w:sz="4" w:space="0"/>
                  </w:tcBorders>
                  <w:vAlign w:val="center"/>
                </w:tcPr>
                <w:p w14:paraId="31995DD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63B1FEAF">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3E8469E6">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w:t>
                  </w:r>
                </w:p>
              </w:tc>
            </w:tr>
            <w:tr w14:paraId="55478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05AD91F4">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5</w:t>
                  </w:r>
                </w:p>
              </w:tc>
              <w:tc>
                <w:tcPr>
                  <w:tcW w:w="939" w:type="pct"/>
                  <w:tcBorders>
                    <w:top w:val="single" w:color="auto" w:sz="4" w:space="0"/>
                    <w:left w:val="single" w:color="auto" w:sz="4" w:space="0"/>
                    <w:bottom w:val="single" w:color="auto" w:sz="4" w:space="0"/>
                    <w:right w:val="single" w:color="auto" w:sz="4" w:space="0"/>
                  </w:tcBorders>
                  <w:vAlign w:val="center"/>
                </w:tcPr>
                <w:p w14:paraId="6EC4F250">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水帘废水</w:t>
                  </w:r>
                </w:p>
              </w:tc>
              <w:tc>
                <w:tcPr>
                  <w:tcW w:w="586" w:type="pct"/>
                  <w:tcBorders>
                    <w:top w:val="single" w:color="auto" w:sz="4" w:space="0"/>
                    <w:left w:val="single" w:color="auto" w:sz="4" w:space="0"/>
                    <w:bottom w:val="single" w:color="auto" w:sz="4" w:space="0"/>
                    <w:right w:val="single" w:color="auto" w:sz="4" w:space="0"/>
                  </w:tcBorders>
                  <w:vAlign w:val="center"/>
                </w:tcPr>
                <w:p w14:paraId="1490DB81">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HW12</w:t>
                  </w:r>
                </w:p>
              </w:tc>
              <w:tc>
                <w:tcPr>
                  <w:tcW w:w="819" w:type="pct"/>
                  <w:tcBorders>
                    <w:top w:val="single" w:color="auto" w:sz="4" w:space="0"/>
                    <w:left w:val="single" w:color="auto" w:sz="4" w:space="0"/>
                    <w:bottom w:val="single" w:color="auto" w:sz="4" w:space="0"/>
                    <w:right w:val="single" w:color="auto" w:sz="4" w:space="0"/>
                  </w:tcBorders>
                  <w:vAlign w:val="center"/>
                </w:tcPr>
                <w:p w14:paraId="1441A1D5">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900-252-12</w:t>
                  </w:r>
                </w:p>
              </w:tc>
              <w:tc>
                <w:tcPr>
                  <w:tcW w:w="684" w:type="pct"/>
                  <w:tcBorders>
                    <w:top w:val="single" w:color="auto" w:sz="4" w:space="0"/>
                    <w:left w:val="single" w:color="auto" w:sz="4" w:space="0"/>
                    <w:bottom w:val="single" w:color="auto" w:sz="4" w:space="0"/>
                    <w:right w:val="single" w:color="auto" w:sz="4" w:space="0"/>
                  </w:tcBorders>
                  <w:vAlign w:val="center"/>
                </w:tcPr>
                <w:p w14:paraId="34EA242C">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3.2t/a</w:t>
                  </w:r>
                </w:p>
              </w:tc>
              <w:tc>
                <w:tcPr>
                  <w:tcW w:w="436" w:type="pct"/>
                  <w:tcBorders>
                    <w:top w:val="single" w:color="auto" w:sz="4" w:space="0"/>
                    <w:left w:val="single" w:color="auto" w:sz="4" w:space="0"/>
                    <w:bottom w:val="single" w:color="auto" w:sz="4" w:space="0"/>
                    <w:right w:val="single" w:color="auto" w:sz="4" w:space="0"/>
                  </w:tcBorders>
                  <w:vAlign w:val="center"/>
                </w:tcPr>
                <w:p w14:paraId="157A83E1">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液态</w:t>
                  </w:r>
                </w:p>
              </w:tc>
              <w:tc>
                <w:tcPr>
                  <w:tcW w:w="666" w:type="pct"/>
                  <w:tcBorders>
                    <w:top w:val="single" w:color="auto" w:sz="4" w:space="0"/>
                    <w:left w:val="single" w:color="auto" w:sz="4" w:space="0"/>
                    <w:bottom w:val="single" w:color="auto" w:sz="4" w:space="0"/>
                    <w:right w:val="single" w:color="auto" w:sz="4" w:space="0"/>
                  </w:tcBorders>
                  <w:vAlign w:val="center"/>
                </w:tcPr>
                <w:p w14:paraId="182204B0">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6C1AA562">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w:t>
                  </w:r>
                </w:p>
              </w:tc>
            </w:tr>
            <w:tr w14:paraId="37001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4E4E6AE9">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6</w:t>
                  </w:r>
                </w:p>
              </w:tc>
              <w:tc>
                <w:tcPr>
                  <w:tcW w:w="939" w:type="pct"/>
                  <w:tcBorders>
                    <w:top w:val="single" w:color="auto" w:sz="4" w:space="0"/>
                    <w:left w:val="single" w:color="auto" w:sz="4" w:space="0"/>
                    <w:bottom w:val="single" w:color="auto" w:sz="4" w:space="0"/>
                    <w:right w:val="single" w:color="auto" w:sz="4" w:space="0"/>
                  </w:tcBorders>
                  <w:vAlign w:val="center"/>
                </w:tcPr>
                <w:p w14:paraId="31685C37">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废包装桶</w:t>
                  </w:r>
                </w:p>
              </w:tc>
              <w:tc>
                <w:tcPr>
                  <w:tcW w:w="586" w:type="pct"/>
                  <w:tcBorders>
                    <w:top w:val="single" w:color="auto" w:sz="4" w:space="0"/>
                    <w:left w:val="single" w:color="auto" w:sz="4" w:space="0"/>
                    <w:bottom w:val="single" w:color="auto" w:sz="4" w:space="0"/>
                    <w:right w:val="single" w:color="auto" w:sz="4" w:space="0"/>
                  </w:tcBorders>
                  <w:vAlign w:val="center"/>
                </w:tcPr>
                <w:p w14:paraId="0BA66F3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HW49</w:t>
                  </w:r>
                </w:p>
              </w:tc>
              <w:tc>
                <w:tcPr>
                  <w:tcW w:w="819" w:type="pct"/>
                  <w:tcBorders>
                    <w:top w:val="single" w:color="auto" w:sz="4" w:space="0"/>
                    <w:left w:val="single" w:color="auto" w:sz="4" w:space="0"/>
                    <w:bottom w:val="single" w:color="auto" w:sz="4" w:space="0"/>
                    <w:right w:val="single" w:color="auto" w:sz="4" w:space="0"/>
                  </w:tcBorders>
                  <w:vAlign w:val="center"/>
                </w:tcPr>
                <w:p w14:paraId="0B056487">
                  <w:pPr>
                    <w:pStyle w:val="39"/>
                    <w:widowControl w:val="0"/>
                    <w:adjustRightInd w:val="0"/>
                    <w:snapToGrid w:val="0"/>
                    <w:spacing w:before="0" w:beforeAutospacing="0" w:after="0" w:afterAutospacing="0"/>
                    <w:jc w:val="center"/>
                    <w:rPr>
                      <w:rFonts w:ascii="Times New Roman" w:hAnsi="Times New Roman"/>
                      <w:bCs/>
                      <w:color w:val="000000" w:themeColor="text1"/>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900-041-49</w:t>
                  </w:r>
                </w:p>
              </w:tc>
              <w:tc>
                <w:tcPr>
                  <w:tcW w:w="684" w:type="pct"/>
                  <w:tcBorders>
                    <w:top w:val="single" w:color="auto" w:sz="4" w:space="0"/>
                    <w:left w:val="single" w:color="auto" w:sz="4" w:space="0"/>
                    <w:bottom w:val="single" w:color="auto" w:sz="4" w:space="0"/>
                    <w:right w:val="single" w:color="auto" w:sz="4" w:space="0"/>
                  </w:tcBorders>
                  <w:vAlign w:val="center"/>
                </w:tcPr>
                <w:p w14:paraId="68EE56D2">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0.1t/a</w:t>
                  </w:r>
                </w:p>
              </w:tc>
              <w:tc>
                <w:tcPr>
                  <w:tcW w:w="436" w:type="pct"/>
                  <w:tcBorders>
                    <w:top w:val="single" w:color="auto" w:sz="4" w:space="0"/>
                    <w:left w:val="single" w:color="auto" w:sz="4" w:space="0"/>
                    <w:bottom w:val="single" w:color="auto" w:sz="4" w:space="0"/>
                    <w:right w:val="single" w:color="auto" w:sz="4" w:space="0"/>
                  </w:tcBorders>
                  <w:vAlign w:val="center"/>
                </w:tcPr>
                <w:p w14:paraId="1A85B6F2">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16C810AC">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14345727">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T/In</w:t>
                  </w:r>
                </w:p>
              </w:tc>
            </w:tr>
            <w:tr w14:paraId="7EDBE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1A7009C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7</w:t>
                  </w:r>
                </w:p>
              </w:tc>
              <w:tc>
                <w:tcPr>
                  <w:tcW w:w="939" w:type="pct"/>
                  <w:tcBorders>
                    <w:top w:val="single" w:color="auto" w:sz="4" w:space="0"/>
                    <w:left w:val="single" w:color="auto" w:sz="4" w:space="0"/>
                    <w:bottom w:val="single" w:color="auto" w:sz="4" w:space="0"/>
                    <w:right w:val="single" w:color="auto" w:sz="4" w:space="0"/>
                  </w:tcBorders>
                  <w:vAlign w:val="center"/>
                </w:tcPr>
                <w:p w14:paraId="57340117">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废机油</w:t>
                  </w:r>
                </w:p>
              </w:tc>
              <w:tc>
                <w:tcPr>
                  <w:tcW w:w="586" w:type="pct"/>
                  <w:tcBorders>
                    <w:top w:val="single" w:color="auto" w:sz="4" w:space="0"/>
                    <w:left w:val="single" w:color="auto" w:sz="4" w:space="0"/>
                    <w:bottom w:val="single" w:color="auto" w:sz="4" w:space="0"/>
                    <w:right w:val="single" w:color="auto" w:sz="4" w:space="0"/>
                  </w:tcBorders>
                  <w:vAlign w:val="center"/>
                </w:tcPr>
                <w:p w14:paraId="011ABB7B">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HW08</w:t>
                  </w:r>
                </w:p>
              </w:tc>
              <w:tc>
                <w:tcPr>
                  <w:tcW w:w="819" w:type="pct"/>
                  <w:tcBorders>
                    <w:top w:val="single" w:color="auto" w:sz="4" w:space="0"/>
                    <w:left w:val="single" w:color="auto" w:sz="4" w:space="0"/>
                    <w:bottom w:val="single" w:color="auto" w:sz="4" w:space="0"/>
                    <w:right w:val="single" w:color="auto" w:sz="4" w:space="0"/>
                  </w:tcBorders>
                  <w:vAlign w:val="center"/>
                </w:tcPr>
                <w:p w14:paraId="79971547">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900-214-08</w:t>
                  </w:r>
                </w:p>
              </w:tc>
              <w:tc>
                <w:tcPr>
                  <w:tcW w:w="684" w:type="pct"/>
                  <w:tcBorders>
                    <w:top w:val="single" w:color="auto" w:sz="4" w:space="0"/>
                    <w:left w:val="single" w:color="auto" w:sz="4" w:space="0"/>
                    <w:bottom w:val="single" w:color="auto" w:sz="4" w:space="0"/>
                    <w:right w:val="single" w:color="auto" w:sz="4" w:space="0"/>
                  </w:tcBorders>
                  <w:vAlign w:val="center"/>
                </w:tcPr>
                <w:p w14:paraId="34183C75">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0.009t/a</w:t>
                  </w:r>
                </w:p>
              </w:tc>
              <w:tc>
                <w:tcPr>
                  <w:tcW w:w="436" w:type="pct"/>
                  <w:tcBorders>
                    <w:top w:val="single" w:color="auto" w:sz="4" w:space="0"/>
                    <w:left w:val="single" w:color="auto" w:sz="4" w:space="0"/>
                    <w:bottom w:val="single" w:color="auto" w:sz="4" w:space="0"/>
                    <w:right w:val="single" w:color="auto" w:sz="4" w:space="0"/>
                  </w:tcBorders>
                  <w:vAlign w:val="center"/>
                </w:tcPr>
                <w:p w14:paraId="20D416AB">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液态</w:t>
                  </w:r>
                </w:p>
              </w:tc>
              <w:tc>
                <w:tcPr>
                  <w:tcW w:w="666" w:type="pct"/>
                  <w:tcBorders>
                    <w:top w:val="single" w:color="auto" w:sz="4" w:space="0"/>
                    <w:left w:val="single" w:color="auto" w:sz="4" w:space="0"/>
                    <w:bottom w:val="single" w:color="auto" w:sz="4" w:space="0"/>
                    <w:right w:val="single" w:color="auto" w:sz="4" w:space="0"/>
                  </w:tcBorders>
                  <w:vAlign w:val="center"/>
                </w:tcPr>
                <w:p w14:paraId="03766083">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6F613284">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w:t>
                  </w:r>
                </w:p>
              </w:tc>
            </w:tr>
            <w:tr w14:paraId="10370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54A9B3F0">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8</w:t>
                  </w:r>
                </w:p>
              </w:tc>
              <w:tc>
                <w:tcPr>
                  <w:tcW w:w="939" w:type="pct"/>
                  <w:tcBorders>
                    <w:top w:val="single" w:color="auto" w:sz="4" w:space="0"/>
                    <w:left w:val="single" w:color="auto" w:sz="4" w:space="0"/>
                    <w:bottom w:val="single" w:color="auto" w:sz="4" w:space="0"/>
                    <w:right w:val="single" w:color="auto" w:sz="4" w:space="0"/>
                  </w:tcBorders>
                  <w:vAlign w:val="center"/>
                </w:tcPr>
                <w:p w14:paraId="0D68E61E">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机油桶</w:t>
                  </w:r>
                </w:p>
              </w:tc>
              <w:tc>
                <w:tcPr>
                  <w:tcW w:w="586" w:type="pct"/>
                  <w:tcBorders>
                    <w:top w:val="single" w:color="auto" w:sz="4" w:space="0"/>
                    <w:left w:val="single" w:color="auto" w:sz="4" w:space="0"/>
                    <w:bottom w:val="single" w:color="auto" w:sz="4" w:space="0"/>
                    <w:right w:val="single" w:color="auto" w:sz="4" w:space="0"/>
                  </w:tcBorders>
                  <w:vAlign w:val="center"/>
                </w:tcPr>
                <w:p w14:paraId="0C50BDE8">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HW08</w:t>
                  </w:r>
                </w:p>
              </w:tc>
              <w:tc>
                <w:tcPr>
                  <w:tcW w:w="819" w:type="pct"/>
                  <w:tcBorders>
                    <w:top w:val="single" w:color="auto" w:sz="4" w:space="0"/>
                    <w:left w:val="single" w:color="auto" w:sz="4" w:space="0"/>
                    <w:bottom w:val="single" w:color="auto" w:sz="4" w:space="0"/>
                    <w:right w:val="single" w:color="auto" w:sz="4" w:space="0"/>
                  </w:tcBorders>
                  <w:vAlign w:val="center"/>
                </w:tcPr>
                <w:p w14:paraId="109218D1">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900-249-08</w:t>
                  </w:r>
                </w:p>
              </w:tc>
              <w:tc>
                <w:tcPr>
                  <w:tcW w:w="684" w:type="pct"/>
                  <w:tcBorders>
                    <w:top w:val="single" w:color="auto" w:sz="4" w:space="0"/>
                    <w:left w:val="single" w:color="auto" w:sz="4" w:space="0"/>
                    <w:bottom w:val="single" w:color="auto" w:sz="4" w:space="0"/>
                    <w:right w:val="single" w:color="auto" w:sz="4" w:space="0"/>
                  </w:tcBorders>
                  <w:vAlign w:val="center"/>
                </w:tcPr>
                <w:p w14:paraId="4FCED1DB">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0.002t/a</w:t>
                  </w:r>
                </w:p>
              </w:tc>
              <w:tc>
                <w:tcPr>
                  <w:tcW w:w="436" w:type="pct"/>
                  <w:tcBorders>
                    <w:top w:val="single" w:color="auto" w:sz="4" w:space="0"/>
                    <w:left w:val="single" w:color="auto" w:sz="4" w:space="0"/>
                    <w:bottom w:val="single" w:color="auto" w:sz="4" w:space="0"/>
                    <w:right w:val="single" w:color="auto" w:sz="4" w:space="0"/>
                  </w:tcBorders>
                  <w:vAlign w:val="center"/>
                </w:tcPr>
                <w:p w14:paraId="4C55A6C9">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0CEC39E6">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5D75EDF7">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T/In</w:t>
                  </w:r>
                </w:p>
              </w:tc>
            </w:tr>
            <w:tr w14:paraId="4DB27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2AE84AD2">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hint="eastAsia" w:ascii="Times New Roman" w:hAnsi="Times New Roman"/>
                      <w:bCs/>
                      <w:color w:val="000000" w:themeColor="text1"/>
                      <w:kern w:val="2"/>
                      <w:sz w:val="21"/>
                      <w:szCs w:val="21"/>
                      <w:lang w:bidi="ar"/>
                      <w14:textFill>
                        <w14:solidFill>
                          <w14:schemeClr w14:val="tx1"/>
                        </w14:solidFill>
                      </w14:textFill>
                    </w:rPr>
                    <w:t>9</w:t>
                  </w:r>
                </w:p>
              </w:tc>
              <w:tc>
                <w:tcPr>
                  <w:tcW w:w="939" w:type="pct"/>
                  <w:tcBorders>
                    <w:top w:val="single" w:color="auto" w:sz="4" w:space="0"/>
                    <w:left w:val="single" w:color="auto" w:sz="4" w:space="0"/>
                    <w:bottom w:val="single" w:color="auto" w:sz="4" w:space="0"/>
                    <w:right w:val="single" w:color="auto" w:sz="4" w:space="0"/>
                  </w:tcBorders>
                  <w:vAlign w:val="center"/>
                </w:tcPr>
                <w:p w14:paraId="2C8B2179">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含油</w:t>
                  </w:r>
                  <w:r>
                    <w:rPr>
                      <w:rFonts w:hint="eastAsia"/>
                      <w:bCs/>
                      <w:color w:val="000000" w:themeColor="text1"/>
                      <w:szCs w:val="21"/>
                      <w:lang w:bidi="ar"/>
                      <w14:textFill>
                        <w14:solidFill>
                          <w14:schemeClr w14:val="tx1"/>
                        </w14:solidFill>
                      </w14:textFill>
                    </w:rPr>
                    <w:t>或油漆</w:t>
                  </w:r>
                  <w:r>
                    <w:rPr>
                      <w:bCs/>
                      <w:color w:val="000000" w:themeColor="text1"/>
                      <w:szCs w:val="21"/>
                      <w:lang w:bidi="ar"/>
                      <w14:textFill>
                        <w14:solidFill>
                          <w14:schemeClr w14:val="tx1"/>
                        </w14:solidFill>
                      </w14:textFill>
                    </w:rPr>
                    <w:t>废抹布及劳保用品</w:t>
                  </w:r>
                </w:p>
              </w:tc>
              <w:tc>
                <w:tcPr>
                  <w:tcW w:w="586" w:type="pct"/>
                  <w:tcBorders>
                    <w:top w:val="single" w:color="auto" w:sz="4" w:space="0"/>
                    <w:left w:val="single" w:color="auto" w:sz="4" w:space="0"/>
                    <w:bottom w:val="single" w:color="auto" w:sz="4" w:space="0"/>
                    <w:right w:val="single" w:color="auto" w:sz="4" w:space="0"/>
                  </w:tcBorders>
                  <w:vAlign w:val="center"/>
                </w:tcPr>
                <w:p w14:paraId="708FE7DC">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HW49</w:t>
                  </w:r>
                </w:p>
              </w:tc>
              <w:tc>
                <w:tcPr>
                  <w:tcW w:w="819" w:type="pct"/>
                  <w:tcBorders>
                    <w:top w:val="single" w:color="auto" w:sz="4" w:space="0"/>
                    <w:left w:val="single" w:color="auto" w:sz="4" w:space="0"/>
                    <w:bottom w:val="single" w:color="auto" w:sz="4" w:space="0"/>
                    <w:right w:val="single" w:color="auto" w:sz="4" w:space="0"/>
                  </w:tcBorders>
                  <w:vAlign w:val="center"/>
                </w:tcPr>
                <w:p w14:paraId="5BBED902">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900-041-49</w:t>
                  </w:r>
                </w:p>
              </w:tc>
              <w:tc>
                <w:tcPr>
                  <w:tcW w:w="684" w:type="pct"/>
                  <w:tcBorders>
                    <w:top w:val="single" w:color="auto" w:sz="4" w:space="0"/>
                    <w:left w:val="single" w:color="auto" w:sz="4" w:space="0"/>
                    <w:bottom w:val="single" w:color="auto" w:sz="4" w:space="0"/>
                    <w:right w:val="single" w:color="auto" w:sz="4" w:space="0"/>
                  </w:tcBorders>
                  <w:vAlign w:val="center"/>
                </w:tcPr>
                <w:p w14:paraId="439805C2">
                  <w:pPr>
                    <w:pStyle w:val="39"/>
                    <w:widowControl w:val="0"/>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0.01t/a</w:t>
                  </w:r>
                </w:p>
              </w:tc>
              <w:tc>
                <w:tcPr>
                  <w:tcW w:w="436" w:type="pct"/>
                  <w:tcBorders>
                    <w:top w:val="single" w:color="auto" w:sz="4" w:space="0"/>
                    <w:left w:val="single" w:color="auto" w:sz="4" w:space="0"/>
                    <w:bottom w:val="single" w:color="auto" w:sz="4" w:space="0"/>
                    <w:right w:val="single" w:color="auto" w:sz="4" w:space="0"/>
                  </w:tcBorders>
                  <w:vAlign w:val="center"/>
                </w:tcPr>
                <w:p w14:paraId="3A21A9C3">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固态</w:t>
                  </w:r>
                </w:p>
              </w:tc>
              <w:tc>
                <w:tcPr>
                  <w:tcW w:w="666" w:type="pct"/>
                  <w:tcBorders>
                    <w:top w:val="single" w:color="auto" w:sz="4" w:space="0"/>
                    <w:left w:val="single" w:color="auto" w:sz="4" w:space="0"/>
                    <w:bottom w:val="single" w:color="auto" w:sz="4" w:space="0"/>
                    <w:right w:val="single" w:color="auto" w:sz="4" w:space="0"/>
                  </w:tcBorders>
                  <w:vAlign w:val="center"/>
                </w:tcPr>
                <w:p w14:paraId="387A5FDA">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桶装</w:t>
                  </w:r>
                </w:p>
              </w:tc>
              <w:tc>
                <w:tcPr>
                  <w:tcW w:w="484" w:type="pct"/>
                  <w:tcBorders>
                    <w:top w:val="single" w:color="auto" w:sz="4" w:space="0"/>
                    <w:left w:val="single" w:color="auto" w:sz="4" w:space="0"/>
                    <w:bottom w:val="single" w:color="auto" w:sz="4" w:space="0"/>
                    <w:right w:val="single" w:color="auto" w:sz="4" w:space="0"/>
                  </w:tcBorders>
                  <w:vAlign w:val="center"/>
                </w:tcPr>
                <w:p w14:paraId="49BC0902">
                  <w:pPr>
                    <w:pStyle w:val="39"/>
                    <w:widowControl w:val="0"/>
                    <w:adjustRightInd w:val="0"/>
                    <w:snapToGrid w:val="0"/>
                    <w:spacing w:before="0" w:beforeAutospacing="0" w:after="0" w:afterAutospacing="0"/>
                    <w:jc w:val="center"/>
                    <w:rPr>
                      <w:rFonts w:ascii="Times New Roman" w:hAnsi="Times New Roman"/>
                      <w:bCs/>
                      <w:color w:val="000000" w:themeColor="text1"/>
                      <w:kern w:val="2"/>
                      <w:sz w:val="21"/>
                      <w:szCs w:val="21"/>
                      <w:lang w:bidi="ar"/>
                      <w14:textFill>
                        <w14:solidFill>
                          <w14:schemeClr w14:val="tx1"/>
                        </w14:solidFill>
                      </w14:textFill>
                    </w:rPr>
                  </w:pPr>
                  <w:r>
                    <w:rPr>
                      <w:rFonts w:ascii="Times New Roman" w:hAnsi="Times New Roman"/>
                      <w:bCs/>
                      <w:color w:val="000000" w:themeColor="text1"/>
                      <w:kern w:val="2"/>
                      <w:sz w:val="21"/>
                      <w:szCs w:val="21"/>
                      <w:lang w:bidi="ar"/>
                      <w14:textFill>
                        <w14:solidFill>
                          <w14:schemeClr w14:val="tx1"/>
                        </w14:solidFill>
                      </w14:textFill>
                    </w:rPr>
                    <w:t>T/In</w:t>
                  </w:r>
                </w:p>
              </w:tc>
            </w:tr>
          </w:tbl>
          <w:p w14:paraId="51AFE185">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根据《固体废物鉴别标准</w:t>
            </w:r>
            <w:r>
              <w:rPr>
                <w:rFonts w:hint="eastAsia" w:cs="Times New Roman"/>
                <w:color w:val="000000" w:themeColor="text1"/>
                <w14:textFill>
                  <w14:solidFill>
                    <w14:schemeClr w14:val="tx1"/>
                  </w14:solidFill>
                </w14:textFill>
              </w:rPr>
              <w:t xml:space="preserve"> </w:t>
            </w:r>
            <w:r>
              <w:rPr>
                <w:rFonts w:cs="Times New Roman"/>
                <w:color w:val="000000" w:themeColor="text1"/>
                <w14:textFill>
                  <w14:solidFill>
                    <w14:schemeClr w14:val="tx1"/>
                  </w14:solidFill>
                </w14:textFill>
              </w:rPr>
              <w:t>通则》(GB34330-20</w:t>
            </w:r>
            <w:r>
              <w:rPr>
                <w:rFonts w:hint="eastAsia" w:cs="Times New Roman"/>
                <w:color w:val="000000" w:themeColor="text1"/>
                <w14:textFill>
                  <w14:solidFill>
                    <w14:schemeClr w14:val="tx1"/>
                  </w14:solidFill>
                </w14:textFill>
              </w:rPr>
              <w:t>25</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w:t>
            </w:r>
            <w:r>
              <w:rPr>
                <w:color w:val="000000" w:themeColor="text1"/>
                <w14:textFill>
                  <w14:solidFill>
                    <w14:schemeClr w14:val="tx1"/>
                  </w14:solidFill>
                </w14:textFill>
              </w:rPr>
              <w:t>《危险废物鉴别标准 通则》（GB 5085.7-2019）</w:t>
            </w:r>
            <w:r>
              <w:rPr>
                <w:rFonts w:cs="Times New Roman"/>
                <w:color w:val="000000" w:themeColor="text1"/>
                <w14:textFill>
                  <w14:solidFill>
                    <w14:schemeClr w14:val="tx1"/>
                  </w14:solidFill>
                </w14:textFill>
              </w:rPr>
              <w:t>对本项目生产过程的固体废物属性进行判定，本项目固体废物产排情况见下表所示。</w:t>
            </w:r>
          </w:p>
          <w:p w14:paraId="2DDD6CD8">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表4-1</w:t>
            </w:r>
            <w:r>
              <w:rPr>
                <w:rFonts w:hint="eastAsia" w:eastAsiaTheme="minorEastAsia"/>
                <w:color w:val="000000" w:themeColor="text1"/>
                <w14:textFill>
                  <w14:solidFill>
                    <w14:schemeClr w14:val="tx1"/>
                  </w14:solidFill>
                </w14:textFill>
              </w:rPr>
              <w:t>8</w:t>
            </w:r>
            <w:r>
              <w:rPr>
                <w:rFonts w:eastAsiaTheme="minorEastAsia"/>
                <w:color w:val="000000" w:themeColor="text1"/>
                <w14:textFill>
                  <w14:solidFill>
                    <w14:schemeClr w14:val="tx1"/>
                  </w14:solidFill>
                </w14:textFill>
              </w:rPr>
              <w:t xml:space="preserve">  本项目固体废物产排情况表</w:t>
            </w:r>
          </w:p>
          <w:tbl>
            <w:tblPr>
              <w:tblStyle w:val="44"/>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740"/>
              <w:gridCol w:w="2757"/>
              <w:gridCol w:w="1099"/>
              <w:gridCol w:w="2091"/>
              <w:gridCol w:w="924"/>
            </w:tblGrid>
            <w:tr w14:paraId="3F427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81" w:type="pct"/>
                  <w:vAlign w:val="center"/>
                </w:tcPr>
                <w:p w14:paraId="22A5671F">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序号</w:t>
                  </w:r>
                </w:p>
              </w:tc>
              <w:tc>
                <w:tcPr>
                  <w:tcW w:w="946" w:type="pct"/>
                  <w:vAlign w:val="center"/>
                </w:tcPr>
                <w:p w14:paraId="3E71E322">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名称</w:t>
                  </w:r>
                </w:p>
              </w:tc>
              <w:tc>
                <w:tcPr>
                  <w:tcW w:w="1493" w:type="pct"/>
                  <w:vAlign w:val="center"/>
                </w:tcPr>
                <w:p w14:paraId="3223652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固废代码</w:t>
                  </w:r>
                </w:p>
              </w:tc>
              <w:tc>
                <w:tcPr>
                  <w:tcW w:w="538" w:type="pct"/>
                  <w:vAlign w:val="center"/>
                </w:tcPr>
                <w:p w14:paraId="12EC1576">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产生量</w:t>
                  </w:r>
                </w:p>
              </w:tc>
              <w:tc>
                <w:tcPr>
                  <w:tcW w:w="1135" w:type="pct"/>
                  <w:vAlign w:val="center"/>
                </w:tcPr>
                <w:p w14:paraId="05FFFB41">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处置方式</w:t>
                  </w:r>
                </w:p>
              </w:tc>
              <w:tc>
                <w:tcPr>
                  <w:tcW w:w="507" w:type="pct"/>
                  <w:vAlign w:val="center"/>
                </w:tcPr>
                <w:p w14:paraId="4856A69C">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排放量</w:t>
                  </w:r>
                </w:p>
              </w:tc>
            </w:tr>
            <w:tr w14:paraId="4484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81" w:type="pct"/>
                  <w:vAlign w:val="center"/>
                </w:tcPr>
                <w:p w14:paraId="7420366B">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1</w:t>
                  </w:r>
                </w:p>
              </w:tc>
              <w:tc>
                <w:tcPr>
                  <w:tcW w:w="946" w:type="pct"/>
                  <w:vAlign w:val="center"/>
                </w:tcPr>
                <w:p w14:paraId="12D495B1">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金属边角料</w:t>
                  </w:r>
                </w:p>
              </w:tc>
              <w:tc>
                <w:tcPr>
                  <w:tcW w:w="1493" w:type="pct"/>
                  <w:vAlign w:val="center"/>
                </w:tcPr>
                <w:p w14:paraId="007F73A8">
                  <w:pPr>
                    <w:pStyle w:val="187"/>
                    <w:rPr>
                      <w:color w:val="000000" w:themeColor="text1"/>
                      <w:kern w:val="2"/>
                      <w14:textFill>
                        <w14:solidFill>
                          <w14:schemeClr w14:val="tx1"/>
                        </w14:solidFill>
                      </w14:textFill>
                    </w:rPr>
                  </w:pPr>
                  <w:r>
                    <w:rPr>
                      <w:color w:val="000000" w:themeColor="text1"/>
                      <w14:textFill>
                        <w14:solidFill>
                          <w14:schemeClr w14:val="tx1"/>
                        </w14:solidFill>
                      </w14:textFill>
                    </w:rPr>
                    <w:t>900-0</w:t>
                  </w:r>
                  <w:r>
                    <w:rPr>
                      <w:rFonts w:hint="eastAsia"/>
                      <w:color w:val="000000" w:themeColor="text1"/>
                      <w14:textFill>
                        <w14:solidFill>
                          <w14:schemeClr w14:val="tx1"/>
                        </w14:solidFill>
                      </w14:textFill>
                    </w:rPr>
                    <w:t>01</w:t>
                  </w:r>
                  <w:r>
                    <w:rPr>
                      <w:color w:val="000000" w:themeColor="text1"/>
                      <w14:textFill>
                        <w14:solidFill>
                          <w14:schemeClr w14:val="tx1"/>
                        </w14:solidFill>
                      </w14:textFill>
                    </w:rPr>
                    <w:t>-S17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900-0</w:t>
                  </w:r>
                  <w:r>
                    <w:rPr>
                      <w:rFonts w:hint="eastAsia"/>
                      <w:color w:val="000000" w:themeColor="text1"/>
                      <w14:textFill>
                        <w14:solidFill>
                          <w14:schemeClr w14:val="tx1"/>
                        </w14:solidFill>
                      </w14:textFill>
                    </w:rPr>
                    <w:t>02</w:t>
                  </w:r>
                  <w:r>
                    <w:rPr>
                      <w:color w:val="000000" w:themeColor="text1"/>
                      <w14:textFill>
                        <w14:solidFill>
                          <w14:schemeClr w14:val="tx1"/>
                        </w14:solidFill>
                      </w14:textFill>
                    </w:rPr>
                    <w:t>-S17</w:t>
                  </w:r>
                </w:p>
              </w:tc>
              <w:tc>
                <w:tcPr>
                  <w:tcW w:w="538" w:type="pct"/>
                  <w:vAlign w:val="center"/>
                </w:tcPr>
                <w:p w14:paraId="3484AB08">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1t/a</w:t>
                  </w:r>
                </w:p>
              </w:tc>
              <w:tc>
                <w:tcPr>
                  <w:tcW w:w="1135" w:type="pct"/>
                  <w:vAlign w:val="center"/>
                </w:tcPr>
                <w:p w14:paraId="60A211D2">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外售物资回收单位</w:t>
                  </w:r>
                </w:p>
              </w:tc>
              <w:tc>
                <w:tcPr>
                  <w:tcW w:w="507" w:type="pct"/>
                  <w:vAlign w:val="center"/>
                </w:tcPr>
                <w:p w14:paraId="4492884F">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1DD5A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81" w:type="pct"/>
                  <w:vAlign w:val="center"/>
                </w:tcPr>
                <w:p w14:paraId="1804F675">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2</w:t>
                  </w:r>
                </w:p>
              </w:tc>
              <w:tc>
                <w:tcPr>
                  <w:tcW w:w="946" w:type="pct"/>
                  <w:vAlign w:val="center"/>
                </w:tcPr>
                <w:p w14:paraId="116FAB24">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废包装材料</w:t>
                  </w:r>
                </w:p>
              </w:tc>
              <w:tc>
                <w:tcPr>
                  <w:tcW w:w="1493" w:type="pct"/>
                  <w:vAlign w:val="center"/>
                </w:tcPr>
                <w:p w14:paraId="0405463E">
                  <w:pPr>
                    <w:pStyle w:val="187"/>
                    <w:rPr>
                      <w:color w:val="000000" w:themeColor="text1"/>
                      <w:kern w:val="2"/>
                      <w14:textFill>
                        <w14:solidFill>
                          <w14:schemeClr w14:val="tx1"/>
                        </w14:solidFill>
                      </w14:textFill>
                    </w:rPr>
                  </w:pPr>
                  <w:r>
                    <w:rPr>
                      <w:color w:val="000000" w:themeColor="text1"/>
                      <w14:textFill>
                        <w14:solidFill>
                          <w14:schemeClr w14:val="tx1"/>
                        </w14:solidFill>
                      </w14:textFill>
                    </w:rPr>
                    <w:t>900-0</w:t>
                  </w:r>
                  <w:r>
                    <w:rPr>
                      <w:rFonts w:hint="eastAsia"/>
                      <w:color w:val="000000" w:themeColor="text1"/>
                      <w14:textFill>
                        <w14:solidFill>
                          <w14:schemeClr w14:val="tx1"/>
                        </w14:solidFill>
                      </w14:textFill>
                    </w:rPr>
                    <w:t>03</w:t>
                  </w:r>
                  <w:r>
                    <w:rPr>
                      <w:color w:val="000000" w:themeColor="text1"/>
                      <w14:textFill>
                        <w14:solidFill>
                          <w14:schemeClr w14:val="tx1"/>
                        </w14:solidFill>
                      </w14:textFill>
                    </w:rPr>
                    <w:t>-S17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900-0</w:t>
                  </w:r>
                  <w:r>
                    <w:rPr>
                      <w:rFonts w:hint="eastAsia"/>
                      <w:color w:val="000000" w:themeColor="text1"/>
                      <w14:textFill>
                        <w14:solidFill>
                          <w14:schemeClr w14:val="tx1"/>
                        </w14:solidFill>
                      </w14:textFill>
                    </w:rPr>
                    <w:t>05</w:t>
                  </w:r>
                  <w:r>
                    <w:rPr>
                      <w:color w:val="000000" w:themeColor="text1"/>
                      <w14:textFill>
                        <w14:solidFill>
                          <w14:schemeClr w14:val="tx1"/>
                        </w14:solidFill>
                      </w14:textFill>
                    </w:rPr>
                    <w:t>-S17</w:t>
                  </w:r>
                </w:p>
              </w:tc>
              <w:tc>
                <w:tcPr>
                  <w:tcW w:w="538" w:type="pct"/>
                  <w:vAlign w:val="center"/>
                </w:tcPr>
                <w:p w14:paraId="59647AE9">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0.5t/a</w:t>
                  </w:r>
                </w:p>
              </w:tc>
              <w:tc>
                <w:tcPr>
                  <w:tcW w:w="1135" w:type="pct"/>
                  <w:vAlign w:val="center"/>
                </w:tcPr>
                <w:p w14:paraId="7ECC13EF">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外售物资回收单位</w:t>
                  </w:r>
                </w:p>
              </w:tc>
              <w:tc>
                <w:tcPr>
                  <w:tcW w:w="507" w:type="pct"/>
                  <w:vAlign w:val="center"/>
                </w:tcPr>
                <w:p w14:paraId="7625A91D">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6D568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29CBE534">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3</w:t>
                  </w:r>
                </w:p>
              </w:tc>
              <w:tc>
                <w:tcPr>
                  <w:tcW w:w="946" w:type="pct"/>
                  <w:vAlign w:val="center"/>
                </w:tcPr>
                <w:p w14:paraId="0E24D343">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生活垃圾</w:t>
                  </w:r>
                </w:p>
              </w:tc>
              <w:tc>
                <w:tcPr>
                  <w:tcW w:w="1493" w:type="pct"/>
                  <w:vAlign w:val="center"/>
                </w:tcPr>
                <w:p w14:paraId="35C95CE0">
                  <w:pPr>
                    <w:pStyle w:val="187"/>
                    <w:rPr>
                      <w:color w:val="000000" w:themeColor="text1"/>
                      <w14:textFill>
                        <w14:solidFill>
                          <w14:schemeClr w14:val="tx1"/>
                        </w14:solidFill>
                      </w14:textFill>
                    </w:rPr>
                  </w:pPr>
                  <w:r>
                    <w:rPr>
                      <w:color w:val="000000" w:themeColor="text1"/>
                      <w14:textFill>
                        <w14:solidFill>
                          <w14:schemeClr w14:val="tx1"/>
                        </w14:solidFill>
                      </w14:textFill>
                    </w:rPr>
                    <w:t>900-099-S64</w:t>
                  </w:r>
                </w:p>
              </w:tc>
              <w:tc>
                <w:tcPr>
                  <w:tcW w:w="538" w:type="pct"/>
                  <w:vAlign w:val="center"/>
                </w:tcPr>
                <w:p w14:paraId="08FCC54F">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2.25</w:t>
                  </w:r>
                  <w:r>
                    <w:rPr>
                      <w:color w:val="000000" w:themeColor="text1"/>
                      <w14:textFill>
                        <w14:solidFill>
                          <w14:schemeClr w14:val="tx1"/>
                        </w14:solidFill>
                      </w14:textFill>
                    </w:rPr>
                    <w:t>t/a</w:t>
                  </w:r>
                </w:p>
              </w:tc>
              <w:tc>
                <w:tcPr>
                  <w:tcW w:w="1135" w:type="pct"/>
                  <w:vAlign w:val="center"/>
                </w:tcPr>
                <w:p w14:paraId="642A298F">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环卫部门定期处理</w:t>
                  </w:r>
                </w:p>
              </w:tc>
              <w:tc>
                <w:tcPr>
                  <w:tcW w:w="507" w:type="pct"/>
                  <w:vAlign w:val="center"/>
                </w:tcPr>
                <w:p w14:paraId="40894630">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0D58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2B8E1269">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3</w:t>
                  </w:r>
                </w:p>
              </w:tc>
              <w:tc>
                <w:tcPr>
                  <w:tcW w:w="946" w:type="pct"/>
                  <w:vAlign w:val="center"/>
                </w:tcPr>
                <w:p w14:paraId="0465204A">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废活性炭</w:t>
                  </w:r>
                </w:p>
              </w:tc>
              <w:tc>
                <w:tcPr>
                  <w:tcW w:w="1493" w:type="pct"/>
                  <w:vAlign w:val="center"/>
                </w:tcPr>
                <w:p w14:paraId="369457B4">
                  <w:pPr>
                    <w:pStyle w:val="187"/>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538" w:type="pct"/>
                  <w:vAlign w:val="center"/>
                </w:tcPr>
                <w:p w14:paraId="73F55D4B">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0.5</w:t>
                  </w:r>
                  <w:r>
                    <w:rPr>
                      <w:bCs/>
                      <w:color w:val="000000" w:themeColor="text1"/>
                      <w:kern w:val="2"/>
                      <w:lang w:bidi="ar"/>
                      <w14:textFill>
                        <w14:solidFill>
                          <w14:schemeClr w14:val="tx1"/>
                        </w14:solidFill>
                      </w14:textFill>
                    </w:rPr>
                    <w:t>t/a</w:t>
                  </w:r>
                </w:p>
              </w:tc>
              <w:tc>
                <w:tcPr>
                  <w:tcW w:w="1135" w:type="pct"/>
                  <w:vAlign w:val="center"/>
                </w:tcPr>
                <w:p w14:paraId="2708FC56">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1EC52CE9">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6BEF3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1DEEE87A">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4</w:t>
                  </w:r>
                </w:p>
              </w:tc>
              <w:tc>
                <w:tcPr>
                  <w:tcW w:w="946" w:type="pct"/>
                  <w:vAlign w:val="center"/>
                </w:tcPr>
                <w:p w14:paraId="715944C4">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废过滤棉</w:t>
                  </w:r>
                </w:p>
              </w:tc>
              <w:tc>
                <w:tcPr>
                  <w:tcW w:w="1493" w:type="pct"/>
                  <w:vAlign w:val="center"/>
                </w:tcPr>
                <w:p w14:paraId="08B0191B">
                  <w:pPr>
                    <w:pStyle w:val="187"/>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538" w:type="pct"/>
                  <w:vAlign w:val="center"/>
                </w:tcPr>
                <w:p w14:paraId="66BFC4B2">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0.446</w:t>
                  </w:r>
                  <w:r>
                    <w:rPr>
                      <w:bCs/>
                      <w:color w:val="000000" w:themeColor="text1"/>
                      <w:kern w:val="2"/>
                      <w:lang w:bidi="ar"/>
                      <w14:textFill>
                        <w14:solidFill>
                          <w14:schemeClr w14:val="tx1"/>
                        </w14:solidFill>
                      </w14:textFill>
                    </w:rPr>
                    <w:t>t/a</w:t>
                  </w:r>
                </w:p>
              </w:tc>
              <w:tc>
                <w:tcPr>
                  <w:tcW w:w="1135" w:type="pct"/>
                  <w:vAlign w:val="center"/>
                </w:tcPr>
                <w:p w14:paraId="65E9E117">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586D15EE">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0C8B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4B49031E">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5</w:t>
                  </w:r>
                </w:p>
              </w:tc>
              <w:tc>
                <w:tcPr>
                  <w:tcW w:w="946" w:type="pct"/>
                  <w:vAlign w:val="center"/>
                </w:tcPr>
                <w:p w14:paraId="4B09791A">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废催化剂</w:t>
                  </w:r>
                </w:p>
              </w:tc>
              <w:tc>
                <w:tcPr>
                  <w:tcW w:w="1493" w:type="pct"/>
                  <w:vAlign w:val="center"/>
                </w:tcPr>
                <w:p w14:paraId="4577C72B">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900-049-50</w:t>
                  </w:r>
                </w:p>
              </w:tc>
              <w:tc>
                <w:tcPr>
                  <w:tcW w:w="538" w:type="pct"/>
                  <w:vAlign w:val="center"/>
                </w:tcPr>
                <w:p w14:paraId="1F20859B">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0.1t/a</w:t>
                  </w:r>
                </w:p>
              </w:tc>
              <w:tc>
                <w:tcPr>
                  <w:tcW w:w="1135" w:type="pct"/>
                  <w:vAlign w:val="center"/>
                </w:tcPr>
                <w:p w14:paraId="3DB23BA3">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79A6BC1F">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5E715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3106704A">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6</w:t>
                  </w:r>
                </w:p>
              </w:tc>
              <w:tc>
                <w:tcPr>
                  <w:tcW w:w="946" w:type="pct"/>
                  <w:vAlign w:val="center"/>
                </w:tcPr>
                <w:p w14:paraId="5F0E896B">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漆渣</w:t>
                  </w:r>
                </w:p>
              </w:tc>
              <w:tc>
                <w:tcPr>
                  <w:tcW w:w="1493" w:type="pct"/>
                  <w:vAlign w:val="center"/>
                </w:tcPr>
                <w:p w14:paraId="4BBAB319">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900-252-12</w:t>
                  </w:r>
                </w:p>
              </w:tc>
              <w:tc>
                <w:tcPr>
                  <w:tcW w:w="538" w:type="pct"/>
                  <w:vAlign w:val="center"/>
                </w:tcPr>
                <w:p w14:paraId="5475AF21">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0.543t/a</w:t>
                  </w:r>
                </w:p>
              </w:tc>
              <w:tc>
                <w:tcPr>
                  <w:tcW w:w="1135" w:type="pct"/>
                  <w:vAlign w:val="center"/>
                </w:tcPr>
                <w:p w14:paraId="41CC7827">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5C2A50F9">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07754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29530261">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7</w:t>
                  </w:r>
                </w:p>
              </w:tc>
              <w:tc>
                <w:tcPr>
                  <w:tcW w:w="946" w:type="pct"/>
                  <w:vAlign w:val="center"/>
                </w:tcPr>
                <w:p w14:paraId="708F06D2">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水帘废水</w:t>
                  </w:r>
                </w:p>
              </w:tc>
              <w:tc>
                <w:tcPr>
                  <w:tcW w:w="1493" w:type="pct"/>
                  <w:vAlign w:val="center"/>
                </w:tcPr>
                <w:p w14:paraId="3A05A059">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900-252-12</w:t>
                  </w:r>
                </w:p>
              </w:tc>
              <w:tc>
                <w:tcPr>
                  <w:tcW w:w="538" w:type="pct"/>
                  <w:vAlign w:val="center"/>
                </w:tcPr>
                <w:p w14:paraId="04E54C21">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3.2t/a</w:t>
                  </w:r>
                </w:p>
              </w:tc>
              <w:tc>
                <w:tcPr>
                  <w:tcW w:w="1135" w:type="pct"/>
                  <w:vAlign w:val="center"/>
                </w:tcPr>
                <w:p w14:paraId="6BA640A3">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640AA553">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40D8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544B008B">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8</w:t>
                  </w:r>
                </w:p>
              </w:tc>
              <w:tc>
                <w:tcPr>
                  <w:tcW w:w="946" w:type="pct"/>
                  <w:vAlign w:val="center"/>
                </w:tcPr>
                <w:p w14:paraId="5C60BC1F">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废包装桶</w:t>
                  </w:r>
                </w:p>
              </w:tc>
              <w:tc>
                <w:tcPr>
                  <w:tcW w:w="1493" w:type="pct"/>
                  <w:vAlign w:val="center"/>
                </w:tcPr>
                <w:p w14:paraId="061DD31F">
                  <w:pPr>
                    <w:pStyle w:val="187"/>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538" w:type="pct"/>
                  <w:vAlign w:val="center"/>
                </w:tcPr>
                <w:p w14:paraId="41390848">
                  <w:pPr>
                    <w:pStyle w:val="187"/>
                    <w:rPr>
                      <w:color w:val="000000" w:themeColor="text1"/>
                      <w14:textFill>
                        <w14:solidFill>
                          <w14:schemeClr w14:val="tx1"/>
                        </w14:solidFill>
                      </w14:textFill>
                    </w:rPr>
                  </w:pPr>
                  <w:r>
                    <w:rPr>
                      <w:color w:val="000000" w:themeColor="text1"/>
                      <w14:textFill>
                        <w14:solidFill>
                          <w14:schemeClr w14:val="tx1"/>
                        </w14:solidFill>
                      </w14:textFill>
                    </w:rPr>
                    <w:t>0.1t/a</w:t>
                  </w:r>
                </w:p>
              </w:tc>
              <w:tc>
                <w:tcPr>
                  <w:tcW w:w="1135" w:type="pct"/>
                  <w:vAlign w:val="center"/>
                </w:tcPr>
                <w:p w14:paraId="43FF7897">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3AC208CE">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1FDA3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50820B10">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9</w:t>
                  </w:r>
                </w:p>
              </w:tc>
              <w:tc>
                <w:tcPr>
                  <w:tcW w:w="946" w:type="pct"/>
                  <w:vAlign w:val="center"/>
                </w:tcPr>
                <w:p w14:paraId="27EF4E50">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废机油</w:t>
                  </w:r>
                </w:p>
              </w:tc>
              <w:tc>
                <w:tcPr>
                  <w:tcW w:w="1493" w:type="pct"/>
                  <w:vAlign w:val="center"/>
                </w:tcPr>
                <w:p w14:paraId="229C2350">
                  <w:pPr>
                    <w:pStyle w:val="187"/>
                    <w:rPr>
                      <w:color w:val="000000" w:themeColor="text1"/>
                      <w14:textFill>
                        <w14:solidFill>
                          <w14:schemeClr w14:val="tx1"/>
                        </w14:solidFill>
                      </w14:textFill>
                    </w:rPr>
                  </w:pPr>
                  <w:r>
                    <w:rPr>
                      <w:color w:val="000000" w:themeColor="text1"/>
                      <w14:textFill>
                        <w14:solidFill>
                          <w14:schemeClr w14:val="tx1"/>
                        </w14:solidFill>
                      </w14:textFill>
                    </w:rPr>
                    <w:t>900-214-08</w:t>
                  </w:r>
                </w:p>
              </w:tc>
              <w:tc>
                <w:tcPr>
                  <w:tcW w:w="538" w:type="pct"/>
                  <w:vAlign w:val="center"/>
                </w:tcPr>
                <w:p w14:paraId="5B037C24">
                  <w:pPr>
                    <w:pStyle w:val="187"/>
                    <w:rPr>
                      <w:color w:val="000000" w:themeColor="text1"/>
                      <w14:textFill>
                        <w14:solidFill>
                          <w14:schemeClr w14:val="tx1"/>
                        </w14:solidFill>
                      </w14:textFill>
                    </w:rPr>
                  </w:pPr>
                  <w:r>
                    <w:rPr>
                      <w:color w:val="000000" w:themeColor="text1"/>
                      <w14:textFill>
                        <w14:solidFill>
                          <w14:schemeClr w14:val="tx1"/>
                        </w14:solidFill>
                      </w14:textFill>
                    </w:rPr>
                    <w:t>0.009t/a</w:t>
                  </w:r>
                </w:p>
              </w:tc>
              <w:tc>
                <w:tcPr>
                  <w:tcW w:w="1135" w:type="pct"/>
                  <w:vAlign w:val="center"/>
                </w:tcPr>
                <w:p w14:paraId="2FBE673E">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368B7A29">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28695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11CBB6D7">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10</w:t>
                  </w:r>
                </w:p>
              </w:tc>
              <w:tc>
                <w:tcPr>
                  <w:tcW w:w="946" w:type="pct"/>
                  <w:vAlign w:val="center"/>
                </w:tcPr>
                <w:p w14:paraId="4F320708">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机油桶</w:t>
                  </w:r>
                </w:p>
              </w:tc>
              <w:tc>
                <w:tcPr>
                  <w:tcW w:w="1493" w:type="pct"/>
                  <w:vAlign w:val="center"/>
                </w:tcPr>
                <w:p w14:paraId="4D44AF33">
                  <w:pPr>
                    <w:pStyle w:val="187"/>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538" w:type="pct"/>
                  <w:vAlign w:val="center"/>
                </w:tcPr>
                <w:p w14:paraId="5F020394">
                  <w:pPr>
                    <w:pStyle w:val="187"/>
                    <w:rPr>
                      <w:color w:val="000000" w:themeColor="text1"/>
                      <w14:textFill>
                        <w14:solidFill>
                          <w14:schemeClr w14:val="tx1"/>
                        </w14:solidFill>
                      </w14:textFill>
                    </w:rPr>
                  </w:pPr>
                  <w:r>
                    <w:rPr>
                      <w:color w:val="000000" w:themeColor="text1"/>
                      <w14:textFill>
                        <w14:solidFill>
                          <w14:schemeClr w14:val="tx1"/>
                        </w14:solidFill>
                      </w14:textFill>
                    </w:rPr>
                    <w:t>0.002t/a</w:t>
                  </w:r>
                </w:p>
              </w:tc>
              <w:tc>
                <w:tcPr>
                  <w:tcW w:w="1135" w:type="pct"/>
                  <w:vAlign w:val="center"/>
                </w:tcPr>
                <w:p w14:paraId="6B502C9D">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7DCC79CB">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r w14:paraId="6605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1" w:type="pct"/>
                  <w:vAlign w:val="center"/>
                </w:tcPr>
                <w:p w14:paraId="6D29627D">
                  <w:pPr>
                    <w:pStyle w:val="187"/>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11</w:t>
                  </w:r>
                </w:p>
              </w:tc>
              <w:tc>
                <w:tcPr>
                  <w:tcW w:w="946" w:type="pct"/>
                  <w:vAlign w:val="center"/>
                </w:tcPr>
                <w:p w14:paraId="67B44401">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含油</w:t>
                  </w:r>
                  <w:r>
                    <w:rPr>
                      <w:rFonts w:hint="eastAsia"/>
                      <w:color w:val="000000" w:themeColor="text1"/>
                      <w:kern w:val="2"/>
                      <w14:textFill>
                        <w14:solidFill>
                          <w14:schemeClr w14:val="tx1"/>
                        </w14:solidFill>
                      </w14:textFill>
                    </w:rPr>
                    <w:t>或油漆</w:t>
                  </w:r>
                  <w:r>
                    <w:rPr>
                      <w:color w:val="000000" w:themeColor="text1"/>
                      <w:kern w:val="2"/>
                      <w14:textFill>
                        <w14:solidFill>
                          <w14:schemeClr w14:val="tx1"/>
                        </w14:solidFill>
                      </w14:textFill>
                    </w:rPr>
                    <w:t>废抹布及劳保用品</w:t>
                  </w:r>
                </w:p>
              </w:tc>
              <w:tc>
                <w:tcPr>
                  <w:tcW w:w="1493" w:type="pct"/>
                  <w:vAlign w:val="center"/>
                </w:tcPr>
                <w:p w14:paraId="09A1B81A">
                  <w:pPr>
                    <w:pStyle w:val="187"/>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538" w:type="pct"/>
                  <w:vAlign w:val="center"/>
                </w:tcPr>
                <w:p w14:paraId="1C2079D7">
                  <w:pPr>
                    <w:pStyle w:val="187"/>
                    <w:rPr>
                      <w:color w:val="000000" w:themeColor="text1"/>
                      <w14:textFill>
                        <w14:solidFill>
                          <w14:schemeClr w14:val="tx1"/>
                        </w14:solidFill>
                      </w14:textFill>
                    </w:rPr>
                  </w:pPr>
                  <w:r>
                    <w:rPr>
                      <w:color w:val="000000" w:themeColor="text1"/>
                      <w14:textFill>
                        <w14:solidFill>
                          <w14:schemeClr w14:val="tx1"/>
                        </w14:solidFill>
                      </w14:textFill>
                    </w:rPr>
                    <w:t>0.01t/a</w:t>
                  </w:r>
                </w:p>
              </w:tc>
              <w:tc>
                <w:tcPr>
                  <w:tcW w:w="1135" w:type="pct"/>
                  <w:vAlign w:val="center"/>
                </w:tcPr>
                <w:p w14:paraId="24EEF005">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交有资质单位处置</w:t>
                  </w:r>
                </w:p>
              </w:tc>
              <w:tc>
                <w:tcPr>
                  <w:tcW w:w="507" w:type="pct"/>
                  <w:vAlign w:val="center"/>
                </w:tcPr>
                <w:p w14:paraId="7D7AAB28">
                  <w:pPr>
                    <w:pStyle w:val="187"/>
                    <w:rPr>
                      <w:color w:val="000000" w:themeColor="text1"/>
                      <w:kern w:val="2"/>
                      <w14:textFill>
                        <w14:solidFill>
                          <w14:schemeClr w14:val="tx1"/>
                        </w14:solidFill>
                      </w14:textFill>
                    </w:rPr>
                  </w:pPr>
                  <w:r>
                    <w:rPr>
                      <w:color w:val="000000" w:themeColor="text1"/>
                      <w:kern w:val="2"/>
                      <w14:textFill>
                        <w14:solidFill>
                          <w14:schemeClr w14:val="tx1"/>
                        </w14:solidFill>
                      </w14:textFill>
                    </w:rPr>
                    <w:t>0</w:t>
                  </w:r>
                </w:p>
              </w:tc>
            </w:tr>
          </w:tbl>
          <w:p w14:paraId="6C83905A">
            <w:pPr>
              <w:pStyle w:val="206"/>
              <w:spacing w:line="360" w:lineRule="auto"/>
              <w:ind w:firstLine="480"/>
              <w:rPr>
                <w:rFonts w:cs="Times New Roman"/>
                <w:color w:val="000000" w:themeColor="text1"/>
                <w:lang w:val="en-US"/>
                <w14:textFill>
                  <w14:solidFill>
                    <w14:schemeClr w14:val="tx1"/>
                  </w14:solidFill>
                </w14:textFill>
              </w:rPr>
            </w:pPr>
            <w:r>
              <w:rPr>
                <w:rFonts w:cs="Times New Roman"/>
                <w:color w:val="000000" w:themeColor="text1"/>
                <w:lang w:val="en-US"/>
                <w14:textFill>
                  <w14:solidFill>
                    <w14:schemeClr w14:val="tx1"/>
                  </w14:solidFill>
                </w14:textFill>
              </w:rPr>
              <w:t>2</w:t>
            </w:r>
            <w:r>
              <w:rPr>
                <w:rFonts w:cs="Times New Roman"/>
                <w:color w:val="000000" w:themeColor="text1"/>
                <w14:textFill>
                  <w14:solidFill>
                    <w14:schemeClr w14:val="tx1"/>
                  </w14:solidFill>
                </w14:textFill>
              </w:rPr>
              <w:t>、固体废物环境影响分析</w:t>
            </w:r>
          </w:p>
          <w:p w14:paraId="0E45C93B">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（1）一般固体废物</w:t>
            </w:r>
          </w:p>
          <w:p w14:paraId="26458BB7">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根据上述分析可知，本项目运营期产生的一般固体废物为金属边角料、废包装材料以及员工生活垃圾。</w:t>
            </w:r>
          </w:p>
          <w:p w14:paraId="550DB68F">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其中，金属边角料、废包装材料经集中收集后外售物资回收单位。员工生活垃圾由环卫部门统一清运。项目</w:t>
            </w:r>
            <w:r>
              <w:rPr>
                <w:rFonts w:hint="eastAsia"/>
                <w:b w:val="0"/>
                <w:color w:val="000000" w:themeColor="text1"/>
                <w14:textFill>
                  <w14:solidFill>
                    <w14:schemeClr w14:val="tx1"/>
                  </w14:solidFill>
                </w14:textFill>
              </w:rPr>
              <w:t>于车间西侧</w:t>
            </w:r>
            <w:r>
              <w:rPr>
                <w:b w:val="0"/>
                <w:color w:val="000000" w:themeColor="text1"/>
                <w14:textFill>
                  <w14:solidFill>
                    <w14:schemeClr w14:val="tx1"/>
                  </w14:solidFill>
                </w14:textFill>
              </w:rPr>
              <w:t>设置一间固体废物暂存间（5m</w:t>
            </w:r>
            <w:r>
              <w:rPr>
                <w:b w:val="0"/>
                <w:color w:val="000000" w:themeColor="text1"/>
                <w:vertAlign w:val="superscript"/>
                <w14:textFill>
                  <w14:solidFill>
                    <w14:schemeClr w14:val="tx1"/>
                  </w14:solidFill>
                </w14:textFill>
              </w:rPr>
              <w:t>2</w:t>
            </w:r>
            <w:r>
              <w:rPr>
                <w:b w:val="0"/>
                <w:color w:val="000000" w:themeColor="text1"/>
                <w14:textFill>
                  <w14:solidFill>
                    <w14:schemeClr w14:val="tx1"/>
                  </w14:solidFill>
                </w14:textFill>
              </w:rPr>
              <w:t>）</w:t>
            </w:r>
            <w:r>
              <w:rPr>
                <w:rFonts w:hint="eastAsia"/>
                <w:b w:val="0"/>
                <w:color w:val="000000" w:themeColor="text1"/>
                <w14:textFill>
                  <w14:solidFill>
                    <w14:schemeClr w14:val="tx1"/>
                  </w14:solidFill>
                </w14:textFill>
              </w:rPr>
              <w:t>，储存能力为2t</w:t>
            </w:r>
            <w:r>
              <w:rPr>
                <w:b w:val="0"/>
                <w:color w:val="000000" w:themeColor="text1"/>
                <w14:textFill>
                  <w14:solidFill>
                    <w14:schemeClr w14:val="tx1"/>
                  </w14:solidFill>
                </w14:textFill>
              </w:rPr>
              <w:t>。项目产生的固体废物均可得到合理处置，对外环境影响较小。</w:t>
            </w:r>
          </w:p>
          <w:p w14:paraId="0A2165F1">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本次评价要求企业在生产过程中要注意对各类固体废物收集和储运，必须切实做好固废的分类工作。企业应加强固废的分类收集、贮存，各类</w:t>
            </w:r>
            <w:r>
              <w:rPr>
                <w:rFonts w:hint="eastAsia"/>
                <w:b w:val="0"/>
                <w:color w:val="000000" w:themeColor="text1"/>
                <w14:textFill>
                  <w14:solidFill>
                    <w14:schemeClr w14:val="tx1"/>
                  </w14:solidFill>
                </w14:textFill>
              </w:rPr>
              <w:t>固体废物</w:t>
            </w:r>
            <w:r>
              <w:rPr>
                <w:b w:val="0"/>
                <w:color w:val="000000" w:themeColor="text1"/>
                <w14:textFill>
                  <w14:solidFill>
                    <w14:schemeClr w14:val="tx1"/>
                  </w14:solidFill>
                </w14:textFill>
              </w:rPr>
              <w:t>严禁露天堆放。固体废物有序分类堆放且建立固体废物</w:t>
            </w:r>
            <w:r>
              <w:rPr>
                <w:rFonts w:hint="eastAsia"/>
                <w:b w:val="0"/>
                <w:color w:val="000000" w:themeColor="text1"/>
                <w14:textFill>
                  <w14:solidFill>
                    <w14:schemeClr w14:val="tx1"/>
                  </w14:solidFill>
                </w14:textFill>
              </w:rPr>
              <w:t>台账</w:t>
            </w:r>
            <w:r>
              <w:rPr>
                <w:b w:val="0"/>
                <w:color w:val="000000" w:themeColor="text1"/>
                <w14:textFill>
                  <w14:solidFill>
                    <w14:schemeClr w14:val="tx1"/>
                  </w14:solidFill>
                </w14:textFill>
              </w:rPr>
              <w:t>，地面应做防渗处理，避免因日晒雨淋产生二次污染。严格按照《中华人民共和国固体废物污染环境防治法》中的相关规定进行储存和管理。</w:t>
            </w:r>
          </w:p>
          <w:p w14:paraId="3E5087CC">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严格落实废物堆放及垃圾处理防范措施，特别是对于有毒有害物质的暂存，避免其中的有害组分通过风化、雨水淋溶、地表径流的侵蚀，产生有毒有害液体渗入土壤，对土壤环境产生污染。</w:t>
            </w:r>
          </w:p>
          <w:p w14:paraId="32766E4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（2）危险废物</w:t>
            </w:r>
          </w:p>
          <w:p w14:paraId="0470A8F4">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项目危险废物主要为废活性炭、废过滤棉、</w:t>
            </w:r>
            <w:r>
              <w:rPr>
                <w:rFonts w:hint="eastAsia" w:cs="Times New Roman"/>
                <w:color w:val="000000" w:themeColor="text1"/>
                <w14:textFill>
                  <w14:solidFill>
                    <w14:schemeClr w14:val="tx1"/>
                  </w14:solidFill>
                </w14:textFill>
              </w:rPr>
              <w:t>废催化剂、漆渣、水帘废水、</w:t>
            </w:r>
            <w:r>
              <w:rPr>
                <w:rFonts w:cs="Times New Roman"/>
                <w:color w:val="000000" w:themeColor="text1"/>
                <w14:textFill>
                  <w14:solidFill>
                    <w14:schemeClr w14:val="tx1"/>
                  </w14:solidFill>
                </w14:textFill>
              </w:rPr>
              <w:t>废包装桶、废机油、机油桶、含油</w:t>
            </w:r>
            <w:r>
              <w:rPr>
                <w:rFonts w:hint="eastAsia" w:cs="Times New Roman"/>
                <w:color w:val="000000" w:themeColor="text1"/>
                <w14:textFill>
                  <w14:solidFill>
                    <w14:schemeClr w14:val="tx1"/>
                  </w14:solidFill>
                </w14:textFill>
              </w:rPr>
              <w:t>或油漆</w:t>
            </w:r>
            <w:r>
              <w:rPr>
                <w:rFonts w:cs="Times New Roman"/>
                <w:color w:val="000000" w:themeColor="text1"/>
                <w14:textFill>
                  <w14:solidFill>
                    <w14:schemeClr w14:val="tx1"/>
                  </w14:solidFill>
                </w14:textFill>
              </w:rPr>
              <w:t>废抹布及劳保用品，分类收集，集中储存于危险废物贮存库，定期交有资质单位进行处理。</w:t>
            </w:r>
          </w:p>
          <w:p w14:paraId="710E5D5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1）危险废物的收集、贮存</w:t>
            </w:r>
          </w:p>
          <w:p w14:paraId="4F200ED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根据上述分析，项目的危险废物主要为废活性炭、废过滤棉、</w:t>
            </w:r>
            <w:r>
              <w:rPr>
                <w:rFonts w:hint="eastAsia" w:cs="Times New Roman"/>
                <w:color w:val="000000" w:themeColor="text1"/>
                <w14:textFill>
                  <w14:solidFill>
                    <w14:schemeClr w14:val="tx1"/>
                  </w14:solidFill>
                </w14:textFill>
              </w:rPr>
              <w:t>废催化剂、漆渣、水帘废水、</w:t>
            </w:r>
            <w:r>
              <w:rPr>
                <w:rFonts w:cs="Times New Roman"/>
                <w:color w:val="000000" w:themeColor="text1"/>
                <w14:textFill>
                  <w14:solidFill>
                    <w14:schemeClr w14:val="tx1"/>
                  </w14:solidFill>
                </w14:textFill>
              </w:rPr>
              <w:t>废包装桶、废机油、机油桶、含油</w:t>
            </w:r>
            <w:r>
              <w:rPr>
                <w:rFonts w:hint="eastAsia" w:cs="Times New Roman"/>
                <w:color w:val="000000" w:themeColor="text1"/>
                <w14:textFill>
                  <w14:solidFill>
                    <w14:schemeClr w14:val="tx1"/>
                  </w14:solidFill>
                </w14:textFill>
              </w:rPr>
              <w:t>或油漆</w:t>
            </w:r>
            <w:r>
              <w:rPr>
                <w:rFonts w:cs="Times New Roman"/>
                <w:color w:val="000000" w:themeColor="text1"/>
                <w14:textFill>
                  <w14:solidFill>
                    <w14:schemeClr w14:val="tx1"/>
                  </w14:solidFill>
                </w14:textFill>
              </w:rPr>
              <w:t>废抹布及劳保用品。</w:t>
            </w:r>
            <w:r>
              <w:rPr>
                <w:rFonts w:hint="eastAsia" w:cs="Times New Roman"/>
                <w:color w:val="000000" w:themeColor="text1"/>
                <w14:textFill>
                  <w14:solidFill>
                    <w14:schemeClr w14:val="tx1"/>
                  </w14:solidFill>
                </w14:textFill>
              </w:rPr>
              <w:t>项目于车间西侧设置一间危废贮存库（10m</w:t>
            </w:r>
            <w:r>
              <w:rPr>
                <w:rFonts w:hint="eastAsia" w:cs="Times New Roman"/>
                <w:color w:val="000000" w:themeColor="text1"/>
                <w:vertAlign w:val="superscript"/>
                <w14:textFill>
                  <w14:solidFill>
                    <w14:schemeClr w14:val="tx1"/>
                  </w14:solidFill>
                </w14:textFill>
              </w:rPr>
              <w:t>2</w:t>
            </w:r>
            <w:r>
              <w:rPr>
                <w:rFonts w:hint="eastAsia" w:cs="Times New Roman"/>
                <w:color w:val="000000" w:themeColor="text1"/>
                <w14:textFill>
                  <w14:solidFill>
                    <w14:schemeClr w14:val="tx1"/>
                  </w14:solidFill>
                </w14:textFill>
              </w:rPr>
              <w:t>），储存能力5t，能有效满足本项目危废储存的要求。</w:t>
            </w:r>
            <w:r>
              <w:rPr>
                <w:rFonts w:cs="Times New Roman"/>
                <w:color w:val="000000" w:themeColor="text1"/>
                <w14:textFill>
                  <w14:solidFill>
                    <w14:schemeClr w14:val="tx1"/>
                  </w14:solidFill>
                </w14:textFill>
              </w:rPr>
              <w:t>本评价要求建设单位对危废贮存库设置防风、防雨、防渗、防流失措施，对危废贮存库地面刷水泥基渗透结晶型防渗涂料防渗，同时依据《危险废物贮存污染控制标准》（GB 18597-2023）要求，渗透系数≤10</w:t>
            </w:r>
            <w:r>
              <w:rPr>
                <w:rFonts w:cs="Times New Roman"/>
                <w:color w:val="000000" w:themeColor="text1"/>
                <w:vertAlign w:val="superscript"/>
                <w14:textFill>
                  <w14:solidFill>
                    <w14:schemeClr w14:val="tx1"/>
                  </w14:solidFill>
                </w14:textFill>
              </w:rPr>
              <w:t>-10</w:t>
            </w:r>
            <w:r>
              <w:rPr>
                <w:rFonts w:cs="Times New Roman"/>
                <w:color w:val="000000" w:themeColor="text1"/>
                <w14:textFill>
                  <w14:solidFill>
                    <w14:schemeClr w14:val="tx1"/>
                  </w14:solidFill>
                </w14:textFill>
              </w:rPr>
              <w:t>cm/s；其余工作区防渗要求为：等效黏土防渗层厚度≥6.0m，渗透系数≤1.0×10</w:t>
            </w:r>
            <w:r>
              <w:rPr>
                <w:rFonts w:cs="Times New Roman"/>
                <w:color w:val="000000" w:themeColor="text1"/>
                <w:vertAlign w:val="superscript"/>
                <w14:textFill>
                  <w14:solidFill>
                    <w14:schemeClr w14:val="tx1"/>
                  </w14:solidFill>
                </w14:textFill>
              </w:rPr>
              <w:t>-7</w:t>
            </w:r>
            <w:r>
              <w:rPr>
                <w:rFonts w:cs="Times New Roman"/>
                <w:color w:val="000000" w:themeColor="text1"/>
                <w14:textFill>
                  <w14:solidFill>
                    <w14:schemeClr w14:val="tx1"/>
                  </w14:solidFill>
                </w14:textFill>
              </w:rPr>
              <w:t>cm/s。经有效处理后，项目固体废物不会对周边环境产生影响。项目危废贮存场所基本情况见表4-1</w:t>
            </w:r>
            <w:r>
              <w:rPr>
                <w:rFonts w:hint="eastAsia" w:cs="Times New Roman"/>
                <w:color w:val="000000" w:themeColor="text1"/>
                <w14:textFill>
                  <w14:solidFill>
                    <w14:schemeClr w14:val="tx1"/>
                  </w14:solidFill>
                </w14:textFill>
              </w:rPr>
              <w:t>9</w:t>
            </w:r>
            <w:r>
              <w:rPr>
                <w:rFonts w:cs="Times New Roman"/>
                <w:color w:val="000000" w:themeColor="text1"/>
                <w14:textFill>
                  <w14:solidFill>
                    <w14:schemeClr w14:val="tx1"/>
                  </w14:solidFill>
                </w14:textFill>
              </w:rPr>
              <w:t>。</w:t>
            </w:r>
          </w:p>
          <w:p w14:paraId="1BE59949">
            <w:pPr>
              <w:pStyle w:val="180"/>
              <w:spacing w:line="240" w:lineRule="auto"/>
              <w:rPr>
                <w:color w:val="000000" w:themeColor="text1"/>
                <w14:textFill>
                  <w14:solidFill>
                    <w14:schemeClr w14:val="tx1"/>
                  </w14:solidFill>
                </w14:textFill>
              </w:rPr>
            </w:pPr>
            <w:r>
              <w:rPr>
                <w:color w:val="000000" w:themeColor="text1"/>
                <w14:textFill>
                  <w14:solidFill>
                    <w14:schemeClr w14:val="tx1"/>
                  </w14:solidFill>
                </w14:textFill>
              </w:rPr>
              <w:t>表4-1</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 xml:space="preserve">  项目危险废物贮存场所（设施）基本情况</w:t>
            </w:r>
          </w:p>
          <w:tbl>
            <w:tblPr>
              <w:tblStyle w:val="4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669"/>
              <w:gridCol w:w="1731"/>
              <w:gridCol w:w="849"/>
              <w:gridCol w:w="770"/>
              <w:gridCol w:w="781"/>
              <w:gridCol w:w="697"/>
              <w:gridCol w:w="1449"/>
              <w:gridCol w:w="891"/>
              <w:gridCol w:w="838"/>
            </w:tblGrid>
            <w:tr w14:paraId="37A66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523636D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363" w:type="pct"/>
                  <w:vAlign w:val="center"/>
                </w:tcPr>
                <w:p w14:paraId="04E2041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贮存场所</w:t>
                  </w:r>
                </w:p>
              </w:tc>
              <w:tc>
                <w:tcPr>
                  <w:tcW w:w="934" w:type="pct"/>
                  <w:vAlign w:val="center"/>
                </w:tcPr>
                <w:p w14:paraId="6DC2914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危险废物名称</w:t>
                  </w:r>
                </w:p>
              </w:tc>
              <w:tc>
                <w:tcPr>
                  <w:tcW w:w="459" w:type="pct"/>
                  <w:vAlign w:val="center"/>
                </w:tcPr>
                <w:p w14:paraId="5C4B7AB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类别</w:t>
                  </w:r>
                </w:p>
              </w:tc>
              <w:tc>
                <w:tcPr>
                  <w:tcW w:w="418" w:type="pct"/>
                  <w:vAlign w:val="center"/>
                </w:tcPr>
                <w:p w14:paraId="56AF0A4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位置</w:t>
                  </w:r>
                </w:p>
              </w:tc>
              <w:tc>
                <w:tcPr>
                  <w:tcW w:w="392" w:type="pct"/>
                  <w:vAlign w:val="center"/>
                </w:tcPr>
                <w:p w14:paraId="142948A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占地面积</w:t>
                  </w:r>
                </w:p>
              </w:tc>
              <w:tc>
                <w:tcPr>
                  <w:tcW w:w="378" w:type="pct"/>
                  <w:vAlign w:val="center"/>
                </w:tcPr>
                <w:p w14:paraId="0ED56E9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贮存能力</w:t>
                  </w:r>
                </w:p>
              </w:tc>
              <w:tc>
                <w:tcPr>
                  <w:tcW w:w="782" w:type="pct"/>
                  <w:vAlign w:val="center"/>
                </w:tcPr>
                <w:p w14:paraId="2CFF44C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贮存方式</w:t>
                  </w:r>
                </w:p>
              </w:tc>
              <w:tc>
                <w:tcPr>
                  <w:tcW w:w="482" w:type="pct"/>
                  <w:vAlign w:val="center"/>
                </w:tcPr>
                <w:p w14:paraId="57FD940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最大贮存量/t</w:t>
                  </w:r>
                </w:p>
              </w:tc>
              <w:tc>
                <w:tcPr>
                  <w:tcW w:w="454" w:type="pct"/>
                  <w:vAlign w:val="center"/>
                </w:tcPr>
                <w:p w14:paraId="3624AA4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贮存周期</w:t>
                  </w:r>
                </w:p>
              </w:tc>
            </w:tr>
            <w:tr w14:paraId="4546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054043E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363" w:type="pct"/>
                  <w:vMerge w:val="restart"/>
                  <w:vAlign w:val="center"/>
                </w:tcPr>
                <w:p w14:paraId="0D7ACF5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危废贮存库</w:t>
                  </w:r>
                </w:p>
              </w:tc>
              <w:tc>
                <w:tcPr>
                  <w:tcW w:w="934" w:type="pct"/>
                  <w:vAlign w:val="center"/>
                </w:tcPr>
                <w:p w14:paraId="3B6FFF56">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废活性炭</w:t>
                  </w:r>
                </w:p>
              </w:tc>
              <w:tc>
                <w:tcPr>
                  <w:tcW w:w="459" w:type="pct"/>
                  <w:vAlign w:val="center"/>
                </w:tcPr>
                <w:p w14:paraId="52A366D3">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HW49</w:t>
                  </w:r>
                </w:p>
              </w:tc>
              <w:tc>
                <w:tcPr>
                  <w:tcW w:w="418" w:type="pct"/>
                  <w:vMerge w:val="restart"/>
                  <w:vAlign w:val="center"/>
                </w:tcPr>
                <w:p w14:paraId="61AC8BA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危废贮存库</w:t>
                  </w:r>
                </w:p>
              </w:tc>
              <w:tc>
                <w:tcPr>
                  <w:tcW w:w="392" w:type="pct"/>
                  <w:vMerge w:val="restart"/>
                  <w:vAlign w:val="center"/>
                </w:tcPr>
                <w:p w14:paraId="3376B88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2</w:t>
                  </w:r>
                </w:p>
              </w:tc>
              <w:tc>
                <w:tcPr>
                  <w:tcW w:w="378" w:type="pct"/>
                  <w:vMerge w:val="restart"/>
                  <w:vAlign w:val="center"/>
                </w:tcPr>
                <w:p w14:paraId="6C91B64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t</w:t>
                  </w:r>
                </w:p>
              </w:tc>
              <w:tc>
                <w:tcPr>
                  <w:tcW w:w="782" w:type="pct"/>
                  <w:vAlign w:val="center"/>
                </w:tcPr>
                <w:p w14:paraId="2D09EA0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专用收集桶</w:t>
                  </w:r>
                </w:p>
              </w:tc>
              <w:tc>
                <w:tcPr>
                  <w:tcW w:w="482" w:type="pct"/>
                  <w:vAlign w:val="center"/>
                </w:tcPr>
                <w:p w14:paraId="7064DA1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5</w:t>
                  </w:r>
                </w:p>
              </w:tc>
              <w:tc>
                <w:tcPr>
                  <w:tcW w:w="454" w:type="pct"/>
                  <w:vAlign w:val="center"/>
                </w:tcPr>
                <w:p w14:paraId="680FE81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一年</w:t>
                  </w:r>
                </w:p>
              </w:tc>
            </w:tr>
            <w:tr w14:paraId="1DEE3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339" w:type="pct"/>
                  <w:vAlign w:val="center"/>
                </w:tcPr>
                <w:p w14:paraId="461E03A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63" w:type="pct"/>
                  <w:vMerge w:val="continue"/>
                  <w:vAlign w:val="center"/>
                </w:tcPr>
                <w:p w14:paraId="087E7117">
                  <w:pPr>
                    <w:jc w:val="center"/>
                    <w:rPr>
                      <w:color w:val="000000" w:themeColor="text1"/>
                      <w:szCs w:val="21"/>
                      <w14:textFill>
                        <w14:solidFill>
                          <w14:schemeClr w14:val="tx1"/>
                        </w14:solidFill>
                      </w14:textFill>
                    </w:rPr>
                  </w:pPr>
                </w:p>
              </w:tc>
              <w:tc>
                <w:tcPr>
                  <w:tcW w:w="934" w:type="pct"/>
                  <w:vAlign w:val="center"/>
                </w:tcPr>
                <w:p w14:paraId="75C52FE8">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废过滤棉</w:t>
                  </w:r>
                </w:p>
              </w:tc>
              <w:tc>
                <w:tcPr>
                  <w:tcW w:w="459" w:type="pct"/>
                  <w:vAlign w:val="center"/>
                </w:tcPr>
                <w:p w14:paraId="28CBCC19">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HW49</w:t>
                  </w:r>
                </w:p>
              </w:tc>
              <w:tc>
                <w:tcPr>
                  <w:tcW w:w="418" w:type="pct"/>
                  <w:vMerge w:val="continue"/>
                  <w:vAlign w:val="center"/>
                </w:tcPr>
                <w:p w14:paraId="2D619574">
                  <w:pPr>
                    <w:jc w:val="center"/>
                    <w:rPr>
                      <w:color w:val="000000" w:themeColor="text1"/>
                      <w:szCs w:val="21"/>
                      <w14:textFill>
                        <w14:solidFill>
                          <w14:schemeClr w14:val="tx1"/>
                        </w14:solidFill>
                      </w14:textFill>
                    </w:rPr>
                  </w:pPr>
                </w:p>
              </w:tc>
              <w:tc>
                <w:tcPr>
                  <w:tcW w:w="392" w:type="pct"/>
                  <w:vMerge w:val="continue"/>
                  <w:vAlign w:val="center"/>
                </w:tcPr>
                <w:p w14:paraId="13AF49BA">
                  <w:pPr>
                    <w:jc w:val="center"/>
                    <w:rPr>
                      <w:color w:val="000000" w:themeColor="text1"/>
                      <w:szCs w:val="21"/>
                      <w14:textFill>
                        <w14:solidFill>
                          <w14:schemeClr w14:val="tx1"/>
                        </w14:solidFill>
                      </w14:textFill>
                    </w:rPr>
                  </w:pPr>
                </w:p>
              </w:tc>
              <w:tc>
                <w:tcPr>
                  <w:tcW w:w="378" w:type="pct"/>
                  <w:vMerge w:val="continue"/>
                  <w:vAlign w:val="center"/>
                </w:tcPr>
                <w:p w14:paraId="46AC1C18">
                  <w:pPr>
                    <w:jc w:val="center"/>
                    <w:rPr>
                      <w:color w:val="000000" w:themeColor="text1"/>
                      <w:szCs w:val="21"/>
                      <w14:textFill>
                        <w14:solidFill>
                          <w14:schemeClr w14:val="tx1"/>
                        </w14:solidFill>
                      </w14:textFill>
                    </w:rPr>
                  </w:pPr>
                </w:p>
              </w:tc>
              <w:tc>
                <w:tcPr>
                  <w:tcW w:w="782" w:type="pct"/>
                  <w:vAlign w:val="center"/>
                </w:tcPr>
                <w:p w14:paraId="53BE8F0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专用收集桶</w:t>
                  </w:r>
                </w:p>
              </w:tc>
              <w:tc>
                <w:tcPr>
                  <w:tcW w:w="482" w:type="pct"/>
                  <w:vAlign w:val="center"/>
                </w:tcPr>
                <w:p w14:paraId="5082A06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446</w:t>
                  </w:r>
                </w:p>
              </w:tc>
              <w:tc>
                <w:tcPr>
                  <w:tcW w:w="454" w:type="pct"/>
                  <w:vAlign w:val="center"/>
                </w:tcPr>
                <w:p w14:paraId="3E4FFEC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一年</w:t>
                  </w:r>
                </w:p>
              </w:tc>
            </w:tr>
            <w:tr w14:paraId="25FC1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71CCD56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363" w:type="pct"/>
                  <w:vMerge w:val="continue"/>
                  <w:vAlign w:val="center"/>
                </w:tcPr>
                <w:p w14:paraId="5A247D8E">
                  <w:pPr>
                    <w:jc w:val="center"/>
                    <w:rPr>
                      <w:color w:val="000000" w:themeColor="text1"/>
                      <w:szCs w:val="21"/>
                      <w14:textFill>
                        <w14:solidFill>
                          <w14:schemeClr w14:val="tx1"/>
                        </w14:solidFill>
                      </w14:textFill>
                    </w:rPr>
                  </w:pPr>
                </w:p>
              </w:tc>
              <w:tc>
                <w:tcPr>
                  <w:tcW w:w="934" w:type="pct"/>
                  <w:vAlign w:val="center"/>
                </w:tcPr>
                <w:p w14:paraId="44F18B06">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废催化剂</w:t>
                  </w:r>
                </w:p>
              </w:tc>
              <w:tc>
                <w:tcPr>
                  <w:tcW w:w="459" w:type="pct"/>
                  <w:vAlign w:val="center"/>
                </w:tcPr>
                <w:p w14:paraId="016F483D">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HW50</w:t>
                  </w:r>
                </w:p>
              </w:tc>
              <w:tc>
                <w:tcPr>
                  <w:tcW w:w="418" w:type="pct"/>
                  <w:vMerge w:val="continue"/>
                  <w:vAlign w:val="center"/>
                </w:tcPr>
                <w:p w14:paraId="25330495">
                  <w:pPr>
                    <w:jc w:val="center"/>
                    <w:rPr>
                      <w:color w:val="000000" w:themeColor="text1"/>
                      <w:szCs w:val="21"/>
                      <w14:textFill>
                        <w14:solidFill>
                          <w14:schemeClr w14:val="tx1"/>
                        </w14:solidFill>
                      </w14:textFill>
                    </w:rPr>
                  </w:pPr>
                </w:p>
              </w:tc>
              <w:tc>
                <w:tcPr>
                  <w:tcW w:w="392" w:type="pct"/>
                  <w:vMerge w:val="continue"/>
                  <w:vAlign w:val="center"/>
                </w:tcPr>
                <w:p w14:paraId="3143995B">
                  <w:pPr>
                    <w:jc w:val="center"/>
                    <w:rPr>
                      <w:color w:val="000000" w:themeColor="text1"/>
                      <w:szCs w:val="21"/>
                      <w14:textFill>
                        <w14:solidFill>
                          <w14:schemeClr w14:val="tx1"/>
                        </w14:solidFill>
                      </w14:textFill>
                    </w:rPr>
                  </w:pPr>
                </w:p>
              </w:tc>
              <w:tc>
                <w:tcPr>
                  <w:tcW w:w="378" w:type="pct"/>
                  <w:vMerge w:val="continue"/>
                  <w:vAlign w:val="center"/>
                </w:tcPr>
                <w:p w14:paraId="095EF325">
                  <w:pPr>
                    <w:jc w:val="center"/>
                    <w:rPr>
                      <w:color w:val="000000" w:themeColor="text1"/>
                      <w:szCs w:val="21"/>
                      <w14:textFill>
                        <w14:solidFill>
                          <w14:schemeClr w14:val="tx1"/>
                        </w14:solidFill>
                      </w14:textFill>
                    </w:rPr>
                  </w:pPr>
                </w:p>
              </w:tc>
              <w:tc>
                <w:tcPr>
                  <w:tcW w:w="782" w:type="pct"/>
                  <w:vAlign w:val="center"/>
                </w:tcPr>
                <w:p w14:paraId="1AA27B5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专用收集桶</w:t>
                  </w:r>
                </w:p>
              </w:tc>
              <w:tc>
                <w:tcPr>
                  <w:tcW w:w="482" w:type="pct"/>
                  <w:vAlign w:val="center"/>
                </w:tcPr>
                <w:p w14:paraId="66619C5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1</w:t>
                  </w:r>
                </w:p>
              </w:tc>
              <w:tc>
                <w:tcPr>
                  <w:tcW w:w="454" w:type="pct"/>
                  <w:vAlign w:val="center"/>
                </w:tcPr>
                <w:p w14:paraId="49B7A9D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w:t>
                  </w:r>
                  <w:r>
                    <w:rPr>
                      <w:rFonts w:hint="eastAsia"/>
                      <w:color w:val="000000" w:themeColor="text1"/>
                      <w:szCs w:val="21"/>
                      <w14:textFill>
                        <w14:solidFill>
                          <w14:schemeClr w14:val="tx1"/>
                        </w14:solidFill>
                      </w14:textFill>
                    </w:rPr>
                    <w:t>年</w:t>
                  </w:r>
                </w:p>
              </w:tc>
            </w:tr>
            <w:tr w14:paraId="1600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339" w:type="pct"/>
                  <w:vAlign w:val="center"/>
                </w:tcPr>
                <w:p w14:paraId="5F03174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363" w:type="pct"/>
                  <w:vMerge w:val="continue"/>
                  <w:vAlign w:val="center"/>
                </w:tcPr>
                <w:p w14:paraId="14A0D3D7">
                  <w:pPr>
                    <w:jc w:val="center"/>
                    <w:rPr>
                      <w:color w:val="000000" w:themeColor="text1"/>
                      <w:szCs w:val="21"/>
                      <w14:textFill>
                        <w14:solidFill>
                          <w14:schemeClr w14:val="tx1"/>
                        </w14:solidFill>
                      </w14:textFill>
                    </w:rPr>
                  </w:pPr>
                </w:p>
              </w:tc>
              <w:tc>
                <w:tcPr>
                  <w:tcW w:w="934" w:type="pct"/>
                  <w:vAlign w:val="center"/>
                </w:tcPr>
                <w:p w14:paraId="78EB98CC">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漆渣</w:t>
                  </w:r>
                </w:p>
              </w:tc>
              <w:tc>
                <w:tcPr>
                  <w:tcW w:w="459" w:type="pct"/>
                  <w:vAlign w:val="center"/>
                </w:tcPr>
                <w:p w14:paraId="0151C512">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HW12</w:t>
                  </w:r>
                </w:p>
              </w:tc>
              <w:tc>
                <w:tcPr>
                  <w:tcW w:w="418" w:type="pct"/>
                  <w:vMerge w:val="continue"/>
                  <w:vAlign w:val="center"/>
                </w:tcPr>
                <w:p w14:paraId="3901F9DD">
                  <w:pPr>
                    <w:jc w:val="center"/>
                    <w:rPr>
                      <w:color w:val="000000" w:themeColor="text1"/>
                      <w:szCs w:val="21"/>
                      <w14:textFill>
                        <w14:solidFill>
                          <w14:schemeClr w14:val="tx1"/>
                        </w14:solidFill>
                      </w14:textFill>
                    </w:rPr>
                  </w:pPr>
                </w:p>
              </w:tc>
              <w:tc>
                <w:tcPr>
                  <w:tcW w:w="392" w:type="pct"/>
                  <w:vMerge w:val="continue"/>
                  <w:vAlign w:val="center"/>
                </w:tcPr>
                <w:p w14:paraId="1BDB6137">
                  <w:pPr>
                    <w:jc w:val="center"/>
                    <w:rPr>
                      <w:color w:val="000000" w:themeColor="text1"/>
                      <w:szCs w:val="21"/>
                      <w14:textFill>
                        <w14:solidFill>
                          <w14:schemeClr w14:val="tx1"/>
                        </w14:solidFill>
                      </w14:textFill>
                    </w:rPr>
                  </w:pPr>
                </w:p>
              </w:tc>
              <w:tc>
                <w:tcPr>
                  <w:tcW w:w="378" w:type="pct"/>
                  <w:vMerge w:val="continue"/>
                  <w:vAlign w:val="center"/>
                </w:tcPr>
                <w:p w14:paraId="4A2D3653">
                  <w:pPr>
                    <w:jc w:val="center"/>
                    <w:rPr>
                      <w:color w:val="000000" w:themeColor="text1"/>
                      <w:szCs w:val="21"/>
                      <w14:textFill>
                        <w14:solidFill>
                          <w14:schemeClr w14:val="tx1"/>
                        </w14:solidFill>
                      </w14:textFill>
                    </w:rPr>
                  </w:pPr>
                </w:p>
              </w:tc>
              <w:tc>
                <w:tcPr>
                  <w:tcW w:w="782" w:type="pct"/>
                  <w:vAlign w:val="center"/>
                </w:tcPr>
                <w:p w14:paraId="4389E29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专用收集桶</w:t>
                  </w:r>
                </w:p>
              </w:tc>
              <w:tc>
                <w:tcPr>
                  <w:tcW w:w="482" w:type="pct"/>
                  <w:vAlign w:val="center"/>
                </w:tcPr>
                <w:p w14:paraId="1BC6D64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0.543</w:t>
                  </w:r>
                </w:p>
              </w:tc>
              <w:tc>
                <w:tcPr>
                  <w:tcW w:w="454" w:type="pct"/>
                  <w:vAlign w:val="center"/>
                </w:tcPr>
                <w:p w14:paraId="3616712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一年</w:t>
                  </w:r>
                </w:p>
              </w:tc>
            </w:tr>
            <w:tr w14:paraId="3FFC4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0EE97B4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363" w:type="pct"/>
                  <w:vMerge w:val="continue"/>
                  <w:vAlign w:val="center"/>
                </w:tcPr>
                <w:p w14:paraId="2E2BC663">
                  <w:pPr>
                    <w:jc w:val="center"/>
                    <w:rPr>
                      <w:color w:val="000000" w:themeColor="text1"/>
                      <w:szCs w:val="21"/>
                      <w14:textFill>
                        <w14:solidFill>
                          <w14:schemeClr w14:val="tx1"/>
                        </w14:solidFill>
                      </w14:textFill>
                    </w:rPr>
                  </w:pPr>
                </w:p>
              </w:tc>
              <w:tc>
                <w:tcPr>
                  <w:tcW w:w="934" w:type="pct"/>
                  <w:vAlign w:val="center"/>
                </w:tcPr>
                <w:p w14:paraId="60668B25">
                  <w:pPr>
                    <w:jc w:val="center"/>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水帘废水</w:t>
                  </w:r>
                </w:p>
              </w:tc>
              <w:tc>
                <w:tcPr>
                  <w:tcW w:w="459" w:type="pct"/>
                  <w:vAlign w:val="center"/>
                </w:tcPr>
                <w:p w14:paraId="58F4F9B5">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HW12</w:t>
                  </w:r>
                </w:p>
              </w:tc>
              <w:tc>
                <w:tcPr>
                  <w:tcW w:w="418" w:type="pct"/>
                  <w:vMerge w:val="continue"/>
                  <w:vAlign w:val="center"/>
                </w:tcPr>
                <w:p w14:paraId="491C8AD7">
                  <w:pPr>
                    <w:jc w:val="center"/>
                    <w:rPr>
                      <w:color w:val="000000" w:themeColor="text1"/>
                      <w:szCs w:val="21"/>
                      <w14:textFill>
                        <w14:solidFill>
                          <w14:schemeClr w14:val="tx1"/>
                        </w14:solidFill>
                      </w14:textFill>
                    </w:rPr>
                  </w:pPr>
                </w:p>
              </w:tc>
              <w:tc>
                <w:tcPr>
                  <w:tcW w:w="392" w:type="pct"/>
                  <w:vMerge w:val="continue"/>
                  <w:vAlign w:val="center"/>
                </w:tcPr>
                <w:p w14:paraId="67073E22">
                  <w:pPr>
                    <w:jc w:val="center"/>
                    <w:rPr>
                      <w:color w:val="000000" w:themeColor="text1"/>
                      <w:szCs w:val="21"/>
                      <w14:textFill>
                        <w14:solidFill>
                          <w14:schemeClr w14:val="tx1"/>
                        </w14:solidFill>
                      </w14:textFill>
                    </w:rPr>
                  </w:pPr>
                </w:p>
              </w:tc>
              <w:tc>
                <w:tcPr>
                  <w:tcW w:w="378" w:type="pct"/>
                  <w:vMerge w:val="continue"/>
                  <w:vAlign w:val="center"/>
                </w:tcPr>
                <w:p w14:paraId="1BE78B00">
                  <w:pPr>
                    <w:jc w:val="center"/>
                    <w:rPr>
                      <w:color w:val="000000" w:themeColor="text1"/>
                      <w:szCs w:val="21"/>
                      <w14:textFill>
                        <w14:solidFill>
                          <w14:schemeClr w14:val="tx1"/>
                        </w14:solidFill>
                      </w14:textFill>
                    </w:rPr>
                  </w:pPr>
                </w:p>
              </w:tc>
              <w:tc>
                <w:tcPr>
                  <w:tcW w:w="782" w:type="pct"/>
                  <w:vAlign w:val="center"/>
                </w:tcPr>
                <w:p w14:paraId="1CCC410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专用收集桶</w:t>
                  </w:r>
                </w:p>
              </w:tc>
              <w:tc>
                <w:tcPr>
                  <w:tcW w:w="482" w:type="pct"/>
                  <w:vAlign w:val="center"/>
                </w:tcPr>
                <w:p w14:paraId="62E6EAE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w:t>
                  </w:r>
                </w:p>
              </w:tc>
              <w:tc>
                <w:tcPr>
                  <w:tcW w:w="454" w:type="pct"/>
                  <w:vAlign w:val="center"/>
                </w:tcPr>
                <w:p w14:paraId="4FCE7F7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半年</w:t>
                  </w:r>
                </w:p>
              </w:tc>
            </w:tr>
            <w:tr w14:paraId="59119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5611251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363" w:type="pct"/>
                  <w:vMerge w:val="continue"/>
                  <w:vAlign w:val="center"/>
                </w:tcPr>
                <w:p w14:paraId="6AC7A9C1">
                  <w:pPr>
                    <w:jc w:val="center"/>
                    <w:rPr>
                      <w:color w:val="000000" w:themeColor="text1"/>
                      <w:szCs w:val="21"/>
                      <w14:textFill>
                        <w14:solidFill>
                          <w14:schemeClr w14:val="tx1"/>
                        </w14:solidFill>
                      </w14:textFill>
                    </w:rPr>
                  </w:pPr>
                </w:p>
              </w:tc>
              <w:tc>
                <w:tcPr>
                  <w:tcW w:w="934" w:type="pct"/>
                  <w:vAlign w:val="center"/>
                </w:tcPr>
                <w:p w14:paraId="08C8543E">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废包装桶</w:t>
                  </w:r>
                </w:p>
              </w:tc>
              <w:tc>
                <w:tcPr>
                  <w:tcW w:w="459" w:type="pct"/>
                  <w:vAlign w:val="center"/>
                </w:tcPr>
                <w:p w14:paraId="08547D35">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HW49</w:t>
                  </w:r>
                </w:p>
              </w:tc>
              <w:tc>
                <w:tcPr>
                  <w:tcW w:w="418" w:type="pct"/>
                  <w:vMerge w:val="continue"/>
                  <w:vAlign w:val="center"/>
                </w:tcPr>
                <w:p w14:paraId="2C5413F3">
                  <w:pPr>
                    <w:jc w:val="center"/>
                    <w:rPr>
                      <w:color w:val="000000" w:themeColor="text1"/>
                      <w:szCs w:val="21"/>
                      <w14:textFill>
                        <w14:solidFill>
                          <w14:schemeClr w14:val="tx1"/>
                        </w14:solidFill>
                      </w14:textFill>
                    </w:rPr>
                  </w:pPr>
                </w:p>
              </w:tc>
              <w:tc>
                <w:tcPr>
                  <w:tcW w:w="392" w:type="pct"/>
                  <w:vMerge w:val="continue"/>
                  <w:vAlign w:val="center"/>
                </w:tcPr>
                <w:p w14:paraId="308E25DF">
                  <w:pPr>
                    <w:jc w:val="center"/>
                    <w:rPr>
                      <w:color w:val="000000" w:themeColor="text1"/>
                      <w:szCs w:val="21"/>
                      <w14:textFill>
                        <w14:solidFill>
                          <w14:schemeClr w14:val="tx1"/>
                        </w14:solidFill>
                      </w14:textFill>
                    </w:rPr>
                  </w:pPr>
                </w:p>
              </w:tc>
              <w:tc>
                <w:tcPr>
                  <w:tcW w:w="378" w:type="pct"/>
                  <w:vMerge w:val="continue"/>
                  <w:vAlign w:val="center"/>
                </w:tcPr>
                <w:p w14:paraId="584FB89F">
                  <w:pPr>
                    <w:jc w:val="center"/>
                    <w:rPr>
                      <w:color w:val="000000" w:themeColor="text1"/>
                      <w:szCs w:val="21"/>
                      <w14:textFill>
                        <w14:solidFill>
                          <w14:schemeClr w14:val="tx1"/>
                        </w14:solidFill>
                      </w14:textFill>
                    </w:rPr>
                  </w:pPr>
                </w:p>
              </w:tc>
              <w:tc>
                <w:tcPr>
                  <w:tcW w:w="782" w:type="pct"/>
                  <w:vAlign w:val="center"/>
                </w:tcPr>
                <w:p w14:paraId="056A991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桶装</w:t>
                  </w:r>
                </w:p>
              </w:tc>
              <w:tc>
                <w:tcPr>
                  <w:tcW w:w="482" w:type="pct"/>
                  <w:vAlign w:val="center"/>
                </w:tcPr>
                <w:p w14:paraId="657F94F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1</w:t>
                  </w:r>
                </w:p>
              </w:tc>
              <w:tc>
                <w:tcPr>
                  <w:tcW w:w="454" w:type="pct"/>
                  <w:vAlign w:val="center"/>
                </w:tcPr>
                <w:p w14:paraId="6A83B05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w:t>
                  </w:r>
                  <w:r>
                    <w:rPr>
                      <w:color w:val="000000" w:themeColor="text1"/>
                      <w:szCs w:val="21"/>
                      <w14:textFill>
                        <w14:solidFill>
                          <w14:schemeClr w14:val="tx1"/>
                        </w14:solidFill>
                      </w14:textFill>
                    </w:rPr>
                    <w:t>年</w:t>
                  </w:r>
                </w:p>
              </w:tc>
            </w:tr>
            <w:tr w14:paraId="0F0E9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13A7135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363" w:type="pct"/>
                  <w:vMerge w:val="continue"/>
                  <w:vAlign w:val="center"/>
                </w:tcPr>
                <w:p w14:paraId="0B9EB041">
                  <w:pPr>
                    <w:jc w:val="center"/>
                    <w:rPr>
                      <w:color w:val="000000" w:themeColor="text1"/>
                      <w:szCs w:val="21"/>
                      <w14:textFill>
                        <w14:solidFill>
                          <w14:schemeClr w14:val="tx1"/>
                        </w14:solidFill>
                      </w14:textFill>
                    </w:rPr>
                  </w:pPr>
                </w:p>
              </w:tc>
              <w:tc>
                <w:tcPr>
                  <w:tcW w:w="934" w:type="pct"/>
                  <w:vAlign w:val="center"/>
                </w:tcPr>
                <w:p w14:paraId="61DC5C71">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废机油</w:t>
                  </w:r>
                </w:p>
              </w:tc>
              <w:tc>
                <w:tcPr>
                  <w:tcW w:w="459" w:type="pct"/>
                  <w:vAlign w:val="center"/>
                </w:tcPr>
                <w:p w14:paraId="5DD3490B">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HW08</w:t>
                  </w:r>
                </w:p>
              </w:tc>
              <w:tc>
                <w:tcPr>
                  <w:tcW w:w="418" w:type="pct"/>
                  <w:vMerge w:val="continue"/>
                  <w:vAlign w:val="center"/>
                </w:tcPr>
                <w:p w14:paraId="0DA61DB7">
                  <w:pPr>
                    <w:jc w:val="center"/>
                    <w:rPr>
                      <w:color w:val="000000" w:themeColor="text1"/>
                      <w:szCs w:val="21"/>
                      <w14:textFill>
                        <w14:solidFill>
                          <w14:schemeClr w14:val="tx1"/>
                        </w14:solidFill>
                      </w14:textFill>
                    </w:rPr>
                  </w:pPr>
                </w:p>
              </w:tc>
              <w:tc>
                <w:tcPr>
                  <w:tcW w:w="392" w:type="pct"/>
                  <w:vMerge w:val="continue"/>
                  <w:vAlign w:val="center"/>
                </w:tcPr>
                <w:p w14:paraId="38CEAC7B">
                  <w:pPr>
                    <w:jc w:val="center"/>
                    <w:rPr>
                      <w:color w:val="000000" w:themeColor="text1"/>
                      <w:szCs w:val="21"/>
                      <w14:textFill>
                        <w14:solidFill>
                          <w14:schemeClr w14:val="tx1"/>
                        </w14:solidFill>
                      </w14:textFill>
                    </w:rPr>
                  </w:pPr>
                </w:p>
              </w:tc>
              <w:tc>
                <w:tcPr>
                  <w:tcW w:w="378" w:type="pct"/>
                  <w:vMerge w:val="continue"/>
                  <w:vAlign w:val="center"/>
                </w:tcPr>
                <w:p w14:paraId="6BBBAA98">
                  <w:pPr>
                    <w:jc w:val="center"/>
                    <w:rPr>
                      <w:color w:val="000000" w:themeColor="text1"/>
                      <w:szCs w:val="21"/>
                      <w14:textFill>
                        <w14:solidFill>
                          <w14:schemeClr w14:val="tx1"/>
                        </w14:solidFill>
                      </w14:textFill>
                    </w:rPr>
                  </w:pPr>
                </w:p>
              </w:tc>
              <w:tc>
                <w:tcPr>
                  <w:tcW w:w="782" w:type="pct"/>
                  <w:vAlign w:val="center"/>
                </w:tcPr>
                <w:p w14:paraId="198C871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专用收集桶</w:t>
                  </w:r>
                </w:p>
              </w:tc>
              <w:tc>
                <w:tcPr>
                  <w:tcW w:w="482" w:type="pct"/>
                  <w:vAlign w:val="center"/>
                </w:tcPr>
                <w:p w14:paraId="3F27A9E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9</w:t>
                  </w:r>
                </w:p>
              </w:tc>
              <w:tc>
                <w:tcPr>
                  <w:tcW w:w="454" w:type="pct"/>
                  <w:vAlign w:val="center"/>
                </w:tcPr>
                <w:p w14:paraId="6FAE5C0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w:t>
                  </w:r>
                  <w:r>
                    <w:rPr>
                      <w:color w:val="000000" w:themeColor="text1"/>
                      <w:szCs w:val="21"/>
                      <w14:textFill>
                        <w14:solidFill>
                          <w14:schemeClr w14:val="tx1"/>
                        </w14:solidFill>
                      </w14:textFill>
                    </w:rPr>
                    <w:t>年</w:t>
                  </w:r>
                </w:p>
              </w:tc>
            </w:tr>
            <w:tr w14:paraId="72BED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3D60DF8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363" w:type="pct"/>
                  <w:vMerge w:val="continue"/>
                  <w:vAlign w:val="center"/>
                </w:tcPr>
                <w:p w14:paraId="486B43C3">
                  <w:pPr>
                    <w:jc w:val="center"/>
                    <w:rPr>
                      <w:color w:val="000000" w:themeColor="text1"/>
                      <w:szCs w:val="21"/>
                      <w14:textFill>
                        <w14:solidFill>
                          <w14:schemeClr w14:val="tx1"/>
                        </w14:solidFill>
                      </w14:textFill>
                    </w:rPr>
                  </w:pPr>
                </w:p>
              </w:tc>
              <w:tc>
                <w:tcPr>
                  <w:tcW w:w="934" w:type="pct"/>
                  <w:vAlign w:val="center"/>
                </w:tcPr>
                <w:p w14:paraId="561358E5">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机油桶</w:t>
                  </w:r>
                </w:p>
              </w:tc>
              <w:tc>
                <w:tcPr>
                  <w:tcW w:w="459" w:type="pct"/>
                  <w:vAlign w:val="center"/>
                </w:tcPr>
                <w:p w14:paraId="3F4626DA">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HW08</w:t>
                  </w:r>
                </w:p>
              </w:tc>
              <w:tc>
                <w:tcPr>
                  <w:tcW w:w="418" w:type="pct"/>
                  <w:vMerge w:val="continue"/>
                  <w:vAlign w:val="center"/>
                </w:tcPr>
                <w:p w14:paraId="014D54FD">
                  <w:pPr>
                    <w:jc w:val="center"/>
                    <w:rPr>
                      <w:color w:val="000000" w:themeColor="text1"/>
                      <w:szCs w:val="21"/>
                      <w14:textFill>
                        <w14:solidFill>
                          <w14:schemeClr w14:val="tx1"/>
                        </w14:solidFill>
                      </w14:textFill>
                    </w:rPr>
                  </w:pPr>
                </w:p>
              </w:tc>
              <w:tc>
                <w:tcPr>
                  <w:tcW w:w="392" w:type="pct"/>
                  <w:vMerge w:val="continue"/>
                  <w:vAlign w:val="center"/>
                </w:tcPr>
                <w:p w14:paraId="0EC20E95">
                  <w:pPr>
                    <w:jc w:val="center"/>
                    <w:rPr>
                      <w:color w:val="000000" w:themeColor="text1"/>
                      <w:szCs w:val="21"/>
                      <w14:textFill>
                        <w14:solidFill>
                          <w14:schemeClr w14:val="tx1"/>
                        </w14:solidFill>
                      </w14:textFill>
                    </w:rPr>
                  </w:pPr>
                </w:p>
              </w:tc>
              <w:tc>
                <w:tcPr>
                  <w:tcW w:w="378" w:type="pct"/>
                  <w:vMerge w:val="continue"/>
                  <w:vAlign w:val="center"/>
                </w:tcPr>
                <w:p w14:paraId="45B62519">
                  <w:pPr>
                    <w:jc w:val="center"/>
                    <w:rPr>
                      <w:color w:val="000000" w:themeColor="text1"/>
                      <w:szCs w:val="21"/>
                      <w14:textFill>
                        <w14:solidFill>
                          <w14:schemeClr w14:val="tx1"/>
                        </w14:solidFill>
                      </w14:textFill>
                    </w:rPr>
                  </w:pPr>
                </w:p>
              </w:tc>
              <w:tc>
                <w:tcPr>
                  <w:tcW w:w="782" w:type="pct"/>
                  <w:vAlign w:val="center"/>
                </w:tcPr>
                <w:p w14:paraId="77BA13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桶装</w:t>
                  </w:r>
                </w:p>
              </w:tc>
              <w:tc>
                <w:tcPr>
                  <w:tcW w:w="482" w:type="pct"/>
                  <w:vAlign w:val="center"/>
                </w:tcPr>
                <w:p w14:paraId="388CD3C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2</w:t>
                  </w:r>
                </w:p>
              </w:tc>
              <w:tc>
                <w:tcPr>
                  <w:tcW w:w="454" w:type="pct"/>
                  <w:vAlign w:val="center"/>
                </w:tcPr>
                <w:p w14:paraId="0DA44A3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w:t>
                  </w:r>
                  <w:r>
                    <w:rPr>
                      <w:color w:val="000000" w:themeColor="text1"/>
                      <w:szCs w:val="21"/>
                      <w14:textFill>
                        <w14:solidFill>
                          <w14:schemeClr w14:val="tx1"/>
                        </w14:solidFill>
                      </w14:textFill>
                    </w:rPr>
                    <w:t>年</w:t>
                  </w:r>
                </w:p>
              </w:tc>
            </w:tr>
            <w:tr w14:paraId="04E8A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9" w:type="pct"/>
                  <w:vAlign w:val="center"/>
                </w:tcPr>
                <w:p w14:paraId="1ECA4F3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w:t>
                  </w:r>
                </w:p>
              </w:tc>
              <w:tc>
                <w:tcPr>
                  <w:tcW w:w="363" w:type="pct"/>
                  <w:vMerge w:val="continue"/>
                  <w:vAlign w:val="center"/>
                </w:tcPr>
                <w:p w14:paraId="524C9E5B">
                  <w:pPr>
                    <w:jc w:val="center"/>
                    <w:rPr>
                      <w:color w:val="000000" w:themeColor="text1"/>
                      <w:szCs w:val="21"/>
                      <w14:textFill>
                        <w14:solidFill>
                          <w14:schemeClr w14:val="tx1"/>
                        </w14:solidFill>
                      </w14:textFill>
                    </w:rPr>
                  </w:pPr>
                </w:p>
              </w:tc>
              <w:tc>
                <w:tcPr>
                  <w:tcW w:w="934" w:type="pct"/>
                  <w:vAlign w:val="center"/>
                </w:tcPr>
                <w:p w14:paraId="6063F28E">
                  <w:pPr>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含油</w:t>
                  </w:r>
                  <w:r>
                    <w:rPr>
                      <w:rFonts w:hint="eastAsia"/>
                      <w:bCs/>
                      <w:color w:val="000000" w:themeColor="text1"/>
                      <w:szCs w:val="21"/>
                      <w:lang w:bidi="ar"/>
                      <w14:textFill>
                        <w14:solidFill>
                          <w14:schemeClr w14:val="tx1"/>
                        </w14:solidFill>
                      </w14:textFill>
                    </w:rPr>
                    <w:t>或油漆</w:t>
                  </w:r>
                  <w:r>
                    <w:rPr>
                      <w:bCs/>
                      <w:color w:val="000000" w:themeColor="text1"/>
                      <w:szCs w:val="21"/>
                      <w:lang w:bidi="ar"/>
                      <w14:textFill>
                        <w14:solidFill>
                          <w14:schemeClr w14:val="tx1"/>
                        </w14:solidFill>
                      </w14:textFill>
                    </w:rPr>
                    <w:t>废抹布及劳保用品</w:t>
                  </w:r>
                </w:p>
              </w:tc>
              <w:tc>
                <w:tcPr>
                  <w:tcW w:w="459" w:type="pct"/>
                  <w:vAlign w:val="center"/>
                </w:tcPr>
                <w:p w14:paraId="755D2832">
                  <w:pPr>
                    <w:pStyle w:val="187"/>
                    <w:rPr>
                      <w:color w:val="000000" w:themeColor="text1"/>
                      <w:kern w:val="2"/>
                      <w14:textFill>
                        <w14:solidFill>
                          <w14:schemeClr w14:val="tx1"/>
                        </w14:solidFill>
                      </w14:textFill>
                    </w:rPr>
                  </w:pPr>
                  <w:r>
                    <w:rPr>
                      <w:bCs/>
                      <w:color w:val="000000" w:themeColor="text1"/>
                      <w:kern w:val="2"/>
                      <w:lang w:bidi="ar"/>
                      <w14:textFill>
                        <w14:solidFill>
                          <w14:schemeClr w14:val="tx1"/>
                        </w14:solidFill>
                      </w14:textFill>
                    </w:rPr>
                    <w:t>HW49</w:t>
                  </w:r>
                </w:p>
              </w:tc>
              <w:tc>
                <w:tcPr>
                  <w:tcW w:w="418" w:type="pct"/>
                  <w:vMerge w:val="continue"/>
                  <w:vAlign w:val="center"/>
                </w:tcPr>
                <w:p w14:paraId="11DBF49D">
                  <w:pPr>
                    <w:jc w:val="center"/>
                    <w:rPr>
                      <w:color w:val="000000" w:themeColor="text1"/>
                      <w:szCs w:val="21"/>
                      <w14:textFill>
                        <w14:solidFill>
                          <w14:schemeClr w14:val="tx1"/>
                        </w14:solidFill>
                      </w14:textFill>
                    </w:rPr>
                  </w:pPr>
                </w:p>
              </w:tc>
              <w:tc>
                <w:tcPr>
                  <w:tcW w:w="392" w:type="pct"/>
                  <w:vMerge w:val="continue"/>
                  <w:vAlign w:val="center"/>
                </w:tcPr>
                <w:p w14:paraId="3E43D49F">
                  <w:pPr>
                    <w:jc w:val="center"/>
                    <w:rPr>
                      <w:color w:val="000000" w:themeColor="text1"/>
                      <w:szCs w:val="21"/>
                      <w14:textFill>
                        <w14:solidFill>
                          <w14:schemeClr w14:val="tx1"/>
                        </w14:solidFill>
                      </w14:textFill>
                    </w:rPr>
                  </w:pPr>
                </w:p>
              </w:tc>
              <w:tc>
                <w:tcPr>
                  <w:tcW w:w="378" w:type="pct"/>
                  <w:vMerge w:val="continue"/>
                  <w:vAlign w:val="center"/>
                </w:tcPr>
                <w:p w14:paraId="4B40AA55">
                  <w:pPr>
                    <w:jc w:val="center"/>
                    <w:rPr>
                      <w:color w:val="000000" w:themeColor="text1"/>
                      <w:szCs w:val="21"/>
                      <w14:textFill>
                        <w14:solidFill>
                          <w14:schemeClr w14:val="tx1"/>
                        </w14:solidFill>
                      </w14:textFill>
                    </w:rPr>
                  </w:pPr>
                </w:p>
              </w:tc>
              <w:tc>
                <w:tcPr>
                  <w:tcW w:w="782" w:type="pct"/>
                  <w:vAlign w:val="center"/>
                </w:tcPr>
                <w:p w14:paraId="0AD35F2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专用收集桶</w:t>
                  </w:r>
                </w:p>
              </w:tc>
              <w:tc>
                <w:tcPr>
                  <w:tcW w:w="482" w:type="pct"/>
                  <w:vAlign w:val="center"/>
                </w:tcPr>
                <w:p w14:paraId="69F6916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1</w:t>
                  </w:r>
                </w:p>
              </w:tc>
              <w:tc>
                <w:tcPr>
                  <w:tcW w:w="454" w:type="pct"/>
                  <w:vAlign w:val="center"/>
                </w:tcPr>
                <w:p w14:paraId="33349FF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w:t>
                  </w:r>
                  <w:r>
                    <w:rPr>
                      <w:color w:val="000000" w:themeColor="text1"/>
                      <w:szCs w:val="21"/>
                      <w14:textFill>
                        <w14:solidFill>
                          <w14:schemeClr w14:val="tx1"/>
                        </w14:solidFill>
                      </w14:textFill>
                    </w:rPr>
                    <w:t>年</w:t>
                  </w:r>
                </w:p>
              </w:tc>
            </w:tr>
          </w:tbl>
          <w:p w14:paraId="6C9A1EA6">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2）运输</w:t>
            </w:r>
          </w:p>
          <w:p w14:paraId="6F96B14D">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对危险废物的运输要求安全可靠，要严格按照危险废物运输的管理规定进行危险废物的运输，减少运输过程中的二次污染和可能造成的环境风险，运输车辆需有特殊标志。</w:t>
            </w:r>
          </w:p>
          <w:p w14:paraId="031CBF80">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3）处置</w:t>
            </w:r>
          </w:p>
          <w:p w14:paraId="00EB53F7">
            <w:pPr>
              <w:pStyle w:val="159"/>
            </w:pPr>
            <w:r>
              <w:t>建设单位拟将危险废物交由有资质单位处理。企业须根据管理台账和近年生产计划，制定危险废物管理计划，并报当地生态环境部门备案。台账应如实记载产生危险废物的种类、数量、利用、贮存、处置、流向等信息，以此作为向当地生态环境部门申报危险废物管理计划的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废物类别、危害性以及开始贮存时间等内容。企业必须严格执行危险废物转移计划报批和依法运行危险废物转移联单，并通过信息系统登记转移计划和电子转移联单。企业还需健全</w:t>
            </w:r>
            <w:r>
              <w:rPr>
                <w:rFonts w:hint="eastAsia"/>
              </w:rPr>
              <w:t>生产</w:t>
            </w:r>
            <w:r>
              <w:t>单位内部管理制度，包括落实危险废物产生信息公开制度，建立员工培训和固体废物管理员制度，完善危险废物相关档案管理制度；建立和完善突发危险废物环境应急预案，并报当地生态环境部门备案。项目产生的危险废物经过上述措施妥善处理后，对周围环境影响不大。</w:t>
            </w:r>
          </w:p>
          <w:p w14:paraId="5F00E2A1">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3、结论</w:t>
            </w:r>
          </w:p>
          <w:p w14:paraId="4003184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综上所述，本项目固体废物去向明确合理，不会对环境造成二次污染。</w:t>
            </w:r>
          </w:p>
          <w:p w14:paraId="51C7CBDD">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五、地下水、土壤环境分析</w:t>
            </w:r>
          </w:p>
          <w:p w14:paraId="78E4B639">
            <w:pPr>
              <w:pStyle w:val="159"/>
            </w:pPr>
            <w:r>
              <w:t>本项目对地下水、土壤的保护主要是防止有害污染物渗入地下水、土壤。影响地下水、土壤渗入的因素主要分为人为因素和环境因素两大类（人为因素：设计、施工、维护管理、管龄；环境因素：地质、地形、降雨、城市化程度）等。</w:t>
            </w:r>
          </w:p>
          <w:p w14:paraId="792F99D8">
            <w:pPr>
              <w:pStyle w:val="3"/>
              <w:spacing w:line="360" w:lineRule="auto"/>
              <w:ind w:firstLine="482" w:firstLineChars="200"/>
              <w:rPr>
                <w:b/>
                <w:color w:val="000000" w:themeColor="text1"/>
                <w:sz w:val="24"/>
                <w:szCs w:val="24"/>
                <w:lang w:val="en-US"/>
                <w14:textFill>
                  <w14:solidFill>
                    <w14:schemeClr w14:val="tx1"/>
                  </w14:solidFill>
                </w14:textFill>
              </w:rPr>
            </w:pPr>
            <w:r>
              <w:rPr>
                <w:b/>
                <w:color w:val="000000" w:themeColor="text1"/>
                <w:sz w:val="24"/>
                <w:szCs w:val="24"/>
                <w:lang w:val="en-US"/>
                <w14:textFill>
                  <w14:solidFill>
                    <w14:schemeClr w14:val="tx1"/>
                  </w14:solidFill>
                </w14:textFill>
              </w:rPr>
              <w:t>1、源头控制措施</w:t>
            </w:r>
          </w:p>
          <w:p w14:paraId="322DFE76">
            <w:pPr>
              <w:pStyle w:val="159"/>
            </w:pPr>
            <w:r>
              <w:t>加强对各生产单元、构筑物的巡视和监控。在厂区运营过程中，要定期对厂区设备</w:t>
            </w:r>
            <w:bookmarkStart w:id="15" w:name="_GoBack"/>
            <w:bookmarkEnd w:id="15"/>
            <w:r>
              <w:t>及相关处理构筑进行日常监控和维护，确保各项工程运行</w:t>
            </w:r>
            <w:r>
              <w:rPr>
                <w:rFonts w:hint="eastAsia"/>
              </w:rPr>
              <w:t>处于</w:t>
            </w:r>
            <w:r>
              <w:t>良好的状态，一旦发生设备或构筑物运行异常，应该及时检查，尽量避免各设备、构筑物中的污染物的跑、冒、滴、漏现象，力求将环境风险事故降到最低程度。</w:t>
            </w:r>
          </w:p>
          <w:p w14:paraId="2987CC9C">
            <w:pPr>
              <w:pStyle w:val="159"/>
            </w:pPr>
            <w:r>
              <w:t>生活污水处理设施化粪池应进行防腐、防渗处理。</w:t>
            </w:r>
          </w:p>
          <w:p w14:paraId="59C14B0C">
            <w:pPr>
              <w:pStyle w:val="3"/>
              <w:spacing w:line="360" w:lineRule="auto"/>
              <w:ind w:firstLine="482" w:firstLineChars="200"/>
              <w:rPr>
                <w:b/>
                <w:color w:val="000000" w:themeColor="text1"/>
                <w:sz w:val="24"/>
                <w:szCs w:val="24"/>
                <w:lang w:val="en-US"/>
                <w14:textFill>
                  <w14:solidFill>
                    <w14:schemeClr w14:val="tx1"/>
                  </w14:solidFill>
                </w14:textFill>
              </w:rPr>
            </w:pPr>
            <w:r>
              <w:rPr>
                <w:b/>
                <w:color w:val="000000" w:themeColor="text1"/>
                <w:sz w:val="24"/>
                <w:szCs w:val="24"/>
                <w:lang w:val="en-US"/>
                <w14:textFill>
                  <w14:solidFill>
                    <w14:schemeClr w14:val="tx1"/>
                  </w14:solidFill>
                </w14:textFill>
              </w:rPr>
              <w:t>2、污染防渗分区</w:t>
            </w:r>
          </w:p>
          <w:p w14:paraId="6768E50C">
            <w:pPr>
              <w:pStyle w:val="159"/>
            </w:pPr>
            <w:r>
              <w:t>根据项目特点，将厂区划分为重点防渗区、一般防渗区和简单防渗区，地下水防治措施见下表。</w:t>
            </w:r>
          </w:p>
          <w:p w14:paraId="3E27E775">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20</w:t>
            </w:r>
            <w:r>
              <w:rPr>
                <w:rFonts w:eastAsiaTheme="minorEastAsia"/>
                <w:color w:val="000000" w:themeColor="text1"/>
                <w14:textFill>
                  <w14:solidFill>
                    <w14:schemeClr w14:val="tx1"/>
                  </w14:solidFill>
                </w14:textFill>
              </w:rPr>
              <w:t xml:space="preserve">  本项目各单元地下水污染防治措施一览表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3"/>
              <w:gridCol w:w="2664"/>
              <w:gridCol w:w="5053"/>
            </w:tblGrid>
            <w:tr w14:paraId="4CA7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2" w:type="pct"/>
                  <w:vAlign w:val="center"/>
                </w:tcPr>
                <w:p w14:paraId="1BE7552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污染区类型</w:t>
                  </w:r>
                </w:p>
              </w:tc>
              <w:tc>
                <w:tcPr>
                  <w:tcW w:w="1350" w:type="pct"/>
                  <w:vAlign w:val="center"/>
                </w:tcPr>
                <w:p w14:paraId="14B9ED3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生产单元</w:t>
                  </w:r>
                </w:p>
              </w:tc>
              <w:tc>
                <w:tcPr>
                  <w:tcW w:w="2561" w:type="pct"/>
                  <w:vAlign w:val="center"/>
                </w:tcPr>
                <w:p w14:paraId="3BCD439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防渗措施</w:t>
                  </w:r>
                </w:p>
              </w:tc>
            </w:tr>
            <w:tr w14:paraId="4725E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2" w:type="pct"/>
                  <w:vAlign w:val="center"/>
                </w:tcPr>
                <w:p w14:paraId="40A059E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重点防渗区</w:t>
                  </w:r>
                </w:p>
              </w:tc>
              <w:tc>
                <w:tcPr>
                  <w:tcW w:w="1350" w:type="pct"/>
                  <w:vAlign w:val="center"/>
                </w:tcPr>
                <w:p w14:paraId="62A65DBE">
                  <w:pPr>
                    <w:adjustRightInd w:val="0"/>
                    <w:snapToGrid w:val="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喷漆房</w:t>
                  </w:r>
                  <w:r>
                    <w:rPr>
                      <w:rFonts w:hint="eastAsia"/>
                      <w:color w:val="000000" w:themeColor="text1"/>
                      <w:kern w:val="0"/>
                      <w:szCs w:val="21"/>
                      <w14:textFill>
                        <w14:solidFill>
                          <w14:schemeClr w14:val="tx1"/>
                        </w14:solidFill>
                      </w14:textFill>
                    </w:rPr>
                    <w:t>、烘干房、</w:t>
                  </w:r>
                  <w:r>
                    <w:rPr>
                      <w:color w:val="000000" w:themeColor="text1"/>
                      <w:kern w:val="0"/>
                      <w:szCs w:val="21"/>
                      <w14:textFill>
                        <w14:solidFill>
                          <w14:schemeClr w14:val="tx1"/>
                        </w14:solidFill>
                      </w14:textFill>
                    </w:rPr>
                    <w:t>化学品仓库、危废贮存库</w:t>
                  </w:r>
                </w:p>
              </w:tc>
              <w:tc>
                <w:tcPr>
                  <w:tcW w:w="2561" w:type="pct"/>
                  <w:vAlign w:val="center"/>
                </w:tcPr>
                <w:p w14:paraId="236725E8">
                  <w:pPr>
                    <w:adjustRightInd w:val="0"/>
                    <w:snapToGrid w:val="0"/>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防渗层为至少1米厚黏土层（渗透系数不大于10</w:t>
                  </w:r>
                  <w:r>
                    <w:rPr>
                      <w:color w:val="000000" w:themeColor="text1"/>
                      <w:kern w:val="0"/>
                      <w:szCs w:val="21"/>
                      <w:vertAlign w:val="superscript"/>
                      <w14:textFill>
                        <w14:solidFill>
                          <w14:schemeClr w14:val="tx1"/>
                        </w14:solidFill>
                      </w14:textFill>
                    </w:rPr>
                    <w:t>-7</w:t>
                  </w:r>
                  <w:r>
                    <w:rPr>
                      <w:color w:val="000000" w:themeColor="text1"/>
                      <w:kern w:val="0"/>
                      <w:szCs w:val="21"/>
                      <w14:textFill>
                        <w14:solidFill>
                          <w14:schemeClr w14:val="tx1"/>
                        </w14:solidFill>
                      </w14:textFill>
                    </w:rPr>
                    <w:t>cm/s），或至少2mm厚高密度聚乙烯膜等人工防渗材料（渗透系数不大于10</w:t>
                  </w:r>
                  <w:r>
                    <w:rPr>
                      <w:color w:val="000000" w:themeColor="text1"/>
                      <w:kern w:val="0"/>
                      <w:szCs w:val="21"/>
                      <w:vertAlign w:val="superscript"/>
                      <w14:textFill>
                        <w14:solidFill>
                          <w14:schemeClr w14:val="tx1"/>
                        </w14:solidFill>
                      </w14:textFill>
                    </w:rPr>
                    <w:t>-10</w:t>
                  </w:r>
                  <w:r>
                    <w:rPr>
                      <w:color w:val="000000" w:themeColor="text1"/>
                      <w:kern w:val="0"/>
                      <w:szCs w:val="21"/>
                      <w14:textFill>
                        <w14:solidFill>
                          <w14:schemeClr w14:val="tx1"/>
                        </w14:solidFill>
                      </w14:textFill>
                    </w:rPr>
                    <w:t>cm/s），或其他防渗性能等效的材料。</w:t>
                  </w:r>
                </w:p>
              </w:tc>
            </w:tr>
            <w:tr w14:paraId="4F041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2" w:type="pct"/>
                  <w:vAlign w:val="center"/>
                </w:tcPr>
                <w:p w14:paraId="151A03B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一般防渗区</w:t>
                  </w:r>
                </w:p>
              </w:tc>
              <w:tc>
                <w:tcPr>
                  <w:tcW w:w="1350" w:type="pct"/>
                  <w:vAlign w:val="center"/>
                </w:tcPr>
                <w:p w14:paraId="220E6A17">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一般固废暂存间、化粪池</w:t>
                  </w:r>
                </w:p>
              </w:tc>
              <w:tc>
                <w:tcPr>
                  <w:tcW w:w="2561" w:type="pct"/>
                  <w:vAlign w:val="center"/>
                </w:tcPr>
                <w:p w14:paraId="1E08B492">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水泥硬化，铺设防渗涂料，等效黏土防渗层Mb≥1.5m，K≤1.0×10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cm/s；或参照GB16889执行。</w:t>
                  </w:r>
                </w:p>
              </w:tc>
            </w:tr>
            <w:tr w14:paraId="424E2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2" w:type="pct"/>
                  <w:vAlign w:val="center"/>
                </w:tcPr>
                <w:p w14:paraId="6A35E586">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简单防渗区</w:t>
                  </w:r>
                </w:p>
              </w:tc>
              <w:tc>
                <w:tcPr>
                  <w:tcW w:w="1350" w:type="pct"/>
                  <w:vAlign w:val="center"/>
                </w:tcPr>
                <w:p w14:paraId="30B32D3B">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除重点防渗区和一般防渗区外的其他区域</w:t>
                  </w:r>
                </w:p>
              </w:tc>
              <w:tc>
                <w:tcPr>
                  <w:tcW w:w="2561" w:type="pct"/>
                  <w:vAlign w:val="center"/>
                </w:tcPr>
                <w:p w14:paraId="64DB0B52">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水泥硬化或一般地面硬化</w:t>
                  </w:r>
                </w:p>
              </w:tc>
            </w:tr>
          </w:tbl>
          <w:p w14:paraId="4C79164E">
            <w:pPr>
              <w:pStyle w:val="159"/>
            </w:pPr>
            <w:r>
              <w:t>综上所述，若企业在管理方面严加管理，并按照上述要求配备必要的设施，则可以将项目运营过程中对地下水、土壤的污染的影响减小到最轻。</w:t>
            </w:r>
          </w:p>
          <w:p w14:paraId="5C5981CE">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六、环境风险影响分析</w:t>
            </w:r>
          </w:p>
          <w:p w14:paraId="70D5A302">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本项目对照《建设项目环境风险评价技术导则》（HJ169-2018）进行环境影响风险评价。</w:t>
            </w:r>
          </w:p>
          <w:p w14:paraId="4EDB8880">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1、风险调查</w:t>
            </w:r>
          </w:p>
          <w:p w14:paraId="57106B3E">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（1）风险源调查</w:t>
            </w:r>
          </w:p>
          <w:p w14:paraId="2BEF141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根据分析，项目涉及《建设项目环境风险评价技术导则》（HJ169-2018）附录B中危险物质</w:t>
            </w:r>
            <w:r>
              <w:rPr>
                <w:rFonts w:hint="eastAsia" w:cs="Times New Roman"/>
                <w:color w:val="000000" w:themeColor="text1"/>
                <w14:textFill>
                  <w14:solidFill>
                    <w14:schemeClr w14:val="tx1"/>
                  </w14:solidFill>
                </w14:textFill>
              </w:rPr>
              <w:t>醋酸乙酯（油漆所含），甲缩醛（稀释剂所含），环己酮（稀释剂所含），</w:t>
            </w:r>
            <w:r>
              <w:rPr>
                <w:rFonts w:cs="Times New Roman"/>
                <w:color w:val="000000" w:themeColor="text1"/>
                <w14:textFill>
                  <w14:solidFill>
                    <w14:schemeClr w14:val="tx1"/>
                  </w14:solidFill>
                </w14:textFill>
              </w:rPr>
              <w:t>二甲苯（稀释剂所含），</w:t>
            </w:r>
            <w:r>
              <w:rPr>
                <w:rFonts w:hint="eastAsia" w:cs="Times New Roman"/>
                <w:color w:val="000000" w:themeColor="text1"/>
                <w14:textFill>
                  <w14:solidFill>
                    <w14:schemeClr w14:val="tx1"/>
                  </w14:solidFill>
                </w14:textFill>
              </w:rPr>
              <w:t>催化剂，</w:t>
            </w:r>
            <w:r>
              <w:rPr>
                <w:rFonts w:cs="Times New Roman"/>
                <w:color w:val="000000" w:themeColor="text1"/>
                <w14:textFill>
                  <w14:solidFill>
                    <w14:schemeClr w14:val="tx1"/>
                  </w14:solidFill>
                </w14:textFill>
              </w:rPr>
              <w:t>机油</w:t>
            </w:r>
            <w:r>
              <w:rPr>
                <w:rFonts w:hint="eastAsia" w:cs="Times New Roman"/>
                <w:color w:val="000000" w:themeColor="text1"/>
                <w14:textFill>
                  <w14:solidFill>
                    <w14:schemeClr w14:val="tx1"/>
                  </w14:solidFill>
                </w14:textFill>
              </w:rPr>
              <w:t>，</w:t>
            </w:r>
            <w:r>
              <w:rPr>
                <w:rFonts w:cs="Times New Roman"/>
                <w:color w:val="000000" w:themeColor="text1"/>
                <w14:textFill>
                  <w14:solidFill>
                    <w14:schemeClr w14:val="tx1"/>
                  </w14:solidFill>
                </w14:textFill>
              </w:rPr>
              <w:t>废机油</w:t>
            </w:r>
            <w:r>
              <w:rPr>
                <w:rFonts w:hint="eastAsia" w:cs="Times New Roman"/>
                <w:color w:val="000000" w:themeColor="text1"/>
                <w14:textFill>
                  <w14:solidFill>
                    <w14:schemeClr w14:val="tx1"/>
                  </w14:solidFill>
                </w14:textFill>
              </w:rPr>
              <w:t>，</w:t>
            </w:r>
            <w:r>
              <w:rPr>
                <w:rFonts w:cs="Times New Roman"/>
                <w:color w:val="000000" w:themeColor="text1"/>
                <w14:textFill>
                  <w14:solidFill>
                    <w14:schemeClr w14:val="tx1"/>
                  </w14:solidFill>
                </w14:textFill>
              </w:rPr>
              <w:t>危险废物（除废机油）。</w:t>
            </w:r>
          </w:p>
          <w:p w14:paraId="0DE1DB9F">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（2）环境敏感目标调查</w:t>
            </w:r>
          </w:p>
          <w:p w14:paraId="2CB31783">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从环境影响途径分析，项目风险主要影响地表水水质、地下水水质和土壤。</w:t>
            </w:r>
          </w:p>
          <w:p w14:paraId="6D99D1A2">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2、环境风险潜势初判及环境风险评价工作等级</w:t>
            </w:r>
          </w:p>
          <w:p w14:paraId="410C13E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（1）环境风险潜势初判</w:t>
            </w:r>
          </w:p>
          <w:p w14:paraId="0764A664">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根据《建设项目环境风险评价技术导则》（HJ169-2018）附录 C，当存在多种危险物质时，则按下式计算物质总量与其临界量比值（Q）：</w:t>
            </w:r>
          </w:p>
          <w:p w14:paraId="3B500E83">
            <w:pPr>
              <w:widowControl/>
              <w:topLinePun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drawing>
                <wp:inline distT="0" distB="0" distL="0" distR="0">
                  <wp:extent cx="1762125" cy="535305"/>
                  <wp:effectExtent l="0" t="0" r="0" b="0"/>
                  <wp:docPr id="1719506755" name="图片 1719506755" descr="C:\Users\Administrator\AppData\Roaming\Tencent\Users\839304184\QQ\WinTemp\RichOle\SC3QC2~47$6OU2AV99%257d@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506755" name="图片 1719506755" descr="C:\Users\Administrator\AppData\Roaming\Tencent\Users\839304184\QQ\WinTemp\RichOle\SC3QC2~47$6OU2AV99%257d@016.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771915" cy="538476"/>
                          </a:xfrm>
                          <a:prstGeom prst="rect">
                            <a:avLst/>
                          </a:prstGeom>
                          <a:noFill/>
                          <a:ln>
                            <a:noFill/>
                          </a:ln>
                        </pic:spPr>
                      </pic:pic>
                    </a:graphicData>
                  </a:graphic>
                </wp:inline>
              </w:drawing>
            </w:r>
          </w:p>
          <w:p w14:paraId="09499CA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式中：q1，q2……qn—每种危险物质的实际存在量，t；</w:t>
            </w:r>
          </w:p>
          <w:p w14:paraId="680C273B">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Q1，Q2…Qn—与各危险物质相对应的临界量，t。</w:t>
            </w:r>
          </w:p>
          <w:p w14:paraId="3549FDD7">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当 Q＜1 时，该项目风险潜势为Ⅰ；</w:t>
            </w:r>
          </w:p>
          <w:p w14:paraId="729C012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当 Q≥1 时，将 Q 值划分为：（1）1≤Q＜10；（2）10≤Q＜100；（3）Q≥100。</w:t>
            </w:r>
          </w:p>
          <w:p w14:paraId="65E57CD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14:textFill>
                  <w14:solidFill>
                    <w14:schemeClr w14:val="tx1"/>
                  </w14:solidFill>
                </w14:textFill>
              </w:rPr>
              <w:t>21</w:t>
            </w:r>
            <w:r>
              <w:rPr>
                <w:b/>
                <w:bCs/>
                <w:color w:val="000000" w:themeColor="text1"/>
                <w:szCs w:val="21"/>
                <w14:textFill>
                  <w14:solidFill>
                    <w14:schemeClr w14:val="tx1"/>
                  </w14:solidFill>
                </w14:textFill>
              </w:rPr>
              <w:t xml:space="preserve">  本项目环境风险物质识别一览表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2316"/>
              <w:gridCol w:w="1303"/>
              <w:gridCol w:w="1948"/>
              <w:gridCol w:w="1350"/>
              <w:gridCol w:w="1957"/>
            </w:tblGrid>
            <w:tr w14:paraId="0B351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322" w:type="pct"/>
                  <w:vAlign w:val="center"/>
                </w:tcPr>
                <w:p w14:paraId="2FF393E2">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序号</w:t>
                  </w:r>
                </w:p>
              </w:tc>
              <w:tc>
                <w:tcPr>
                  <w:tcW w:w="1278" w:type="pct"/>
                  <w:noWrap/>
                  <w:vAlign w:val="center"/>
                </w:tcPr>
                <w:p w14:paraId="2E7D1307">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危险物质名称</w:t>
                  </w:r>
                </w:p>
              </w:tc>
              <w:tc>
                <w:tcPr>
                  <w:tcW w:w="602" w:type="pct"/>
                  <w:noWrap/>
                  <w:vAlign w:val="center"/>
                </w:tcPr>
                <w:p w14:paraId="0F4FC9CA">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CAS号</w:t>
                  </w:r>
                </w:p>
              </w:tc>
              <w:tc>
                <w:tcPr>
                  <w:tcW w:w="1024" w:type="pct"/>
                  <w:noWrap/>
                  <w:vAlign w:val="center"/>
                </w:tcPr>
                <w:p w14:paraId="02FD007C">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最大存在总量qn/t</w:t>
                  </w:r>
                </w:p>
              </w:tc>
              <w:tc>
                <w:tcPr>
                  <w:tcW w:w="702" w:type="pct"/>
                  <w:noWrap/>
                  <w:vAlign w:val="center"/>
                </w:tcPr>
                <w:p w14:paraId="3F084E1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临界量Qn/t</w:t>
                  </w:r>
                </w:p>
              </w:tc>
              <w:tc>
                <w:tcPr>
                  <w:tcW w:w="1072" w:type="pct"/>
                  <w:noWrap/>
                  <w:vAlign w:val="center"/>
                </w:tcPr>
                <w:p w14:paraId="3CA7C4C9">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该种危险物质Q值</w:t>
                  </w:r>
                </w:p>
              </w:tc>
            </w:tr>
            <w:tr w14:paraId="610E7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681842B2">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1278" w:type="pct"/>
                  <w:noWrap/>
                  <w:vAlign w:val="center"/>
                </w:tcPr>
                <w:p w14:paraId="05C3948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醋酸乙酯（油漆所含）</w:t>
                  </w:r>
                </w:p>
              </w:tc>
              <w:tc>
                <w:tcPr>
                  <w:tcW w:w="602" w:type="pct"/>
                  <w:noWrap/>
                  <w:vAlign w:val="center"/>
                </w:tcPr>
                <w:p w14:paraId="3B252401">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141-78-6</w:t>
                  </w:r>
                </w:p>
              </w:tc>
              <w:tc>
                <w:tcPr>
                  <w:tcW w:w="1024" w:type="pct"/>
                  <w:noWrap/>
                  <w:vAlign w:val="center"/>
                </w:tcPr>
                <w:p w14:paraId="1AE31FF8">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0.09</w:t>
                  </w:r>
                </w:p>
              </w:tc>
              <w:tc>
                <w:tcPr>
                  <w:tcW w:w="702" w:type="pct"/>
                  <w:noWrap/>
                  <w:vAlign w:val="center"/>
                </w:tcPr>
                <w:p w14:paraId="164E2C43">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10</w:t>
                  </w:r>
                </w:p>
              </w:tc>
              <w:tc>
                <w:tcPr>
                  <w:tcW w:w="1072" w:type="pct"/>
                  <w:noWrap/>
                  <w:vAlign w:val="center"/>
                </w:tcPr>
                <w:p w14:paraId="5004BE89">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0.009</w:t>
                  </w:r>
                </w:p>
              </w:tc>
            </w:tr>
            <w:tr w14:paraId="1ED65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0FF2FD8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1278" w:type="pct"/>
                  <w:noWrap/>
                  <w:vAlign w:val="center"/>
                </w:tcPr>
                <w:p w14:paraId="77F4ABD5">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二甲苯</w:t>
                  </w:r>
                  <w:r>
                    <w:rPr>
                      <w:rFonts w:hint="eastAsia"/>
                      <w:color w:val="000000" w:themeColor="text1"/>
                      <w:kern w:val="0"/>
                      <w:szCs w:val="21"/>
                      <w14:textFill>
                        <w14:solidFill>
                          <w14:schemeClr w14:val="tx1"/>
                        </w14:solidFill>
                      </w14:textFill>
                    </w:rPr>
                    <w:t>（稀释剂所含）</w:t>
                  </w:r>
                </w:p>
              </w:tc>
              <w:tc>
                <w:tcPr>
                  <w:tcW w:w="602" w:type="pct"/>
                  <w:noWrap/>
                  <w:vAlign w:val="center"/>
                </w:tcPr>
                <w:p w14:paraId="00710664">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1330-20-7</w:t>
                  </w:r>
                </w:p>
              </w:tc>
              <w:tc>
                <w:tcPr>
                  <w:tcW w:w="1024" w:type="pct"/>
                  <w:noWrap/>
                  <w:vAlign w:val="center"/>
                </w:tcPr>
                <w:p w14:paraId="0B0ECF1F">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w:t>
                  </w:r>
                  <w:r>
                    <w:rPr>
                      <w:rFonts w:hint="eastAsia"/>
                      <w:color w:val="000000" w:themeColor="text1"/>
                      <w:kern w:val="0"/>
                      <w:szCs w:val="21"/>
                      <w14:textFill>
                        <w14:solidFill>
                          <w14:schemeClr w14:val="tx1"/>
                        </w14:solidFill>
                      </w14:textFill>
                    </w:rPr>
                    <w:t>23</w:t>
                  </w:r>
                </w:p>
              </w:tc>
              <w:tc>
                <w:tcPr>
                  <w:tcW w:w="702" w:type="pct"/>
                  <w:noWrap/>
                  <w:vAlign w:val="center"/>
                </w:tcPr>
                <w:p w14:paraId="522C92DB">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w:t>
                  </w:r>
                </w:p>
              </w:tc>
              <w:tc>
                <w:tcPr>
                  <w:tcW w:w="1072" w:type="pct"/>
                  <w:noWrap/>
                  <w:vAlign w:val="center"/>
                </w:tcPr>
                <w:p w14:paraId="130AC28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w:t>
                  </w:r>
                  <w:r>
                    <w:rPr>
                      <w:rFonts w:hint="eastAsia"/>
                      <w:color w:val="000000" w:themeColor="text1"/>
                      <w:kern w:val="0"/>
                      <w:szCs w:val="21"/>
                      <w14:textFill>
                        <w14:solidFill>
                          <w14:schemeClr w14:val="tx1"/>
                        </w14:solidFill>
                      </w14:textFill>
                    </w:rPr>
                    <w:t>23</w:t>
                  </w:r>
                </w:p>
              </w:tc>
            </w:tr>
            <w:tr w14:paraId="59DEC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3F18F93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w:t>
                  </w:r>
                </w:p>
              </w:tc>
              <w:tc>
                <w:tcPr>
                  <w:tcW w:w="1278" w:type="pct"/>
                  <w:noWrap/>
                  <w:vAlign w:val="center"/>
                </w:tcPr>
                <w:p w14:paraId="3C1D707F">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甲缩醛（稀释剂所含）</w:t>
                  </w:r>
                </w:p>
              </w:tc>
              <w:tc>
                <w:tcPr>
                  <w:tcW w:w="602" w:type="pct"/>
                  <w:noWrap/>
                  <w:vAlign w:val="center"/>
                </w:tcPr>
                <w:p w14:paraId="507196D8">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109-87-5</w:t>
                  </w:r>
                </w:p>
              </w:tc>
              <w:tc>
                <w:tcPr>
                  <w:tcW w:w="1024" w:type="pct"/>
                  <w:noWrap/>
                  <w:vAlign w:val="center"/>
                </w:tcPr>
                <w:p w14:paraId="30B4CD16">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0.039</w:t>
                  </w:r>
                </w:p>
              </w:tc>
              <w:tc>
                <w:tcPr>
                  <w:tcW w:w="702" w:type="pct"/>
                  <w:noWrap/>
                  <w:vAlign w:val="center"/>
                </w:tcPr>
                <w:p w14:paraId="232C9F0F">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10</w:t>
                  </w:r>
                </w:p>
              </w:tc>
              <w:tc>
                <w:tcPr>
                  <w:tcW w:w="1072" w:type="pct"/>
                  <w:noWrap/>
                  <w:vAlign w:val="center"/>
                </w:tcPr>
                <w:p w14:paraId="01DEC2AB">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0.0039</w:t>
                  </w:r>
                </w:p>
              </w:tc>
            </w:tr>
            <w:tr w14:paraId="2AE3B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7752FC61">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w:t>
                  </w:r>
                </w:p>
              </w:tc>
              <w:tc>
                <w:tcPr>
                  <w:tcW w:w="1278" w:type="pct"/>
                  <w:noWrap/>
                  <w:vAlign w:val="center"/>
                </w:tcPr>
                <w:p w14:paraId="45A919A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环己酮（稀释剂所含）</w:t>
                  </w:r>
                </w:p>
              </w:tc>
              <w:tc>
                <w:tcPr>
                  <w:tcW w:w="602" w:type="pct"/>
                  <w:noWrap/>
                  <w:vAlign w:val="center"/>
                </w:tcPr>
                <w:p w14:paraId="03495A8F">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108-94-1</w:t>
                  </w:r>
                </w:p>
              </w:tc>
              <w:tc>
                <w:tcPr>
                  <w:tcW w:w="1024" w:type="pct"/>
                  <w:noWrap/>
                  <w:vAlign w:val="center"/>
                </w:tcPr>
                <w:p w14:paraId="3023D958">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0.006</w:t>
                  </w:r>
                </w:p>
              </w:tc>
              <w:tc>
                <w:tcPr>
                  <w:tcW w:w="702" w:type="pct"/>
                  <w:noWrap/>
                  <w:vAlign w:val="center"/>
                </w:tcPr>
                <w:p w14:paraId="6A55E40E">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10</w:t>
                  </w:r>
                </w:p>
              </w:tc>
              <w:tc>
                <w:tcPr>
                  <w:tcW w:w="1072" w:type="pct"/>
                  <w:noWrap/>
                  <w:vAlign w:val="center"/>
                </w:tcPr>
                <w:p w14:paraId="7C1ACAD1">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0.0006</w:t>
                  </w:r>
                </w:p>
              </w:tc>
            </w:tr>
            <w:tr w14:paraId="0CBE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44EE3988">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1278" w:type="pct"/>
                  <w:noWrap/>
                  <w:vAlign w:val="center"/>
                </w:tcPr>
                <w:p w14:paraId="0221E5FC">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催化剂</w:t>
                  </w:r>
                </w:p>
              </w:tc>
              <w:tc>
                <w:tcPr>
                  <w:tcW w:w="602" w:type="pct"/>
                  <w:noWrap/>
                  <w:vAlign w:val="center"/>
                </w:tcPr>
                <w:p w14:paraId="6980A446">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w:t>
                  </w:r>
                </w:p>
              </w:tc>
              <w:tc>
                <w:tcPr>
                  <w:tcW w:w="1024" w:type="pct"/>
                  <w:noWrap/>
                  <w:vAlign w:val="center"/>
                </w:tcPr>
                <w:p w14:paraId="072B065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w:t>
                  </w:r>
                </w:p>
              </w:tc>
              <w:tc>
                <w:tcPr>
                  <w:tcW w:w="702" w:type="pct"/>
                  <w:noWrap/>
                  <w:vAlign w:val="center"/>
                </w:tcPr>
                <w:p w14:paraId="189E500F">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50</w:t>
                  </w:r>
                </w:p>
              </w:tc>
              <w:tc>
                <w:tcPr>
                  <w:tcW w:w="1072" w:type="pct"/>
                  <w:noWrap/>
                  <w:vAlign w:val="center"/>
                </w:tcPr>
                <w:p w14:paraId="0C7201E1">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0.002</w:t>
                  </w:r>
                </w:p>
              </w:tc>
            </w:tr>
            <w:tr w14:paraId="74824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1F8A4FB5">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w:t>
                  </w:r>
                </w:p>
              </w:tc>
              <w:tc>
                <w:tcPr>
                  <w:tcW w:w="1278" w:type="pct"/>
                  <w:noWrap/>
                  <w:vAlign w:val="center"/>
                </w:tcPr>
                <w:p w14:paraId="1820A72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机油</w:t>
                  </w:r>
                </w:p>
              </w:tc>
              <w:tc>
                <w:tcPr>
                  <w:tcW w:w="602" w:type="pct"/>
                  <w:noWrap/>
                  <w:vAlign w:val="center"/>
                </w:tcPr>
                <w:p w14:paraId="37B83E55">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024" w:type="pct"/>
                  <w:noWrap/>
                  <w:vAlign w:val="center"/>
                </w:tcPr>
                <w:p w14:paraId="323C1633">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0.01</w:t>
                  </w:r>
                </w:p>
              </w:tc>
              <w:tc>
                <w:tcPr>
                  <w:tcW w:w="702" w:type="pct"/>
                  <w:noWrap/>
                  <w:vAlign w:val="center"/>
                </w:tcPr>
                <w:p w14:paraId="462C7BC4">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2500</w:t>
                  </w:r>
                </w:p>
              </w:tc>
              <w:tc>
                <w:tcPr>
                  <w:tcW w:w="1072" w:type="pct"/>
                  <w:noWrap/>
                  <w:vAlign w:val="center"/>
                </w:tcPr>
                <w:p w14:paraId="3394F4DB">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0.000004</w:t>
                  </w:r>
                </w:p>
              </w:tc>
            </w:tr>
            <w:tr w14:paraId="495A7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454C97D0">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7</w:t>
                  </w:r>
                </w:p>
              </w:tc>
              <w:tc>
                <w:tcPr>
                  <w:tcW w:w="1278" w:type="pct"/>
                  <w:noWrap/>
                  <w:vAlign w:val="center"/>
                </w:tcPr>
                <w:p w14:paraId="2668EE7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废机油</w:t>
                  </w:r>
                </w:p>
              </w:tc>
              <w:tc>
                <w:tcPr>
                  <w:tcW w:w="602" w:type="pct"/>
                  <w:noWrap/>
                  <w:vAlign w:val="center"/>
                </w:tcPr>
                <w:p w14:paraId="229208C7">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024" w:type="pct"/>
                  <w:noWrap/>
                  <w:vAlign w:val="center"/>
                </w:tcPr>
                <w:p w14:paraId="57678C3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w:t>
                  </w:r>
                  <w:r>
                    <w:rPr>
                      <w:rFonts w:hint="eastAsia"/>
                      <w:color w:val="000000" w:themeColor="text1"/>
                      <w:kern w:val="0"/>
                      <w:szCs w:val="21"/>
                      <w14:textFill>
                        <w14:solidFill>
                          <w14:schemeClr w14:val="tx1"/>
                        </w14:solidFill>
                      </w14:textFill>
                    </w:rPr>
                    <w:t>9</w:t>
                  </w:r>
                </w:p>
              </w:tc>
              <w:tc>
                <w:tcPr>
                  <w:tcW w:w="702" w:type="pct"/>
                  <w:noWrap/>
                  <w:vAlign w:val="center"/>
                </w:tcPr>
                <w:p w14:paraId="3A79FBBC">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2500</w:t>
                  </w:r>
                </w:p>
              </w:tc>
              <w:tc>
                <w:tcPr>
                  <w:tcW w:w="1072" w:type="pct"/>
                  <w:noWrap/>
                  <w:vAlign w:val="center"/>
                </w:tcPr>
                <w:p w14:paraId="74BB1D28">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0.00000</w:t>
                  </w:r>
                  <w:r>
                    <w:rPr>
                      <w:rFonts w:hint="eastAsia"/>
                      <w:color w:val="000000" w:themeColor="text1"/>
                      <w:kern w:val="0"/>
                      <w:szCs w:val="21"/>
                      <w14:textFill>
                        <w14:solidFill>
                          <w14:schemeClr w14:val="tx1"/>
                        </w14:solidFill>
                      </w14:textFill>
                    </w:rPr>
                    <w:t>36</w:t>
                  </w:r>
                </w:p>
              </w:tc>
            </w:tr>
            <w:tr w14:paraId="04D4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2" w:type="pct"/>
                  <w:vAlign w:val="center"/>
                </w:tcPr>
                <w:p w14:paraId="2F24BF7E">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8</w:t>
                  </w:r>
                </w:p>
              </w:tc>
              <w:tc>
                <w:tcPr>
                  <w:tcW w:w="1278" w:type="pct"/>
                  <w:noWrap/>
                  <w:vAlign w:val="center"/>
                </w:tcPr>
                <w:p w14:paraId="2FD31C24">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危险废物（除废机油）</w:t>
                  </w:r>
                </w:p>
              </w:tc>
              <w:tc>
                <w:tcPr>
                  <w:tcW w:w="602" w:type="pct"/>
                  <w:noWrap/>
                  <w:vAlign w:val="center"/>
                </w:tcPr>
                <w:p w14:paraId="50EB62F9">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w:t>
                  </w:r>
                </w:p>
              </w:tc>
              <w:tc>
                <w:tcPr>
                  <w:tcW w:w="1024" w:type="pct"/>
                  <w:noWrap/>
                  <w:vAlign w:val="center"/>
                </w:tcPr>
                <w:p w14:paraId="7140D8C0">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3.301</w:t>
                  </w:r>
                </w:p>
              </w:tc>
              <w:tc>
                <w:tcPr>
                  <w:tcW w:w="702" w:type="pct"/>
                  <w:noWrap/>
                  <w:vAlign w:val="center"/>
                </w:tcPr>
                <w:p w14:paraId="5FC825F9">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50</w:t>
                  </w:r>
                </w:p>
              </w:tc>
              <w:tc>
                <w:tcPr>
                  <w:tcW w:w="1072" w:type="pct"/>
                  <w:noWrap/>
                  <w:vAlign w:val="center"/>
                </w:tcPr>
                <w:p w14:paraId="1C65B4C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0.0</w:t>
                  </w:r>
                  <w:r>
                    <w:rPr>
                      <w:rFonts w:hint="eastAsia"/>
                      <w:color w:val="000000" w:themeColor="text1"/>
                      <w:kern w:val="0"/>
                      <w:szCs w:val="21"/>
                      <w14:textFill>
                        <w14:solidFill>
                          <w14:schemeClr w14:val="tx1"/>
                        </w14:solidFill>
                      </w14:textFill>
                    </w:rPr>
                    <w:t>6602</w:t>
                  </w:r>
                </w:p>
              </w:tc>
            </w:tr>
            <w:tr w14:paraId="2DE1B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928" w:type="pct"/>
                  <w:gridSpan w:val="5"/>
                  <w:vAlign w:val="center"/>
                </w:tcPr>
                <w:p w14:paraId="747B3A5E">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项目Q值∑</w:t>
                  </w:r>
                </w:p>
              </w:tc>
              <w:tc>
                <w:tcPr>
                  <w:tcW w:w="1072" w:type="pct"/>
                  <w:noWrap/>
                  <w:vAlign w:val="center"/>
                </w:tcPr>
                <w:p w14:paraId="367B2907">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fldChar w:fldCharType="begin"/>
                  </w:r>
                  <w:r>
                    <w:rPr>
                      <w:color w:val="000000" w:themeColor="text1"/>
                      <w:kern w:val="0"/>
                      <w:szCs w:val="21"/>
                      <w14:textFill>
                        <w14:solidFill>
                          <w14:schemeClr w14:val="tx1"/>
                        </w14:solidFill>
                      </w14:textFill>
                    </w:rPr>
                    <w:instrText xml:space="preserve"> =SUM(ABOVE) </w:instrText>
                  </w:r>
                  <w:r>
                    <w:rPr>
                      <w:color w:val="000000" w:themeColor="text1"/>
                      <w:kern w:val="0"/>
                      <w:szCs w:val="21"/>
                      <w14:textFill>
                        <w14:solidFill>
                          <w14:schemeClr w14:val="tx1"/>
                        </w14:solidFill>
                      </w14:textFill>
                    </w:rPr>
                    <w:fldChar w:fldCharType="separate"/>
                  </w:r>
                  <w:r>
                    <w:rPr>
                      <w:color w:val="000000" w:themeColor="text1"/>
                      <w:kern w:val="0"/>
                      <w:szCs w:val="21"/>
                      <w14:textFill>
                        <w14:solidFill>
                          <w14:schemeClr w14:val="tx1"/>
                        </w14:solidFill>
                      </w14:textFill>
                    </w:rPr>
                    <w:fldChar w:fldCharType="end"/>
                  </w:r>
                  <w:r>
                    <w:rPr>
                      <w:color w:val="000000" w:themeColor="text1"/>
                      <w:kern w:val="0"/>
                      <w:szCs w:val="21"/>
                      <w14:textFill>
                        <w14:solidFill>
                          <w14:schemeClr w14:val="tx1"/>
                        </w14:solidFill>
                      </w14:textFill>
                    </w:rPr>
                    <w:fldChar w:fldCharType="begin"/>
                  </w:r>
                  <w:r>
                    <w:rPr>
                      <w:color w:val="000000" w:themeColor="text1"/>
                      <w:kern w:val="0"/>
                      <w:szCs w:val="21"/>
                      <w14:textFill>
                        <w14:solidFill>
                          <w14:schemeClr w14:val="tx1"/>
                        </w14:solidFill>
                      </w14:textFill>
                    </w:rPr>
                    <w:instrText xml:space="preserve"> =SUM(ABOVE) </w:instrText>
                  </w:r>
                  <w:r>
                    <w:rPr>
                      <w:color w:val="000000" w:themeColor="text1"/>
                      <w:kern w:val="0"/>
                      <w:szCs w:val="21"/>
                      <w14:textFill>
                        <w14:solidFill>
                          <w14:schemeClr w14:val="tx1"/>
                        </w14:solidFill>
                      </w14:textFill>
                    </w:rPr>
                    <w:fldChar w:fldCharType="separate"/>
                  </w:r>
                  <w:r>
                    <w:rPr>
                      <w:color w:val="000000" w:themeColor="text1"/>
                      <w:kern w:val="0"/>
                      <w:szCs w:val="21"/>
                      <w14:textFill>
                        <w14:solidFill>
                          <w14:schemeClr w14:val="tx1"/>
                        </w14:solidFill>
                      </w14:textFill>
                    </w:rPr>
                    <w:t>0.0838276</w:t>
                  </w:r>
                  <w:r>
                    <w:rPr>
                      <w:color w:val="000000" w:themeColor="text1"/>
                      <w:kern w:val="0"/>
                      <w:szCs w:val="21"/>
                      <w14:textFill>
                        <w14:solidFill>
                          <w14:schemeClr w14:val="tx1"/>
                        </w14:solidFill>
                      </w14:textFill>
                    </w:rPr>
                    <w:fldChar w:fldCharType="end"/>
                  </w:r>
                </w:p>
              </w:tc>
            </w:tr>
            <w:tr w14:paraId="0C04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6"/>
                  <w:vAlign w:val="center"/>
                </w:tcPr>
                <w:p w14:paraId="46F1668E">
                  <w:pP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注：</w:t>
                  </w:r>
                  <w:r>
                    <w:rPr>
                      <w:rFonts w:ascii="Cambria Math" w:hAnsi="Cambria Math" w:cs="Cambria Math"/>
                      <w:color w:val="000000" w:themeColor="text1"/>
                      <w:kern w:val="0"/>
                      <w:szCs w:val="21"/>
                      <w14:textFill>
                        <w14:solidFill>
                          <w14:schemeClr w14:val="tx1"/>
                        </w14:solidFill>
                      </w14:textFill>
                    </w:rPr>
                    <w:t>①</w:t>
                  </w:r>
                  <w:r>
                    <w:rPr>
                      <w:color w:val="000000" w:themeColor="text1"/>
                      <w:kern w:val="0"/>
                      <w:szCs w:val="21"/>
                      <w14:textFill>
                        <w14:solidFill>
                          <w14:schemeClr w14:val="tx1"/>
                        </w14:solidFill>
                      </w14:textFill>
                    </w:rPr>
                    <w:t>项目油漆最大存在量为0.3t（</w:t>
                  </w:r>
                  <w:r>
                    <w:rPr>
                      <w:rFonts w:hint="eastAsia"/>
                      <w:color w:val="000000" w:themeColor="text1"/>
                      <w:kern w:val="0"/>
                      <w:szCs w:val="21"/>
                      <w14:textFill>
                        <w14:solidFill>
                          <w14:schemeClr w14:val="tx1"/>
                        </w14:solidFill>
                      </w14:textFill>
                    </w:rPr>
                    <w:t>醋酸乙酯</w:t>
                  </w:r>
                  <w:r>
                    <w:rPr>
                      <w:color w:val="000000" w:themeColor="text1"/>
                      <w:kern w:val="0"/>
                      <w:szCs w:val="21"/>
                      <w14:textFill>
                        <w14:solidFill>
                          <w14:schemeClr w14:val="tx1"/>
                        </w14:solidFill>
                      </w14:textFill>
                    </w:rPr>
                    <w:t>含量为</w:t>
                  </w:r>
                  <w:r>
                    <w:rPr>
                      <w:rFonts w:hint="eastAsia"/>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0</w:t>
                  </w:r>
                  <w:r>
                    <w:rPr>
                      <w:rFonts w:hint="eastAsia"/>
                      <w:color w:val="000000" w:themeColor="text1"/>
                      <w:kern w:val="0"/>
                      <w:szCs w:val="21"/>
                      <w14:textFill>
                        <w14:solidFill>
                          <w14:schemeClr w14:val="tx1"/>
                        </w14:solidFill>
                      </w14:textFill>
                    </w:rPr>
                    <w:t>~30</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（本报告取30%）</w:t>
                  </w:r>
                  <w:r>
                    <w:rPr>
                      <w:color w:val="000000" w:themeColor="text1"/>
                      <w:kern w:val="0"/>
                      <w:szCs w:val="21"/>
                      <w14:textFill>
                        <w14:solidFill>
                          <w14:schemeClr w14:val="tx1"/>
                        </w14:solidFill>
                      </w14:textFill>
                    </w:rPr>
                    <w:t>，含</w:t>
                  </w:r>
                  <w:r>
                    <w:rPr>
                      <w:rFonts w:hint="eastAsia"/>
                      <w:color w:val="000000" w:themeColor="text1"/>
                      <w:kern w:val="0"/>
                      <w:szCs w:val="21"/>
                      <w14:textFill>
                        <w14:solidFill>
                          <w14:schemeClr w14:val="tx1"/>
                        </w14:solidFill>
                      </w14:textFill>
                    </w:rPr>
                    <w:t>醋酸乙酯</w:t>
                  </w:r>
                  <w:r>
                    <w:rPr>
                      <w:color w:val="000000" w:themeColor="text1"/>
                      <w:kern w:val="0"/>
                      <w:szCs w:val="21"/>
                      <w14:textFill>
                        <w14:solidFill>
                          <w14:schemeClr w14:val="tx1"/>
                        </w14:solidFill>
                      </w14:textFill>
                    </w:rPr>
                    <w:t>0.0</w:t>
                  </w:r>
                  <w:r>
                    <w:rPr>
                      <w:rFonts w:hint="eastAsia"/>
                      <w:color w:val="000000" w:themeColor="text1"/>
                      <w:kern w:val="0"/>
                      <w:szCs w:val="21"/>
                      <w14:textFill>
                        <w14:solidFill>
                          <w14:schemeClr w14:val="tx1"/>
                        </w14:solidFill>
                      </w14:textFill>
                    </w:rPr>
                    <w:t>9</w:t>
                  </w:r>
                  <w:r>
                    <w:rPr>
                      <w:color w:val="000000" w:themeColor="text1"/>
                      <w:kern w:val="0"/>
                      <w:szCs w:val="21"/>
                      <w14:textFill>
                        <w14:solidFill>
                          <w14:schemeClr w14:val="tx1"/>
                        </w14:solidFill>
                      </w14:textFill>
                    </w:rPr>
                    <w:t>t）；稀释剂最大存在量为0.1t（二甲苯含量为</w:t>
                  </w:r>
                  <w:r>
                    <w:rPr>
                      <w:rFonts w:hint="eastAsia"/>
                      <w:color w:val="000000" w:themeColor="text1"/>
                      <w:kern w:val="0"/>
                      <w:szCs w:val="21"/>
                      <w14:textFill>
                        <w14:solidFill>
                          <w14:schemeClr w14:val="tx1"/>
                        </w14:solidFill>
                      </w14:textFill>
                    </w:rPr>
                    <w:t>23</w:t>
                  </w:r>
                  <w:r>
                    <w:rPr>
                      <w:color w:val="000000" w:themeColor="text1"/>
                      <w:kern w:val="0"/>
                      <w:szCs w:val="21"/>
                      <w14:textFill>
                        <w14:solidFill>
                          <w14:schemeClr w14:val="tx1"/>
                        </w14:solidFill>
                      </w14:textFill>
                    </w:rPr>
                    <w:t>%，含二甲苯0.0</w:t>
                  </w:r>
                  <w:r>
                    <w:rPr>
                      <w:rFonts w:hint="eastAsia"/>
                      <w:color w:val="000000" w:themeColor="text1"/>
                      <w:kern w:val="0"/>
                      <w:szCs w:val="21"/>
                      <w14:textFill>
                        <w14:solidFill>
                          <w14:schemeClr w14:val="tx1"/>
                        </w14:solidFill>
                      </w14:textFill>
                    </w:rPr>
                    <w:t>23</w:t>
                  </w:r>
                  <w:r>
                    <w:rPr>
                      <w:color w:val="000000" w:themeColor="text1"/>
                      <w:kern w:val="0"/>
                      <w:szCs w:val="21"/>
                      <w14:textFill>
                        <w14:solidFill>
                          <w14:schemeClr w14:val="tx1"/>
                        </w14:solidFill>
                      </w14:textFill>
                    </w:rPr>
                    <w:t>t</w:t>
                  </w:r>
                  <w:r>
                    <w:rPr>
                      <w:rFonts w:hint="eastAsia"/>
                      <w:color w:val="000000" w:themeColor="text1"/>
                      <w:kern w:val="0"/>
                      <w:szCs w:val="21"/>
                      <w14:textFill>
                        <w14:solidFill>
                          <w14:schemeClr w14:val="tx1"/>
                        </w14:solidFill>
                      </w14:textFill>
                    </w:rPr>
                    <w:t>；甲缩醛含量为39%，含甲缩醛0.039t；环己酮含量为6%，含环己酮0.006t</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w:t>
                  </w:r>
                </w:p>
                <w:p w14:paraId="35F8272F">
                  <w:pPr>
                    <w:rPr>
                      <w:color w:val="000000" w:themeColor="text1"/>
                      <w:kern w:val="0"/>
                      <w:szCs w:val="21"/>
                      <w14:textFill>
                        <w14:solidFill>
                          <w14:schemeClr w14:val="tx1"/>
                        </w14:solidFill>
                      </w14:textFill>
                    </w:rPr>
                  </w:pPr>
                  <w:r>
                    <w:rPr>
                      <w:rFonts w:ascii="Cambria Math" w:hAnsi="Cambria Math" w:cs="Cambria Math"/>
                      <w:color w:val="000000" w:themeColor="text1"/>
                      <w:kern w:val="0"/>
                      <w:szCs w:val="21"/>
                      <w14:textFill>
                        <w14:solidFill>
                          <w14:schemeClr w14:val="tx1"/>
                        </w14:solidFill>
                      </w14:textFill>
                    </w:rPr>
                    <w:t>②</w:t>
                  </w:r>
                  <w:r>
                    <w:rPr>
                      <w:rFonts w:hint="eastAsia" w:ascii="Cambria Math" w:hAnsi="Cambria Math" w:cs="Cambria Math"/>
                      <w:color w:val="000000" w:themeColor="text1"/>
                      <w:kern w:val="0"/>
                      <w:szCs w:val="21"/>
                      <w14:textFill>
                        <w14:solidFill>
                          <w14:schemeClr w14:val="tx1"/>
                        </w14:solidFill>
                      </w14:textFill>
                    </w:rPr>
                    <w:t>催化剂、</w:t>
                  </w:r>
                  <w:r>
                    <w:rPr>
                      <w:color w:val="000000" w:themeColor="text1"/>
                      <w:kern w:val="0"/>
                      <w:szCs w:val="21"/>
                      <w14:textFill>
                        <w14:solidFill>
                          <w14:schemeClr w14:val="tx1"/>
                        </w14:solidFill>
                      </w14:textFill>
                    </w:rPr>
                    <w:t>危险废物（除废机油）临界量按健康危险急性毒性物质（类别2）取临界量为50t。</w:t>
                  </w:r>
                </w:p>
              </w:tc>
            </w:tr>
          </w:tbl>
          <w:p w14:paraId="11C6C27C">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本项目危险物质Q值＜1，因此本项目风险潜势为Ⅰ级。</w:t>
            </w:r>
          </w:p>
          <w:p w14:paraId="111FDA6E">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（2）评价工作等级</w:t>
            </w:r>
          </w:p>
          <w:p w14:paraId="0E0B571A">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环境风险评价工作等级划分为一级、二级、三级及简单分析。具体见下表</w:t>
            </w:r>
          </w:p>
          <w:p w14:paraId="64192934">
            <w:pPr>
              <w:pStyle w:val="180"/>
              <w:spacing w:line="240" w:lineRule="auto"/>
              <w:rPr>
                <w:b w:val="0"/>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w:t>
            </w:r>
            <w:r>
              <w:rPr>
                <w:rFonts w:hint="eastAsia" w:eastAsiaTheme="minorEastAsia"/>
                <w:color w:val="000000" w:themeColor="text1"/>
                <w14:textFill>
                  <w14:solidFill>
                    <w14:schemeClr w14:val="tx1"/>
                  </w14:solidFill>
                </w14:textFill>
              </w:rPr>
              <w:t>22</w:t>
            </w:r>
            <w:r>
              <w:rPr>
                <w:rFonts w:eastAsiaTheme="minorEastAsia"/>
                <w:color w:val="000000" w:themeColor="text1"/>
                <w14:textFill>
                  <w14:solidFill>
                    <w14:schemeClr w14:val="tx1"/>
                  </w14:solidFill>
                </w14:textFill>
              </w:rPr>
              <w:t xml:space="preserve">  评价工作等级划分</w:t>
            </w:r>
          </w:p>
          <w:tbl>
            <w:tblPr>
              <w:tblStyle w:val="44"/>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1"/>
              <w:gridCol w:w="1830"/>
              <w:gridCol w:w="1830"/>
              <w:gridCol w:w="1830"/>
              <w:gridCol w:w="1829"/>
            </w:tblGrid>
            <w:tr w14:paraId="357D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5" w:type="pct"/>
                  <w:vAlign w:val="center"/>
                </w:tcPr>
                <w:p w14:paraId="344EA8E7">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环境风险潜势</w:t>
                  </w:r>
                </w:p>
              </w:tc>
              <w:tc>
                <w:tcPr>
                  <w:tcW w:w="984" w:type="pct"/>
                  <w:vAlign w:val="center"/>
                </w:tcPr>
                <w:p w14:paraId="48B266C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Ⅳ、Ⅳ+</w:t>
                  </w:r>
                </w:p>
              </w:tc>
              <w:tc>
                <w:tcPr>
                  <w:tcW w:w="984" w:type="pct"/>
                  <w:vAlign w:val="center"/>
                </w:tcPr>
                <w:p w14:paraId="7F1ED23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Ⅲ</w:t>
                  </w:r>
                </w:p>
              </w:tc>
              <w:tc>
                <w:tcPr>
                  <w:tcW w:w="984" w:type="pct"/>
                  <w:vAlign w:val="center"/>
                </w:tcPr>
                <w:p w14:paraId="5C73589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Ⅱ</w:t>
                  </w:r>
                </w:p>
              </w:tc>
              <w:tc>
                <w:tcPr>
                  <w:tcW w:w="984" w:type="pct"/>
                  <w:vAlign w:val="center"/>
                </w:tcPr>
                <w:p w14:paraId="501AF6D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Ⅰ</w:t>
                  </w:r>
                </w:p>
              </w:tc>
            </w:tr>
            <w:tr w14:paraId="2884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5" w:type="pct"/>
                  <w:vAlign w:val="center"/>
                </w:tcPr>
                <w:p w14:paraId="2B45ABC3">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评价工作等级</w:t>
                  </w:r>
                </w:p>
              </w:tc>
              <w:tc>
                <w:tcPr>
                  <w:tcW w:w="984" w:type="pct"/>
                  <w:vAlign w:val="center"/>
                </w:tcPr>
                <w:p w14:paraId="2ADB2EC2">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一</w:t>
                  </w:r>
                </w:p>
              </w:tc>
              <w:tc>
                <w:tcPr>
                  <w:tcW w:w="984" w:type="pct"/>
                  <w:vAlign w:val="center"/>
                </w:tcPr>
                <w:p w14:paraId="359D96E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二</w:t>
                  </w:r>
                </w:p>
              </w:tc>
              <w:tc>
                <w:tcPr>
                  <w:tcW w:w="984" w:type="pct"/>
                  <w:vAlign w:val="center"/>
                </w:tcPr>
                <w:p w14:paraId="79B3E2C1">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三</w:t>
                  </w:r>
                </w:p>
              </w:tc>
              <w:tc>
                <w:tcPr>
                  <w:tcW w:w="984" w:type="pct"/>
                  <w:vAlign w:val="center"/>
                </w:tcPr>
                <w:p w14:paraId="050EEC1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简单分析a</w:t>
                  </w:r>
                </w:p>
              </w:tc>
            </w:tr>
            <w:tr w14:paraId="191B6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vAlign w:val="center"/>
                </w:tcPr>
                <w:p w14:paraId="6D77699C">
                  <w:pPr>
                    <w:pStyle w:val="180"/>
                    <w:spacing w:line="240" w:lineRule="auto"/>
                    <w:jc w:val="both"/>
                    <w:rPr>
                      <w:rFonts w:eastAsiaTheme="minorEastAsia"/>
                      <w:b w:val="0"/>
                      <w:color w:val="000000" w:themeColor="text1"/>
                      <w14:textFill>
                        <w14:solidFill>
                          <w14:schemeClr w14:val="tx1"/>
                        </w14:solidFill>
                      </w14:textFill>
                    </w:rPr>
                  </w:pPr>
                  <w:r>
                    <w:rPr>
                      <w:rFonts w:eastAsiaTheme="minorEastAsia"/>
                      <w:b w:val="0"/>
                      <w:color w:val="000000" w:themeColor="text1"/>
                      <w14:textFill>
                        <w14:solidFill>
                          <w14:schemeClr w14:val="tx1"/>
                        </w14:solidFill>
                      </w14:textFill>
                    </w:rPr>
                    <w:t>a:是相对于详细评价工作内容而言，在描述危险物质、环境影响途径、环境危害后果、风险防范措施等方面给出定性的说明。</w:t>
                  </w:r>
                </w:p>
              </w:tc>
            </w:tr>
          </w:tbl>
          <w:p w14:paraId="4B28EAF5">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根据上述分析，本项目风险潜势为Ⅰ级，评价工作等级为简单分析。</w:t>
            </w:r>
          </w:p>
          <w:p w14:paraId="7BCA87FA">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3、风险识别</w:t>
            </w:r>
          </w:p>
          <w:p w14:paraId="23CF6CE5">
            <w:pPr>
              <w:pStyle w:val="180"/>
              <w:spacing w:line="240" w:lineRule="auto"/>
              <w:rPr>
                <w:b w:val="0"/>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表4-2</w:t>
            </w:r>
            <w:r>
              <w:rPr>
                <w:rFonts w:hint="eastAsia" w:eastAsiaTheme="minorEastAsia"/>
                <w:color w:val="000000" w:themeColor="text1"/>
                <w14:textFill>
                  <w14:solidFill>
                    <w14:schemeClr w14:val="tx1"/>
                  </w14:solidFill>
                </w14:textFill>
              </w:rPr>
              <w:t>3</w:t>
            </w:r>
            <w:r>
              <w:rPr>
                <w:rFonts w:eastAsiaTheme="minorEastAsia"/>
                <w:color w:val="000000" w:themeColor="text1"/>
                <w14:textFill>
                  <w14:solidFill>
                    <w14:schemeClr w14:val="tx1"/>
                  </w14:solidFill>
                </w14:textFill>
              </w:rPr>
              <w:t xml:space="preserve">  </w:t>
            </w:r>
            <w:r>
              <w:rPr>
                <w:color w:val="000000" w:themeColor="text1"/>
                <w14:textFill>
                  <w14:solidFill>
                    <w14:schemeClr w14:val="tx1"/>
                  </w14:solidFill>
                </w14:textFill>
              </w:rPr>
              <w:t>主要风险因素分析表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436"/>
              <w:gridCol w:w="1309"/>
              <w:gridCol w:w="1308"/>
              <w:gridCol w:w="1309"/>
              <w:gridCol w:w="1455"/>
              <w:gridCol w:w="1743"/>
            </w:tblGrid>
            <w:tr w14:paraId="6C112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op w:val="single" w:color="auto" w:sz="4" w:space="0"/>
                    <w:left w:val="single" w:color="auto" w:sz="4" w:space="0"/>
                    <w:bottom w:val="single" w:color="auto" w:sz="4" w:space="0"/>
                    <w:right w:val="single" w:color="auto" w:sz="4" w:space="0"/>
                  </w:tcBorders>
                  <w:vAlign w:val="center"/>
                </w:tcPr>
                <w:p w14:paraId="67915665">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序号</w:t>
                  </w:r>
                </w:p>
              </w:tc>
              <w:tc>
                <w:tcPr>
                  <w:tcW w:w="772" w:type="pct"/>
                  <w:tcBorders>
                    <w:top w:val="single" w:color="auto" w:sz="4" w:space="0"/>
                    <w:left w:val="single" w:color="auto" w:sz="4" w:space="0"/>
                    <w:bottom w:val="single" w:color="auto" w:sz="4" w:space="0"/>
                    <w:right w:val="single" w:color="auto" w:sz="4" w:space="0"/>
                  </w:tcBorders>
                  <w:vAlign w:val="center"/>
                </w:tcPr>
                <w:p w14:paraId="4DAC4C4A">
                  <w:pPr>
                    <w:jc w:val="center"/>
                    <w:rPr>
                      <w:color w:val="000000" w:themeColor="text1"/>
                      <w14:textFill>
                        <w14:solidFill>
                          <w14:schemeClr w14:val="tx1"/>
                        </w14:solidFill>
                      </w14:textFill>
                    </w:rPr>
                  </w:pPr>
                  <w:r>
                    <w:rPr>
                      <w:color w:val="000000" w:themeColor="text1"/>
                      <w14:textFill>
                        <w14:solidFill>
                          <w14:schemeClr w14:val="tx1"/>
                        </w14:solidFill>
                      </w14:textFill>
                    </w:rPr>
                    <w:t>危险单元</w:t>
                  </w:r>
                </w:p>
              </w:tc>
              <w:tc>
                <w:tcPr>
                  <w:tcW w:w="704" w:type="pct"/>
                  <w:tcBorders>
                    <w:top w:val="single" w:color="auto" w:sz="4" w:space="0"/>
                    <w:left w:val="single" w:color="auto" w:sz="4" w:space="0"/>
                    <w:bottom w:val="single" w:color="auto" w:sz="4" w:space="0"/>
                    <w:right w:val="single" w:color="auto" w:sz="4" w:space="0"/>
                  </w:tcBorders>
                  <w:vAlign w:val="center"/>
                </w:tcPr>
                <w:p w14:paraId="65F7866D">
                  <w:pPr>
                    <w:jc w:val="center"/>
                    <w:rPr>
                      <w:color w:val="000000" w:themeColor="text1"/>
                      <w14:textFill>
                        <w14:solidFill>
                          <w14:schemeClr w14:val="tx1"/>
                        </w14:solidFill>
                      </w14:textFill>
                    </w:rPr>
                  </w:pPr>
                  <w:r>
                    <w:rPr>
                      <w:color w:val="000000" w:themeColor="text1"/>
                      <w14:textFill>
                        <w14:solidFill>
                          <w14:schemeClr w14:val="tx1"/>
                        </w14:solidFill>
                      </w14:textFill>
                    </w:rPr>
                    <w:t>风险源</w:t>
                  </w:r>
                </w:p>
              </w:tc>
              <w:tc>
                <w:tcPr>
                  <w:tcW w:w="703" w:type="pct"/>
                  <w:tcBorders>
                    <w:top w:val="single" w:color="auto" w:sz="4" w:space="0"/>
                    <w:left w:val="single" w:color="auto" w:sz="4" w:space="0"/>
                    <w:bottom w:val="single" w:color="auto" w:sz="4" w:space="0"/>
                    <w:right w:val="single" w:color="auto" w:sz="4" w:space="0"/>
                  </w:tcBorders>
                  <w:vAlign w:val="center"/>
                </w:tcPr>
                <w:p w14:paraId="63ECF1BE">
                  <w:pPr>
                    <w:jc w:val="center"/>
                    <w:rPr>
                      <w:color w:val="000000" w:themeColor="text1"/>
                      <w14:textFill>
                        <w14:solidFill>
                          <w14:schemeClr w14:val="tx1"/>
                        </w14:solidFill>
                      </w14:textFill>
                    </w:rPr>
                  </w:pPr>
                  <w:r>
                    <w:rPr>
                      <w:color w:val="000000" w:themeColor="text1"/>
                      <w14:textFill>
                        <w14:solidFill>
                          <w14:schemeClr w14:val="tx1"/>
                        </w14:solidFill>
                      </w14:textFill>
                    </w:rPr>
                    <w:t>主要危险物质</w:t>
                  </w:r>
                </w:p>
              </w:tc>
              <w:tc>
                <w:tcPr>
                  <w:tcW w:w="704" w:type="pct"/>
                  <w:tcBorders>
                    <w:top w:val="single" w:color="auto" w:sz="4" w:space="0"/>
                    <w:left w:val="single" w:color="auto" w:sz="4" w:space="0"/>
                    <w:bottom w:val="single" w:color="auto" w:sz="4" w:space="0"/>
                    <w:right w:val="single" w:color="auto" w:sz="4" w:space="0"/>
                  </w:tcBorders>
                  <w:vAlign w:val="center"/>
                </w:tcPr>
                <w:p w14:paraId="1402E051">
                  <w:pPr>
                    <w:jc w:val="center"/>
                    <w:rPr>
                      <w:color w:val="000000" w:themeColor="text1"/>
                      <w14:textFill>
                        <w14:solidFill>
                          <w14:schemeClr w14:val="tx1"/>
                        </w14:solidFill>
                      </w14:textFill>
                    </w:rPr>
                  </w:pPr>
                  <w:r>
                    <w:rPr>
                      <w:color w:val="000000" w:themeColor="text1"/>
                      <w14:textFill>
                        <w14:solidFill>
                          <w14:schemeClr w14:val="tx1"/>
                        </w14:solidFill>
                      </w14:textFill>
                    </w:rPr>
                    <w:t>环境风险类型</w:t>
                  </w:r>
                </w:p>
              </w:tc>
              <w:tc>
                <w:tcPr>
                  <w:tcW w:w="782" w:type="pct"/>
                  <w:tcBorders>
                    <w:top w:val="single" w:color="auto" w:sz="4" w:space="0"/>
                    <w:left w:val="single" w:color="auto" w:sz="4" w:space="0"/>
                    <w:bottom w:val="single" w:color="auto" w:sz="4" w:space="0"/>
                    <w:right w:val="single" w:color="auto" w:sz="4" w:space="0"/>
                  </w:tcBorders>
                  <w:vAlign w:val="center"/>
                </w:tcPr>
                <w:p w14:paraId="4D64322E">
                  <w:pPr>
                    <w:jc w:val="center"/>
                    <w:rPr>
                      <w:color w:val="000000" w:themeColor="text1"/>
                      <w14:textFill>
                        <w14:solidFill>
                          <w14:schemeClr w14:val="tx1"/>
                        </w14:solidFill>
                      </w14:textFill>
                    </w:rPr>
                  </w:pPr>
                  <w:r>
                    <w:rPr>
                      <w:color w:val="000000" w:themeColor="text1"/>
                      <w14:textFill>
                        <w14:solidFill>
                          <w14:schemeClr w14:val="tx1"/>
                        </w14:solidFill>
                      </w14:textFill>
                    </w:rPr>
                    <w:t>环境影响途径</w:t>
                  </w:r>
                </w:p>
              </w:tc>
              <w:tc>
                <w:tcPr>
                  <w:tcW w:w="937" w:type="pct"/>
                  <w:tcBorders>
                    <w:top w:val="single" w:color="auto" w:sz="4" w:space="0"/>
                    <w:left w:val="single" w:color="auto" w:sz="4" w:space="0"/>
                    <w:bottom w:val="single" w:color="auto" w:sz="4" w:space="0"/>
                    <w:right w:val="single" w:color="auto" w:sz="4" w:space="0"/>
                  </w:tcBorders>
                  <w:vAlign w:val="center"/>
                </w:tcPr>
                <w:p w14:paraId="17E5F5BD">
                  <w:pPr>
                    <w:jc w:val="center"/>
                    <w:rPr>
                      <w:color w:val="000000" w:themeColor="text1"/>
                      <w14:textFill>
                        <w14:solidFill>
                          <w14:schemeClr w14:val="tx1"/>
                        </w14:solidFill>
                      </w14:textFill>
                    </w:rPr>
                  </w:pPr>
                  <w:r>
                    <w:rPr>
                      <w:color w:val="000000" w:themeColor="text1"/>
                      <w14:textFill>
                        <w14:solidFill>
                          <w14:schemeClr w14:val="tx1"/>
                        </w14:solidFill>
                      </w14:textFill>
                    </w:rPr>
                    <w:t>可能受影响的环境敏感目标</w:t>
                  </w:r>
                </w:p>
              </w:tc>
            </w:tr>
            <w:tr w14:paraId="4A74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op w:val="single" w:color="auto" w:sz="4" w:space="0"/>
                    <w:left w:val="single" w:color="auto" w:sz="4" w:space="0"/>
                    <w:bottom w:val="single" w:color="auto" w:sz="4" w:space="0"/>
                    <w:right w:val="single" w:color="auto" w:sz="4" w:space="0"/>
                  </w:tcBorders>
                  <w:vAlign w:val="center"/>
                </w:tcPr>
                <w:p w14:paraId="68A40956">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772" w:type="pct"/>
                  <w:tcBorders>
                    <w:top w:val="single" w:color="auto" w:sz="4" w:space="0"/>
                    <w:left w:val="single" w:color="auto" w:sz="4" w:space="0"/>
                    <w:bottom w:val="single" w:color="auto" w:sz="4" w:space="0"/>
                    <w:right w:val="single" w:color="auto" w:sz="4" w:space="0"/>
                  </w:tcBorders>
                  <w:vAlign w:val="center"/>
                </w:tcPr>
                <w:p w14:paraId="7807121D">
                  <w:pPr>
                    <w:jc w:val="center"/>
                    <w:rPr>
                      <w:color w:val="000000" w:themeColor="text1"/>
                      <w14:textFill>
                        <w14:solidFill>
                          <w14:schemeClr w14:val="tx1"/>
                        </w14:solidFill>
                      </w14:textFill>
                    </w:rPr>
                  </w:pPr>
                  <w:r>
                    <w:rPr>
                      <w:color w:val="000000" w:themeColor="text1"/>
                      <w14:textFill>
                        <w14:solidFill>
                          <w14:schemeClr w14:val="tx1"/>
                        </w14:solidFill>
                      </w14:textFill>
                    </w:rPr>
                    <w:t>生产车间</w:t>
                  </w:r>
                </w:p>
              </w:tc>
              <w:tc>
                <w:tcPr>
                  <w:tcW w:w="704" w:type="pct"/>
                  <w:tcBorders>
                    <w:top w:val="single" w:color="auto" w:sz="4" w:space="0"/>
                    <w:left w:val="single" w:color="auto" w:sz="4" w:space="0"/>
                    <w:bottom w:val="single" w:color="auto" w:sz="4" w:space="0"/>
                    <w:right w:val="single" w:color="auto" w:sz="4" w:space="0"/>
                  </w:tcBorders>
                  <w:vAlign w:val="center"/>
                </w:tcPr>
                <w:p w14:paraId="424ED5A0">
                  <w:pPr>
                    <w:jc w:val="center"/>
                    <w:rPr>
                      <w:color w:val="000000" w:themeColor="text1"/>
                      <w14:textFill>
                        <w14:solidFill>
                          <w14:schemeClr w14:val="tx1"/>
                        </w14:solidFill>
                      </w14:textFill>
                    </w:rPr>
                  </w:pPr>
                  <w:r>
                    <w:rPr>
                      <w:color w:val="000000" w:themeColor="text1"/>
                      <w14:textFill>
                        <w14:solidFill>
                          <w14:schemeClr w14:val="tx1"/>
                        </w14:solidFill>
                      </w14:textFill>
                    </w:rPr>
                    <w:t>生产设备、原辅料</w:t>
                  </w:r>
                </w:p>
              </w:tc>
              <w:tc>
                <w:tcPr>
                  <w:tcW w:w="703" w:type="pct"/>
                  <w:tcBorders>
                    <w:top w:val="single" w:color="auto" w:sz="4" w:space="0"/>
                    <w:left w:val="single" w:color="auto" w:sz="4" w:space="0"/>
                    <w:bottom w:val="single" w:color="auto" w:sz="4" w:space="0"/>
                    <w:right w:val="single" w:color="auto" w:sz="4" w:space="0"/>
                  </w:tcBorders>
                  <w:vAlign w:val="center"/>
                </w:tcPr>
                <w:p w14:paraId="656634F6">
                  <w:pPr>
                    <w:jc w:val="center"/>
                    <w:rPr>
                      <w:color w:val="000000" w:themeColor="text1"/>
                      <w14:textFill>
                        <w14:solidFill>
                          <w14:schemeClr w14:val="tx1"/>
                        </w14:solidFill>
                      </w14:textFill>
                    </w:rPr>
                  </w:pPr>
                  <w:r>
                    <w:rPr>
                      <w:color w:val="000000" w:themeColor="text1"/>
                      <w14:textFill>
                        <w14:solidFill>
                          <w14:schemeClr w14:val="tx1"/>
                        </w14:solidFill>
                      </w14:textFill>
                    </w:rPr>
                    <w:t>可燃物、设备老化</w:t>
                  </w:r>
                </w:p>
              </w:tc>
              <w:tc>
                <w:tcPr>
                  <w:tcW w:w="704" w:type="pct"/>
                  <w:tcBorders>
                    <w:top w:val="single" w:color="auto" w:sz="4" w:space="0"/>
                    <w:left w:val="single" w:color="auto" w:sz="4" w:space="0"/>
                    <w:bottom w:val="single" w:color="auto" w:sz="4" w:space="0"/>
                    <w:right w:val="single" w:color="auto" w:sz="4" w:space="0"/>
                  </w:tcBorders>
                  <w:vAlign w:val="center"/>
                </w:tcPr>
                <w:p w14:paraId="1D0AB968">
                  <w:pPr>
                    <w:jc w:val="center"/>
                    <w:rPr>
                      <w:color w:val="000000" w:themeColor="text1"/>
                      <w14:textFill>
                        <w14:solidFill>
                          <w14:schemeClr w14:val="tx1"/>
                        </w14:solidFill>
                      </w14:textFill>
                    </w:rPr>
                  </w:pPr>
                  <w:r>
                    <w:rPr>
                      <w:color w:val="000000" w:themeColor="text1"/>
                      <w14:textFill>
                        <w14:solidFill>
                          <w14:schemeClr w14:val="tx1"/>
                        </w14:solidFill>
                      </w14:textFill>
                    </w:rPr>
                    <w:t>火灾、爆炸</w:t>
                  </w:r>
                </w:p>
              </w:tc>
              <w:tc>
                <w:tcPr>
                  <w:tcW w:w="782" w:type="pct"/>
                  <w:tcBorders>
                    <w:top w:val="single" w:color="auto" w:sz="4" w:space="0"/>
                    <w:left w:val="single" w:color="auto" w:sz="4" w:space="0"/>
                    <w:bottom w:val="single" w:color="auto" w:sz="4" w:space="0"/>
                    <w:right w:val="single" w:color="auto" w:sz="4" w:space="0"/>
                  </w:tcBorders>
                  <w:vAlign w:val="center"/>
                </w:tcPr>
                <w:p w14:paraId="3F777DCF">
                  <w:pPr>
                    <w:jc w:val="center"/>
                    <w:rPr>
                      <w:color w:val="000000" w:themeColor="text1"/>
                      <w14:textFill>
                        <w14:solidFill>
                          <w14:schemeClr w14:val="tx1"/>
                        </w14:solidFill>
                      </w14:textFill>
                    </w:rPr>
                  </w:pPr>
                  <w:r>
                    <w:rPr>
                      <w:color w:val="000000" w:themeColor="text1"/>
                      <w14:textFill>
                        <w14:solidFill>
                          <w14:schemeClr w14:val="tx1"/>
                        </w14:solidFill>
                      </w14:textFill>
                    </w:rPr>
                    <w:t>大气、地表水</w:t>
                  </w:r>
                </w:p>
              </w:tc>
              <w:tc>
                <w:tcPr>
                  <w:tcW w:w="937" w:type="pct"/>
                  <w:tcBorders>
                    <w:top w:val="single" w:color="auto" w:sz="4" w:space="0"/>
                    <w:left w:val="single" w:color="auto" w:sz="4" w:space="0"/>
                    <w:bottom w:val="single" w:color="auto" w:sz="4" w:space="0"/>
                    <w:right w:val="single" w:color="auto" w:sz="4" w:space="0"/>
                  </w:tcBorders>
                  <w:vAlign w:val="center"/>
                </w:tcPr>
                <w:p w14:paraId="66223C6C">
                  <w:pPr>
                    <w:jc w:val="center"/>
                    <w:rPr>
                      <w:color w:val="000000" w:themeColor="text1"/>
                      <w14:textFill>
                        <w14:solidFill>
                          <w14:schemeClr w14:val="tx1"/>
                        </w14:solidFill>
                      </w14:textFill>
                    </w:rPr>
                  </w:pPr>
                  <w:r>
                    <w:rPr>
                      <w:color w:val="000000" w:themeColor="text1"/>
                      <w14:textFill>
                        <w14:solidFill>
                          <w14:schemeClr w14:val="tx1"/>
                        </w14:solidFill>
                      </w14:textFill>
                    </w:rPr>
                    <w:t>周边居民、附近河流</w:t>
                  </w:r>
                </w:p>
              </w:tc>
            </w:tr>
            <w:tr w14:paraId="1ED39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op w:val="single" w:color="auto" w:sz="4" w:space="0"/>
                    <w:left w:val="single" w:color="auto" w:sz="4" w:space="0"/>
                    <w:bottom w:val="single" w:color="auto" w:sz="4" w:space="0"/>
                    <w:right w:val="single" w:color="auto" w:sz="4" w:space="0"/>
                  </w:tcBorders>
                  <w:vAlign w:val="center"/>
                </w:tcPr>
                <w:p w14:paraId="15F5F02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772" w:type="pct"/>
                  <w:tcBorders>
                    <w:top w:val="single" w:color="auto" w:sz="4" w:space="0"/>
                    <w:left w:val="single" w:color="auto" w:sz="4" w:space="0"/>
                    <w:bottom w:val="single" w:color="auto" w:sz="4" w:space="0"/>
                    <w:right w:val="single" w:color="auto" w:sz="4" w:space="0"/>
                  </w:tcBorders>
                  <w:vAlign w:val="center"/>
                </w:tcPr>
                <w:p w14:paraId="170B8E32">
                  <w:pPr>
                    <w:jc w:val="center"/>
                    <w:rPr>
                      <w:color w:val="000000" w:themeColor="text1"/>
                      <w14:textFill>
                        <w14:solidFill>
                          <w14:schemeClr w14:val="tx1"/>
                        </w14:solidFill>
                      </w14:textFill>
                    </w:rPr>
                  </w:pPr>
                  <w:r>
                    <w:rPr>
                      <w:color w:val="000000" w:themeColor="text1"/>
                      <w14:textFill>
                        <w14:solidFill>
                          <w14:schemeClr w14:val="tx1"/>
                        </w14:solidFill>
                      </w14:textFill>
                    </w:rPr>
                    <w:t>生产车间</w:t>
                  </w:r>
                </w:p>
              </w:tc>
              <w:tc>
                <w:tcPr>
                  <w:tcW w:w="704" w:type="pct"/>
                  <w:tcBorders>
                    <w:top w:val="single" w:color="auto" w:sz="4" w:space="0"/>
                    <w:left w:val="single" w:color="auto" w:sz="4" w:space="0"/>
                    <w:bottom w:val="single" w:color="auto" w:sz="4" w:space="0"/>
                    <w:right w:val="single" w:color="auto" w:sz="4" w:space="0"/>
                  </w:tcBorders>
                  <w:vAlign w:val="center"/>
                </w:tcPr>
                <w:p w14:paraId="315ACF35">
                  <w:pPr>
                    <w:jc w:val="center"/>
                    <w:rPr>
                      <w:color w:val="000000" w:themeColor="text1"/>
                      <w14:textFill>
                        <w14:solidFill>
                          <w14:schemeClr w14:val="tx1"/>
                        </w14:solidFill>
                      </w14:textFill>
                    </w:rPr>
                  </w:pPr>
                  <w:r>
                    <w:rPr>
                      <w:color w:val="000000" w:themeColor="text1"/>
                      <w14:textFill>
                        <w14:solidFill>
                          <w14:schemeClr w14:val="tx1"/>
                        </w14:solidFill>
                      </w14:textFill>
                    </w:rPr>
                    <w:t>化粪池</w:t>
                  </w:r>
                </w:p>
              </w:tc>
              <w:tc>
                <w:tcPr>
                  <w:tcW w:w="703" w:type="pct"/>
                  <w:tcBorders>
                    <w:top w:val="single" w:color="auto" w:sz="4" w:space="0"/>
                    <w:left w:val="single" w:color="auto" w:sz="4" w:space="0"/>
                    <w:bottom w:val="single" w:color="auto" w:sz="4" w:space="0"/>
                    <w:right w:val="single" w:color="auto" w:sz="4" w:space="0"/>
                  </w:tcBorders>
                  <w:vAlign w:val="center"/>
                </w:tcPr>
                <w:p w14:paraId="03CC0331">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704" w:type="pct"/>
                  <w:tcBorders>
                    <w:top w:val="single" w:color="auto" w:sz="4" w:space="0"/>
                    <w:left w:val="single" w:color="auto" w:sz="4" w:space="0"/>
                    <w:bottom w:val="single" w:color="auto" w:sz="4" w:space="0"/>
                    <w:right w:val="single" w:color="auto" w:sz="4" w:space="0"/>
                  </w:tcBorders>
                  <w:vAlign w:val="center"/>
                </w:tcPr>
                <w:p w14:paraId="44A32799">
                  <w:pPr>
                    <w:jc w:val="center"/>
                    <w:rPr>
                      <w:color w:val="000000" w:themeColor="text1"/>
                      <w14:textFill>
                        <w14:solidFill>
                          <w14:schemeClr w14:val="tx1"/>
                        </w14:solidFill>
                      </w14:textFill>
                    </w:rPr>
                  </w:pPr>
                  <w:r>
                    <w:rPr>
                      <w:color w:val="000000" w:themeColor="text1"/>
                      <w14:textFill>
                        <w14:solidFill>
                          <w14:schemeClr w14:val="tx1"/>
                        </w14:solidFill>
                      </w14:textFill>
                    </w:rPr>
                    <w:t>废水事故排放、泄漏</w:t>
                  </w:r>
                </w:p>
              </w:tc>
              <w:tc>
                <w:tcPr>
                  <w:tcW w:w="782" w:type="pct"/>
                  <w:tcBorders>
                    <w:top w:val="single" w:color="auto" w:sz="4" w:space="0"/>
                    <w:left w:val="single" w:color="auto" w:sz="4" w:space="0"/>
                    <w:bottom w:val="single" w:color="auto" w:sz="4" w:space="0"/>
                    <w:right w:val="single" w:color="auto" w:sz="4" w:space="0"/>
                  </w:tcBorders>
                  <w:vAlign w:val="center"/>
                </w:tcPr>
                <w:p w14:paraId="4232E648">
                  <w:pPr>
                    <w:jc w:val="center"/>
                    <w:rPr>
                      <w:color w:val="000000" w:themeColor="text1"/>
                      <w14:textFill>
                        <w14:solidFill>
                          <w14:schemeClr w14:val="tx1"/>
                        </w14:solidFill>
                      </w14:textFill>
                    </w:rPr>
                  </w:pPr>
                  <w:r>
                    <w:rPr>
                      <w:color w:val="000000" w:themeColor="text1"/>
                      <w14:textFill>
                        <w14:solidFill>
                          <w14:schemeClr w14:val="tx1"/>
                        </w14:solidFill>
                      </w14:textFill>
                    </w:rPr>
                    <w:t>地表水、地下水及土壤</w:t>
                  </w:r>
                </w:p>
              </w:tc>
              <w:tc>
                <w:tcPr>
                  <w:tcW w:w="937" w:type="pct"/>
                  <w:tcBorders>
                    <w:top w:val="single" w:color="auto" w:sz="4" w:space="0"/>
                    <w:left w:val="single" w:color="auto" w:sz="4" w:space="0"/>
                    <w:bottom w:val="single" w:color="auto" w:sz="4" w:space="0"/>
                    <w:right w:val="single" w:color="auto" w:sz="4" w:space="0"/>
                  </w:tcBorders>
                  <w:vAlign w:val="center"/>
                </w:tcPr>
                <w:p w14:paraId="35B93FDC">
                  <w:pPr>
                    <w:jc w:val="center"/>
                    <w:rPr>
                      <w:color w:val="000000" w:themeColor="text1"/>
                      <w14:textFill>
                        <w14:solidFill>
                          <w14:schemeClr w14:val="tx1"/>
                        </w14:solidFill>
                      </w14:textFill>
                    </w:rPr>
                  </w:pPr>
                  <w:r>
                    <w:rPr>
                      <w:color w:val="000000" w:themeColor="text1"/>
                      <w14:textFill>
                        <w14:solidFill>
                          <w14:schemeClr w14:val="tx1"/>
                        </w14:solidFill>
                      </w14:textFill>
                    </w:rPr>
                    <w:t>附近河流、周边地下水及土壤</w:t>
                  </w:r>
                </w:p>
              </w:tc>
            </w:tr>
            <w:tr w14:paraId="38935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op w:val="single" w:color="auto" w:sz="4" w:space="0"/>
                    <w:left w:val="single" w:color="auto" w:sz="4" w:space="0"/>
                    <w:bottom w:val="single" w:color="auto" w:sz="4" w:space="0"/>
                    <w:right w:val="single" w:color="auto" w:sz="4" w:space="0"/>
                  </w:tcBorders>
                  <w:vAlign w:val="center"/>
                </w:tcPr>
                <w:p w14:paraId="374996DD">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772" w:type="pct"/>
                  <w:tcBorders>
                    <w:top w:val="single" w:color="auto" w:sz="4" w:space="0"/>
                    <w:left w:val="single" w:color="auto" w:sz="4" w:space="0"/>
                    <w:bottom w:val="single" w:color="auto" w:sz="4" w:space="0"/>
                    <w:right w:val="single" w:color="auto" w:sz="4" w:space="0"/>
                  </w:tcBorders>
                  <w:vAlign w:val="center"/>
                </w:tcPr>
                <w:p w14:paraId="1D2D6318">
                  <w:pPr>
                    <w:jc w:val="center"/>
                    <w:rPr>
                      <w:color w:val="000000" w:themeColor="text1"/>
                      <w14:textFill>
                        <w14:solidFill>
                          <w14:schemeClr w14:val="tx1"/>
                        </w14:solidFill>
                      </w14:textFill>
                    </w:rPr>
                  </w:pPr>
                  <w:r>
                    <w:rPr>
                      <w:color w:val="000000" w:themeColor="text1"/>
                      <w14:textFill>
                        <w14:solidFill>
                          <w14:schemeClr w14:val="tx1"/>
                        </w14:solidFill>
                      </w14:textFill>
                    </w:rPr>
                    <w:t>生产车间</w:t>
                  </w:r>
                </w:p>
              </w:tc>
              <w:tc>
                <w:tcPr>
                  <w:tcW w:w="704" w:type="pct"/>
                  <w:tcBorders>
                    <w:top w:val="single" w:color="auto" w:sz="4" w:space="0"/>
                    <w:left w:val="single" w:color="auto" w:sz="4" w:space="0"/>
                    <w:bottom w:val="single" w:color="auto" w:sz="4" w:space="0"/>
                    <w:right w:val="single" w:color="auto" w:sz="4" w:space="0"/>
                  </w:tcBorders>
                  <w:vAlign w:val="center"/>
                </w:tcPr>
                <w:p w14:paraId="713F5C25">
                  <w:pPr>
                    <w:jc w:val="center"/>
                    <w:rPr>
                      <w:color w:val="000000" w:themeColor="text1"/>
                      <w14:textFill>
                        <w14:solidFill>
                          <w14:schemeClr w14:val="tx1"/>
                        </w14:solidFill>
                      </w14:textFill>
                    </w:rPr>
                  </w:pPr>
                  <w:r>
                    <w:rPr>
                      <w:color w:val="000000" w:themeColor="text1"/>
                      <w14:textFill>
                        <w14:solidFill>
                          <w14:schemeClr w14:val="tx1"/>
                        </w14:solidFill>
                      </w14:textFill>
                    </w:rPr>
                    <w:t>危废贮存库</w:t>
                  </w:r>
                </w:p>
              </w:tc>
              <w:tc>
                <w:tcPr>
                  <w:tcW w:w="703" w:type="pct"/>
                  <w:tcBorders>
                    <w:top w:val="single" w:color="auto" w:sz="4" w:space="0"/>
                    <w:left w:val="single" w:color="auto" w:sz="4" w:space="0"/>
                    <w:bottom w:val="single" w:color="auto" w:sz="4" w:space="0"/>
                    <w:right w:val="single" w:color="auto" w:sz="4" w:space="0"/>
                  </w:tcBorders>
                  <w:vAlign w:val="center"/>
                </w:tcPr>
                <w:p w14:paraId="26BEDBC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危险废物</w:t>
                  </w:r>
                </w:p>
              </w:tc>
              <w:tc>
                <w:tcPr>
                  <w:tcW w:w="704" w:type="pct"/>
                  <w:tcBorders>
                    <w:top w:val="single" w:color="auto" w:sz="4" w:space="0"/>
                    <w:left w:val="single" w:color="auto" w:sz="4" w:space="0"/>
                    <w:bottom w:val="single" w:color="auto" w:sz="4" w:space="0"/>
                    <w:right w:val="single" w:color="auto" w:sz="4" w:space="0"/>
                  </w:tcBorders>
                  <w:vAlign w:val="center"/>
                </w:tcPr>
                <w:p w14:paraId="0301F6CD">
                  <w:pPr>
                    <w:jc w:val="center"/>
                    <w:rPr>
                      <w:color w:val="000000" w:themeColor="text1"/>
                      <w14:textFill>
                        <w14:solidFill>
                          <w14:schemeClr w14:val="tx1"/>
                        </w14:solidFill>
                      </w14:textFill>
                    </w:rPr>
                  </w:pPr>
                  <w:r>
                    <w:rPr>
                      <w:color w:val="000000" w:themeColor="text1"/>
                      <w14:textFill>
                        <w14:solidFill>
                          <w14:schemeClr w14:val="tx1"/>
                        </w14:solidFill>
                      </w14:textFill>
                    </w:rPr>
                    <w:t>泄漏</w:t>
                  </w:r>
                </w:p>
              </w:tc>
              <w:tc>
                <w:tcPr>
                  <w:tcW w:w="782" w:type="pct"/>
                  <w:tcBorders>
                    <w:top w:val="single" w:color="auto" w:sz="4" w:space="0"/>
                    <w:left w:val="single" w:color="auto" w:sz="4" w:space="0"/>
                    <w:bottom w:val="single" w:color="auto" w:sz="4" w:space="0"/>
                    <w:right w:val="single" w:color="auto" w:sz="4" w:space="0"/>
                  </w:tcBorders>
                  <w:vAlign w:val="center"/>
                </w:tcPr>
                <w:p w14:paraId="7D65CEF7">
                  <w:pPr>
                    <w:jc w:val="center"/>
                    <w:rPr>
                      <w:color w:val="000000" w:themeColor="text1"/>
                      <w14:textFill>
                        <w14:solidFill>
                          <w14:schemeClr w14:val="tx1"/>
                        </w14:solidFill>
                      </w14:textFill>
                    </w:rPr>
                  </w:pPr>
                  <w:r>
                    <w:rPr>
                      <w:color w:val="000000" w:themeColor="text1"/>
                      <w14:textFill>
                        <w14:solidFill>
                          <w14:schemeClr w14:val="tx1"/>
                        </w14:solidFill>
                      </w14:textFill>
                    </w:rPr>
                    <w:t>地表水、地下水及土壤</w:t>
                  </w:r>
                </w:p>
              </w:tc>
              <w:tc>
                <w:tcPr>
                  <w:tcW w:w="937" w:type="pct"/>
                  <w:tcBorders>
                    <w:top w:val="single" w:color="auto" w:sz="4" w:space="0"/>
                    <w:left w:val="single" w:color="auto" w:sz="4" w:space="0"/>
                    <w:bottom w:val="single" w:color="auto" w:sz="4" w:space="0"/>
                    <w:right w:val="single" w:color="auto" w:sz="4" w:space="0"/>
                  </w:tcBorders>
                  <w:vAlign w:val="center"/>
                </w:tcPr>
                <w:p w14:paraId="45C1D849">
                  <w:pPr>
                    <w:jc w:val="center"/>
                    <w:rPr>
                      <w:color w:val="000000" w:themeColor="text1"/>
                      <w14:textFill>
                        <w14:solidFill>
                          <w14:schemeClr w14:val="tx1"/>
                        </w14:solidFill>
                      </w14:textFill>
                    </w:rPr>
                  </w:pPr>
                  <w:r>
                    <w:rPr>
                      <w:color w:val="000000" w:themeColor="text1"/>
                      <w14:textFill>
                        <w14:solidFill>
                          <w14:schemeClr w14:val="tx1"/>
                        </w14:solidFill>
                      </w14:textFill>
                    </w:rPr>
                    <w:t>附近河流、周边地下水及土壤</w:t>
                  </w:r>
                </w:p>
              </w:tc>
            </w:tr>
            <w:tr w14:paraId="0134A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op w:val="single" w:color="auto" w:sz="4" w:space="0"/>
                    <w:left w:val="single" w:color="auto" w:sz="4" w:space="0"/>
                    <w:bottom w:val="single" w:color="auto" w:sz="4" w:space="0"/>
                    <w:right w:val="single" w:color="auto" w:sz="4" w:space="0"/>
                  </w:tcBorders>
                  <w:vAlign w:val="center"/>
                </w:tcPr>
                <w:p w14:paraId="06A47B3B">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772" w:type="pct"/>
                  <w:tcBorders>
                    <w:top w:val="single" w:color="auto" w:sz="4" w:space="0"/>
                    <w:left w:val="single" w:color="auto" w:sz="4" w:space="0"/>
                    <w:bottom w:val="single" w:color="auto" w:sz="4" w:space="0"/>
                    <w:right w:val="single" w:color="auto" w:sz="4" w:space="0"/>
                  </w:tcBorders>
                  <w:vAlign w:val="center"/>
                </w:tcPr>
                <w:p w14:paraId="6F184D3D">
                  <w:pPr>
                    <w:jc w:val="center"/>
                    <w:rPr>
                      <w:color w:val="000000" w:themeColor="text1"/>
                      <w14:textFill>
                        <w14:solidFill>
                          <w14:schemeClr w14:val="tx1"/>
                        </w14:solidFill>
                      </w14:textFill>
                    </w:rPr>
                  </w:pPr>
                  <w:r>
                    <w:rPr>
                      <w:color w:val="000000" w:themeColor="text1"/>
                      <w14:textFill>
                        <w14:solidFill>
                          <w14:schemeClr w14:val="tx1"/>
                        </w14:solidFill>
                      </w14:textFill>
                    </w:rPr>
                    <w:t>生产车间</w:t>
                  </w:r>
                </w:p>
              </w:tc>
              <w:tc>
                <w:tcPr>
                  <w:tcW w:w="704" w:type="pct"/>
                  <w:tcBorders>
                    <w:top w:val="single" w:color="auto" w:sz="4" w:space="0"/>
                    <w:left w:val="single" w:color="auto" w:sz="4" w:space="0"/>
                    <w:bottom w:val="single" w:color="auto" w:sz="4" w:space="0"/>
                    <w:right w:val="single" w:color="auto" w:sz="4" w:space="0"/>
                  </w:tcBorders>
                  <w:vAlign w:val="center"/>
                </w:tcPr>
                <w:p w14:paraId="12580FF4">
                  <w:pPr>
                    <w:jc w:val="center"/>
                    <w:rPr>
                      <w:color w:val="000000" w:themeColor="text1"/>
                      <w14:textFill>
                        <w14:solidFill>
                          <w14:schemeClr w14:val="tx1"/>
                        </w14:solidFill>
                      </w14:textFill>
                    </w:rPr>
                  </w:pPr>
                  <w:r>
                    <w:rPr>
                      <w:color w:val="000000" w:themeColor="text1"/>
                      <w14:textFill>
                        <w14:solidFill>
                          <w14:schemeClr w14:val="tx1"/>
                        </w14:solidFill>
                      </w14:textFill>
                    </w:rPr>
                    <w:t>化学品仓库</w:t>
                  </w:r>
                </w:p>
              </w:tc>
              <w:tc>
                <w:tcPr>
                  <w:tcW w:w="703" w:type="pct"/>
                  <w:tcBorders>
                    <w:top w:val="single" w:color="auto" w:sz="4" w:space="0"/>
                    <w:left w:val="single" w:color="auto" w:sz="4" w:space="0"/>
                    <w:bottom w:val="single" w:color="auto" w:sz="4" w:space="0"/>
                    <w:right w:val="single" w:color="auto" w:sz="4" w:space="0"/>
                  </w:tcBorders>
                  <w:vAlign w:val="center"/>
                </w:tcPr>
                <w:p w14:paraId="5768C19B">
                  <w:pPr>
                    <w:jc w:val="center"/>
                    <w:rPr>
                      <w:color w:val="000000" w:themeColor="text1"/>
                      <w14:textFill>
                        <w14:solidFill>
                          <w14:schemeClr w14:val="tx1"/>
                        </w14:solidFill>
                      </w14:textFill>
                    </w:rPr>
                  </w:pPr>
                  <w:r>
                    <w:rPr>
                      <w:color w:val="000000" w:themeColor="text1"/>
                      <w14:textFill>
                        <w14:solidFill>
                          <w14:schemeClr w14:val="tx1"/>
                        </w14:solidFill>
                      </w14:textFill>
                    </w:rPr>
                    <w:t>化学品原料、机油</w:t>
                  </w:r>
                </w:p>
              </w:tc>
              <w:tc>
                <w:tcPr>
                  <w:tcW w:w="704" w:type="pct"/>
                  <w:tcBorders>
                    <w:top w:val="single" w:color="auto" w:sz="4" w:space="0"/>
                    <w:left w:val="single" w:color="auto" w:sz="4" w:space="0"/>
                    <w:bottom w:val="single" w:color="auto" w:sz="4" w:space="0"/>
                    <w:right w:val="single" w:color="auto" w:sz="4" w:space="0"/>
                  </w:tcBorders>
                  <w:vAlign w:val="center"/>
                </w:tcPr>
                <w:p w14:paraId="68D83976">
                  <w:pPr>
                    <w:jc w:val="center"/>
                    <w:rPr>
                      <w:color w:val="000000" w:themeColor="text1"/>
                      <w14:textFill>
                        <w14:solidFill>
                          <w14:schemeClr w14:val="tx1"/>
                        </w14:solidFill>
                      </w14:textFill>
                    </w:rPr>
                  </w:pPr>
                  <w:r>
                    <w:rPr>
                      <w:color w:val="000000" w:themeColor="text1"/>
                      <w14:textFill>
                        <w14:solidFill>
                          <w14:schemeClr w14:val="tx1"/>
                        </w14:solidFill>
                      </w14:textFill>
                    </w:rPr>
                    <w:t>泄漏</w:t>
                  </w:r>
                </w:p>
              </w:tc>
              <w:tc>
                <w:tcPr>
                  <w:tcW w:w="782" w:type="pct"/>
                  <w:tcBorders>
                    <w:top w:val="single" w:color="auto" w:sz="4" w:space="0"/>
                    <w:left w:val="single" w:color="auto" w:sz="4" w:space="0"/>
                    <w:bottom w:val="single" w:color="auto" w:sz="4" w:space="0"/>
                    <w:right w:val="single" w:color="auto" w:sz="4" w:space="0"/>
                  </w:tcBorders>
                  <w:vAlign w:val="center"/>
                </w:tcPr>
                <w:p w14:paraId="4A21621F">
                  <w:pPr>
                    <w:jc w:val="center"/>
                    <w:rPr>
                      <w:color w:val="000000" w:themeColor="text1"/>
                      <w14:textFill>
                        <w14:solidFill>
                          <w14:schemeClr w14:val="tx1"/>
                        </w14:solidFill>
                      </w14:textFill>
                    </w:rPr>
                  </w:pPr>
                  <w:r>
                    <w:rPr>
                      <w:color w:val="000000" w:themeColor="text1"/>
                      <w14:textFill>
                        <w14:solidFill>
                          <w14:schemeClr w14:val="tx1"/>
                        </w14:solidFill>
                      </w14:textFill>
                    </w:rPr>
                    <w:t>地表水、地下水及土壤</w:t>
                  </w:r>
                </w:p>
              </w:tc>
              <w:tc>
                <w:tcPr>
                  <w:tcW w:w="937" w:type="pct"/>
                  <w:tcBorders>
                    <w:top w:val="single" w:color="auto" w:sz="4" w:space="0"/>
                    <w:left w:val="single" w:color="auto" w:sz="4" w:space="0"/>
                    <w:bottom w:val="single" w:color="auto" w:sz="4" w:space="0"/>
                    <w:right w:val="single" w:color="auto" w:sz="4" w:space="0"/>
                  </w:tcBorders>
                  <w:vAlign w:val="center"/>
                </w:tcPr>
                <w:p w14:paraId="7DBE1B92">
                  <w:pPr>
                    <w:jc w:val="center"/>
                    <w:rPr>
                      <w:color w:val="000000" w:themeColor="text1"/>
                      <w14:textFill>
                        <w14:solidFill>
                          <w14:schemeClr w14:val="tx1"/>
                        </w14:solidFill>
                      </w14:textFill>
                    </w:rPr>
                  </w:pPr>
                  <w:r>
                    <w:rPr>
                      <w:color w:val="000000" w:themeColor="text1"/>
                      <w14:textFill>
                        <w14:solidFill>
                          <w14:schemeClr w14:val="tx1"/>
                        </w14:solidFill>
                      </w14:textFill>
                    </w:rPr>
                    <w:t>附近河流、周边地下水及土壤</w:t>
                  </w:r>
                </w:p>
              </w:tc>
            </w:tr>
          </w:tbl>
          <w:p w14:paraId="5C181AC1">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4、环境风险分析</w:t>
            </w:r>
          </w:p>
          <w:p w14:paraId="23C73FAC">
            <w:pPr>
              <w:pStyle w:val="159"/>
            </w:pPr>
            <w:r>
              <w:t>项目涉及的风险主要为火灾、爆炸的风险以及化学品泄漏、机油、危废泄漏、废水事故排放风险。</w:t>
            </w:r>
          </w:p>
          <w:p w14:paraId="2DE27B75">
            <w:pPr>
              <w:pStyle w:val="159"/>
            </w:pPr>
            <w:r>
              <w:rPr>
                <w:rFonts w:hint="eastAsia" w:ascii="Cambria Math" w:hAnsi="Cambria Math" w:cs="Cambria Math"/>
              </w:rPr>
              <w:t>①</w:t>
            </w:r>
            <w:r>
              <w:rPr>
                <w:rFonts w:eastAsiaTheme="minorEastAsia"/>
              </w:rPr>
              <w:t>火灾事故危害除热辐射等直接危害外，未完全燃烧的危险物质在高温下迅速挥发释放至大气，燃烧物质燃烧过程中则同时产生伴生和次生物质。由于部分碳不能被充分燃烧，可能会产生一定量的CO，加上燃烧后形成的浓烟，会对周围的大气环境造成一定的影响。此外，灭火过程中，还将产生消防废水</w:t>
            </w:r>
            <w:r>
              <w:t>。</w:t>
            </w:r>
          </w:p>
          <w:p w14:paraId="76AD8185">
            <w:pPr>
              <w:pStyle w:val="159"/>
              <w:ind w:firstLineChars="0"/>
            </w:pPr>
            <w:r>
              <w:rPr>
                <w:rFonts w:hint="eastAsia" w:ascii="Cambria Math" w:hAnsi="Cambria Math" w:cs="Cambria Math"/>
              </w:rPr>
              <w:t>②</w:t>
            </w:r>
            <w:r>
              <w:t>危险废物如果保存不妥当，危废贮存库建设不规范，危废可能会泄漏，泄漏物可能通过空气、地表漫流、地面入渗等方式污染环境空气、地表水、地下水及土壤。</w:t>
            </w:r>
          </w:p>
          <w:p w14:paraId="794EBEED">
            <w:pPr>
              <w:pStyle w:val="159"/>
              <w:rPr>
                <w:kern w:val="0"/>
              </w:rPr>
            </w:pPr>
            <w:r>
              <w:rPr>
                <w:rFonts w:hint="eastAsia" w:ascii="Cambria Math" w:hAnsi="Cambria Math" w:cs="Cambria Math"/>
              </w:rPr>
              <w:t>③</w:t>
            </w:r>
            <w:r>
              <w:rPr>
                <w:kern w:val="0"/>
              </w:rPr>
              <w:t>项目所需的化学品均经公路进行运输，化学品装卸、运输中可能由于碰撞、</w:t>
            </w:r>
            <w:r>
              <w:rPr>
                <w:rFonts w:hint="eastAsia"/>
                <w:kern w:val="0"/>
              </w:rPr>
              <w:t>振动</w:t>
            </w:r>
            <w:r>
              <w:rPr>
                <w:kern w:val="0"/>
              </w:rPr>
              <w:t>、挤压等，同时由于操作不当易造成物料泄漏事故。同时在运输途中，由于意外各种原因，可能发生汽车翻车等，造成危险品进入水体、土壤、地下水，因此危险品在运输过程中存在一定环境风险。项目化学品贮存过程中潜在的事故为化学品包装物破损、裂缝而造成的泄漏造成的环境污染。</w:t>
            </w:r>
          </w:p>
          <w:p w14:paraId="5CFF94CA">
            <w:pPr>
              <w:pStyle w:val="206"/>
              <w:spacing w:line="360" w:lineRule="auto"/>
              <w:ind w:firstLine="480"/>
              <w:rPr>
                <w:rFonts w:cs="Times New Roman" w:eastAsiaTheme="minorEastAsia"/>
                <w:color w:val="000000" w:themeColor="text1"/>
                <w:szCs w:val="21"/>
                <w14:textFill>
                  <w14:solidFill>
                    <w14:schemeClr w14:val="tx1"/>
                  </w14:solidFill>
                </w14:textFill>
              </w:rPr>
            </w:pPr>
            <w:r>
              <w:rPr>
                <w:rFonts w:hint="eastAsia" w:ascii="Cambria Math" w:hAnsi="Cambria Math" w:cs="Cambria Math"/>
                <w:color w:val="000000" w:themeColor="text1"/>
                <w:kern w:val="0"/>
                <w14:textFill>
                  <w14:solidFill>
                    <w14:schemeClr w14:val="tx1"/>
                  </w14:solidFill>
                </w14:textFill>
              </w:rPr>
              <w:t>④</w:t>
            </w:r>
            <w:r>
              <w:rPr>
                <w:rFonts w:cs="Times New Roman"/>
                <w:color w:val="000000" w:themeColor="text1"/>
                <w14:textFill>
                  <w14:solidFill>
                    <w14:schemeClr w14:val="tx1"/>
                  </w14:solidFill>
                </w14:textFill>
              </w:rPr>
              <w:t>企业正常生产时，生活污水经化粪池处理，</w:t>
            </w:r>
            <w:r>
              <w:rPr>
                <w:rFonts w:cs="Times New Roman" w:eastAsiaTheme="minorEastAsia"/>
                <w:color w:val="000000" w:themeColor="text1"/>
                <w:szCs w:val="21"/>
                <w14:textFill>
                  <w14:solidFill>
                    <w14:schemeClr w14:val="tx1"/>
                  </w14:solidFill>
                </w14:textFill>
              </w:rPr>
              <w:t>在企业化粪池发生泄漏时，会导致生活污水事故性排放，对周边地表水造成一定的影响。</w:t>
            </w:r>
          </w:p>
          <w:p w14:paraId="53FBEB9D">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5、环境风险防范措施</w:t>
            </w:r>
          </w:p>
          <w:p w14:paraId="028AC4E6">
            <w:pPr>
              <w:pStyle w:val="159"/>
            </w:pPr>
            <w:r>
              <w:t>（1）火灾、爆炸事故防范措施</w:t>
            </w:r>
          </w:p>
          <w:p w14:paraId="20B05D62">
            <w:pPr>
              <w:pStyle w:val="159"/>
            </w:pPr>
            <w:r>
              <w:rPr>
                <w:rFonts w:hint="eastAsia" w:ascii="Cambria Math" w:hAnsi="Cambria Math" w:cs="Cambria Math"/>
              </w:rPr>
              <w:t>①</w:t>
            </w:r>
            <w:r>
              <w:t>总图布置和建筑安全防范措施</w:t>
            </w:r>
          </w:p>
          <w:p w14:paraId="28FB4A6D">
            <w:pPr>
              <w:pStyle w:val="159"/>
            </w:pPr>
            <w:r>
              <w:t>项目根据《工业企业总平面设计规范》（GB 50187-2012）、《工业企业设计卫生标准》（GBZ1-2010）进行设计和布置。</w:t>
            </w:r>
          </w:p>
          <w:p w14:paraId="4B630F90">
            <w:pPr>
              <w:pStyle w:val="159"/>
            </w:pPr>
            <w:r>
              <w:t>1）总平面按功能分区布置，项目生产区、办公区</w:t>
            </w:r>
            <w:r>
              <w:rPr>
                <w:rFonts w:hint="eastAsia"/>
              </w:rPr>
              <w:t>隔</w:t>
            </w:r>
            <w:r>
              <w:t>开。</w:t>
            </w:r>
          </w:p>
          <w:p w14:paraId="3258EA98">
            <w:pPr>
              <w:pStyle w:val="159"/>
            </w:pPr>
            <w:r>
              <w:t>2）本项目原料、材料的仓库，根据其储存物料的性质、包装</w:t>
            </w:r>
            <w:r>
              <w:rPr>
                <w:rFonts w:hint="eastAsia"/>
                <w:lang w:val="en-US"/>
              </w:rPr>
              <w:t>及</w:t>
            </w:r>
            <w:r>
              <w:t>运输方式等条件，按不同类别进行了相对集中布置，靠近相关装置和运输路线，且符合防火、防爆、安全、卫生的规定。</w:t>
            </w:r>
          </w:p>
          <w:p w14:paraId="182C968C">
            <w:pPr>
              <w:pStyle w:val="159"/>
            </w:pPr>
            <w:r>
              <w:t>3）本项目生产、储存区、化学品仓库、危废贮存库按《建筑防火通用规范》（GB 55037-2022）要求建设。</w:t>
            </w:r>
          </w:p>
          <w:p w14:paraId="01983DB9">
            <w:pPr>
              <w:pStyle w:val="159"/>
            </w:pPr>
            <w:r>
              <w:rPr>
                <w:rFonts w:hint="eastAsia" w:ascii="Cambria Math" w:hAnsi="Cambria Math" w:cs="Cambria Math"/>
              </w:rPr>
              <w:t>②</w:t>
            </w:r>
            <w:r>
              <w:t>安全管理规章制度</w:t>
            </w:r>
          </w:p>
          <w:p w14:paraId="488492E9">
            <w:pPr>
              <w:pStyle w:val="159"/>
            </w:pPr>
            <w:r>
              <w:t>为使环境风险减少到最低限度，必须加强劳动、安全、卫生和环境的管理。可以从人、物、环境和管理四个方面寻找影响事故的原因，制定完备、有效的安全防范措施，尽可能降低本项目环境风险事故发生的概率，减少事故的损失和危害。</w:t>
            </w:r>
          </w:p>
          <w:p w14:paraId="2104D109">
            <w:pPr>
              <w:pStyle w:val="159"/>
            </w:pPr>
            <w:r>
              <w:t>1）建立消防组织和制度，建立以项目经理参加的消防领导小组，落实防火责任制度。加强消防意识和消防制度教育，认真贯彻各项消防制度。经常开展消防演练活动，定期开展群众性、专业性防火检查，及时消除火灾隐患，加强全员消防观念。厂内的消防</w:t>
            </w:r>
            <w:r>
              <w:rPr>
                <w:rFonts w:hint="eastAsia"/>
              </w:rPr>
              <w:t>组织</w:t>
            </w:r>
            <w:r>
              <w:t>要与地方消防挂钩，以便一旦发生火灾，可以得到城市消防队的紧急救助。</w:t>
            </w:r>
          </w:p>
          <w:p w14:paraId="50D403C9">
            <w:pPr>
              <w:pStyle w:val="159"/>
            </w:pPr>
            <w:r>
              <w:t>2）在生产车间配备必要的消防设施和器材，在生产车间安装消防水源，并保障水质水量。</w:t>
            </w:r>
          </w:p>
          <w:p w14:paraId="70A214BA">
            <w:pPr>
              <w:pStyle w:val="159"/>
            </w:pPr>
            <w:r>
              <w:t>3）保证消防通道畅通无阻，灭火器应设置在显眼易取的地方，明确规定作业区不准吸烟。</w:t>
            </w:r>
          </w:p>
          <w:p w14:paraId="15021431">
            <w:pPr>
              <w:pStyle w:val="159"/>
            </w:pPr>
            <w:r>
              <w:t>4）明火管理：划分禁火区域和动火等级，对不准明火的区域，事先挂牌明确，禁止一切可引起明火的火种进入。</w:t>
            </w:r>
          </w:p>
          <w:p w14:paraId="0BCD4F94">
            <w:pPr>
              <w:pStyle w:val="159"/>
            </w:pPr>
            <w:r>
              <w:t>5）加强对项目作业人员的安全教育、培训与管理，严格执行安全技术操作规程，加强操作工人之间的配合与协作，避免违章作业及操作失误等现象发生。</w:t>
            </w:r>
          </w:p>
          <w:p w14:paraId="5E72A7F2">
            <w:pPr>
              <w:pStyle w:val="159"/>
              <w:rPr>
                <w:lang w:val="en-US"/>
              </w:rPr>
            </w:pPr>
            <w:r>
              <w:t>应急措施：</w:t>
            </w:r>
            <w:r>
              <w:rPr>
                <w:lang w:val="en-US"/>
              </w:rPr>
              <w:t>当发现火情时，应争分夺秒，利用着火点附近的灭火器材、黄沙等应急物资，奋力将小火控制、扑灭。当火灾较小，而身边无灭火器材时，可用扫帚、拖把、衣服等工具，打灭小火</w:t>
            </w:r>
            <w:r>
              <w:rPr>
                <w:rFonts w:hint="eastAsia"/>
                <w:lang w:val="en-US"/>
              </w:rPr>
              <w:t>；</w:t>
            </w:r>
            <w:r>
              <w:rPr>
                <w:lang w:val="en-US"/>
              </w:rPr>
              <w:t>当火灾无法小范围扑灭，并有蔓延的趋势时，应及时启动消防应急救援，打开消防栓，对易燃品存放区实施消防水灭火。当火势有无法控制趋势时，并有蔓延到其它区域工段或企业时及时拨打消防救援电话</w:t>
            </w:r>
            <w:r>
              <w:rPr>
                <w:rFonts w:hint="eastAsia"/>
                <w:lang w:val="en-US"/>
              </w:rPr>
              <w:t>；</w:t>
            </w:r>
            <w:r>
              <w:rPr>
                <w:lang w:val="en-US"/>
              </w:rPr>
              <w:t>遇着火点离临近周边企业较近，有可能影响周边企业厂内职工时，告知做好相应的防范准备；如若周边企业尚有人员，可与这些企业达成协议，借助其他公司应急资源共同灭火</w:t>
            </w:r>
            <w:r>
              <w:rPr>
                <w:rFonts w:hint="eastAsia"/>
                <w:lang w:val="en-US"/>
              </w:rPr>
              <w:t>；</w:t>
            </w:r>
            <w:r>
              <w:rPr>
                <w:lang w:val="en-US"/>
              </w:rPr>
              <w:t>当火灾引燃厂房或其他物质，产生大量刺鼻的浓烟，应急救援队伍应根据浓烟扩散的方向，及时通知下风向的村庄及企业按照事先设定的相关风向条件下的撤离路线撤离至安全地点</w:t>
            </w:r>
            <w:r>
              <w:rPr>
                <w:rFonts w:hint="eastAsia"/>
                <w:lang w:val="en-US"/>
              </w:rPr>
              <w:t>；</w:t>
            </w:r>
            <w:r>
              <w:rPr>
                <w:lang w:val="en-US"/>
              </w:rPr>
              <w:t>火灾条件下的应急监测应包含CO监测项，通过对下风向不同距离CO浓度的实时监测，应急指挥中心实时参考，有助于现场救援的指挥</w:t>
            </w:r>
            <w:r>
              <w:t>。</w:t>
            </w:r>
          </w:p>
          <w:p w14:paraId="6FA1DE2E">
            <w:pPr>
              <w:pStyle w:val="159"/>
            </w:pPr>
            <w:r>
              <w:t>根据上述分析，在采取防范措施的前提下，本项目将能有效的防止火灾的发生，一旦发生事故，依靠安全防护设施和事故应急措施也能及时有效控制事故。</w:t>
            </w:r>
          </w:p>
          <w:p w14:paraId="5BFD4AEC">
            <w:pPr>
              <w:pStyle w:val="159"/>
            </w:pPr>
            <w:r>
              <w:t>（2）危废泄漏防范措施</w:t>
            </w:r>
          </w:p>
          <w:p w14:paraId="1F301F45">
            <w:pPr>
              <w:pStyle w:val="159"/>
            </w:pPr>
            <w:r>
              <w:rPr>
                <w:rFonts w:ascii="Cambria Math" w:hAnsi="Cambria Math" w:cs="Cambria Math"/>
              </w:rPr>
              <w:t>①</w:t>
            </w:r>
            <w:r>
              <w:t>危险废物贮存满足《危险废物贮存污染控制标准》（GB18597-2023）要求。</w:t>
            </w:r>
          </w:p>
          <w:p w14:paraId="142C6440">
            <w:pPr>
              <w:pStyle w:val="159"/>
            </w:pPr>
            <w:r>
              <w:rPr>
                <w:rFonts w:ascii="Cambria Math" w:hAnsi="Cambria Math" w:cs="Cambria Math"/>
              </w:rPr>
              <w:t>②</w:t>
            </w:r>
            <w:r>
              <w:t>设置危废</w:t>
            </w:r>
            <w:r>
              <w:rPr>
                <w:rFonts w:hint="eastAsia"/>
              </w:rPr>
              <w:t>贮存库</w:t>
            </w:r>
            <w:r>
              <w:t>并使用醒目的标识，并定期由专门技术人员对标识进行检查，每月一次。如果标识破碎或其他原因导致其无法识别，立即更换。</w:t>
            </w:r>
          </w:p>
          <w:p w14:paraId="060E97FC">
            <w:pPr>
              <w:adjustRightInd w:val="0"/>
              <w:snapToGrid w:val="0"/>
              <w:spacing w:line="360" w:lineRule="auto"/>
              <w:ind w:firstLine="482"/>
              <w:rPr>
                <w:color w:val="000000" w:themeColor="text1"/>
                <w:sz w:val="24"/>
                <w14:textFill>
                  <w14:solidFill>
                    <w14:schemeClr w14:val="tx1"/>
                  </w14:solidFill>
                </w14:textFill>
              </w:rPr>
            </w:pPr>
            <w:r>
              <w:rPr>
                <w:rFonts w:ascii="Cambria Math" w:hAnsi="Cambria Math" w:cs="Cambria Math"/>
                <w:color w:val="000000" w:themeColor="text1"/>
                <w:sz w:val="24"/>
                <w14:textFill>
                  <w14:solidFill>
                    <w14:schemeClr w14:val="tx1"/>
                  </w14:solidFill>
                </w14:textFill>
              </w:rPr>
              <w:t>③</w:t>
            </w:r>
            <w:r>
              <w:rPr>
                <w:color w:val="000000" w:themeColor="text1"/>
                <w:sz w:val="24"/>
                <w14:textFill>
                  <w14:solidFill>
                    <w14:schemeClr w14:val="tx1"/>
                  </w14:solidFill>
                </w14:textFill>
              </w:rPr>
              <w:t>危险废物的存放和转移派专门负责人进行记录登记，其中包括存放和转移的量以及日期等，及时联系有资质的单位进行处置。</w:t>
            </w:r>
          </w:p>
          <w:p w14:paraId="78E962E1">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）油漆、稀释剂及机油泄漏风险防范措施</w:t>
            </w:r>
          </w:p>
          <w:p w14:paraId="2C8344C1">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①</w:t>
            </w:r>
            <w:r>
              <w:rPr>
                <w:bCs/>
                <w:color w:val="000000" w:themeColor="text1"/>
                <w:sz w:val="24"/>
                <w14:textFill>
                  <w14:solidFill>
                    <w14:schemeClr w14:val="tx1"/>
                  </w14:solidFill>
                </w14:textFill>
              </w:rPr>
              <w:t>油漆、稀释剂及机油应密闭存放，远离强氧化剂、酸催化剂、明火、热源，设出入库台账，防止外泄。危险废物暂存区需备有泄漏应急处理设备和合适的收容材料。</w:t>
            </w:r>
          </w:p>
          <w:p w14:paraId="42F1730F">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②</w:t>
            </w:r>
            <w:r>
              <w:rPr>
                <w:bCs/>
                <w:color w:val="000000" w:themeColor="text1"/>
                <w:sz w:val="24"/>
                <w14:textFill>
                  <w14:solidFill>
                    <w14:schemeClr w14:val="tx1"/>
                  </w14:solidFill>
                </w14:textFill>
              </w:rPr>
              <w:t>生产线工作人员必须接受有关危险化学品的法律、法规、规章和安全知识、专业技术、职业卫生防护和应急知识的培训，并经过考核严格，方可上岗作业。</w:t>
            </w:r>
          </w:p>
          <w:p w14:paraId="43D7E336">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③</w:t>
            </w:r>
            <w:r>
              <w:rPr>
                <w:bCs/>
                <w:color w:val="000000" w:themeColor="text1"/>
                <w:sz w:val="24"/>
                <w14:textFill>
                  <w14:solidFill>
                    <w14:schemeClr w14:val="tx1"/>
                  </w14:solidFill>
                </w14:textFill>
              </w:rPr>
              <w:t>加强设备的维修、保养，加强容器、管道的安全监控，按规定进行定期检验。</w:t>
            </w:r>
          </w:p>
          <w:p w14:paraId="4C346383">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④</w:t>
            </w:r>
            <w:r>
              <w:rPr>
                <w:bCs/>
                <w:color w:val="000000" w:themeColor="text1"/>
                <w:sz w:val="24"/>
                <w14:textFill>
                  <w14:solidFill>
                    <w14:schemeClr w14:val="tx1"/>
                  </w14:solidFill>
                </w14:textFill>
              </w:rPr>
              <w:t>发生火灾时，迅速撤离人员至安全区，并进行隔离，严格限制出入。切断火源。建议应急处理人员戴自给正压式呼吸器，穿防毒服。</w:t>
            </w:r>
          </w:p>
          <w:p w14:paraId="10DA6AB7">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⑤</w:t>
            </w:r>
            <w:r>
              <w:rPr>
                <w:bCs/>
                <w:color w:val="000000" w:themeColor="text1"/>
                <w:sz w:val="24"/>
                <w14:textFill>
                  <w14:solidFill>
                    <w14:schemeClr w14:val="tx1"/>
                  </w14:solidFill>
                </w14:textFill>
              </w:rPr>
              <w:t>油漆、稀释剂及机油发生泄漏时，尽可能切断泄漏源。用活性炭或其它惰性材料吸收。也可以用不燃性分散剂制成的乳液刷洗，清洗后的废物委托有资质单位处置。</w:t>
            </w:r>
          </w:p>
          <w:p w14:paraId="263CA4F5">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4</w:t>
            </w:r>
            <w:r>
              <w:rPr>
                <w:bCs/>
                <w:color w:val="000000" w:themeColor="text1"/>
                <w:sz w:val="24"/>
                <w14:textFill>
                  <w14:solidFill>
                    <w14:schemeClr w14:val="tx1"/>
                  </w14:solidFill>
                </w14:textFill>
              </w:rPr>
              <w:t>）水污染风险事故防范措施</w:t>
            </w:r>
          </w:p>
          <w:p w14:paraId="7F910080">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废水处理系统若发生收集管道、池体破损可导致污水的事故性排放，应采取如下防范措施：</w:t>
            </w:r>
          </w:p>
          <w:p w14:paraId="78CD22DC">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①</w:t>
            </w:r>
            <w:r>
              <w:rPr>
                <w:bCs/>
                <w:color w:val="000000" w:themeColor="text1"/>
                <w:sz w:val="24"/>
                <w14:textFill>
                  <w14:solidFill>
                    <w14:schemeClr w14:val="tx1"/>
                  </w14:solidFill>
                </w14:textFill>
              </w:rPr>
              <w:t>管网日常维护措施</w:t>
            </w:r>
          </w:p>
          <w:p w14:paraId="70BF5591">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重视维护及管理污水管道和排污管道，防止泥沙沉积堵塞而影响管道的过水能力，即在污水干管设计中，要选择适当的充满度和最小设计流速，防止污泥沉积。淤塞应及时疏浚，保证管道通畅，最大限度地收集生活污水。</w:t>
            </w:r>
          </w:p>
          <w:p w14:paraId="7742A16B">
            <w:pPr>
              <w:adjustRightInd w:val="0"/>
              <w:snapToGrid w:val="0"/>
              <w:spacing w:line="360" w:lineRule="auto"/>
              <w:ind w:firstLine="482"/>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②</w:t>
            </w:r>
            <w:r>
              <w:rPr>
                <w:bCs/>
                <w:color w:val="000000" w:themeColor="text1"/>
                <w:sz w:val="24"/>
                <w14:textFill>
                  <w14:solidFill>
                    <w14:schemeClr w14:val="tx1"/>
                  </w14:solidFill>
                </w14:textFill>
              </w:rPr>
              <w:t>日常监督与管理</w:t>
            </w:r>
          </w:p>
          <w:p w14:paraId="52378EEA">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本项目废水的出水应采取严格的措施进行控制管理，以防止废水的超标排放及事故性排放。</w:t>
            </w:r>
          </w:p>
          <w:p w14:paraId="38728964">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1）化粪池出水不符合排放标准时，及时排查原因，如果出水长期不能达到排放标准，应对处理设施进行升级。</w:t>
            </w:r>
          </w:p>
          <w:p w14:paraId="1D0D87C3">
            <w:pPr>
              <w:adjustRightInd w:val="0"/>
              <w:snapToGrid w:val="0"/>
              <w:spacing w:line="360" w:lineRule="auto"/>
              <w:ind w:firstLine="482"/>
              <w:rPr>
                <w:bCs/>
                <w:color w:val="000000" w:themeColor="text1"/>
                <w:sz w:val="24"/>
                <w14:textFill>
                  <w14:solidFill>
                    <w14:schemeClr w14:val="tx1"/>
                  </w14:solidFill>
                </w14:textFill>
              </w:rPr>
            </w:pPr>
            <w:r>
              <w:rPr>
                <w:bCs/>
                <w:color w:val="000000" w:themeColor="text1"/>
                <w:sz w:val="24"/>
                <w14:textFill>
                  <w14:solidFill>
                    <w14:schemeClr w14:val="tx1"/>
                  </w14:solidFill>
                </w14:textFill>
              </w:rPr>
              <w:t>2）</w:t>
            </w:r>
            <w:r>
              <w:rPr>
                <w:rFonts w:hint="eastAsia"/>
                <w:bCs/>
                <w:color w:val="000000" w:themeColor="text1"/>
                <w:sz w:val="24"/>
                <w14:textFill>
                  <w14:solidFill>
                    <w14:schemeClr w14:val="tx1"/>
                  </w14:solidFill>
                </w14:textFill>
              </w:rPr>
              <w:t>设立</w:t>
            </w:r>
            <w:r>
              <w:rPr>
                <w:bCs/>
                <w:color w:val="000000" w:themeColor="text1"/>
                <w:sz w:val="24"/>
                <w14:textFill>
                  <w14:solidFill>
                    <w14:schemeClr w14:val="tx1"/>
                  </w14:solidFill>
                </w14:textFill>
              </w:rPr>
              <w:t>专职环保人员进行管理及保养废水处理系统，使之能长期有效地处于正常的运行之中。</w:t>
            </w:r>
          </w:p>
          <w:p w14:paraId="2B1E13CA">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w:t>
            </w:r>
            <w:r>
              <w:rPr>
                <w:rFonts w:hint="eastAsia"/>
                <w:b w:val="0"/>
                <w:bCs/>
                <w:color w:val="000000" w:themeColor="text1"/>
                <w:lang w:val="en-US"/>
                <w14:textFill>
                  <w14:solidFill>
                    <w14:schemeClr w14:val="tx1"/>
                  </w14:solidFill>
                </w14:textFill>
              </w:rPr>
              <w:t>5</w:t>
            </w:r>
            <w:r>
              <w:rPr>
                <w:b w:val="0"/>
                <w:bCs/>
                <w:color w:val="000000" w:themeColor="text1"/>
                <w:lang w:val="en-US"/>
                <w14:textFill>
                  <w14:solidFill>
                    <w14:schemeClr w14:val="tx1"/>
                  </w14:solidFill>
                </w14:textFill>
              </w:rPr>
              <w:t>）加强教育，强化管理</w:t>
            </w:r>
          </w:p>
          <w:p w14:paraId="3BE9FEF4">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安全生产是企业立厂之本，对企业来说，一定要强化风险意识、加强安全管理，具体要求如下：</w:t>
            </w:r>
          </w:p>
          <w:p w14:paraId="1AE6B6ED">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①</w:t>
            </w:r>
            <w:r>
              <w:rPr>
                <w:b w:val="0"/>
                <w:bCs/>
                <w:color w:val="000000" w:themeColor="text1"/>
                <w:lang w:val="en-US"/>
                <w14:textFill>
                  <w14:solidFill>
                    <w14:schemeClr w14:val="tx1"/>
                  </w14:solidFill>
                </w14:textFill>
              </w:rPr>
              <w:t>必须将“安全第一，以防为主”作为公司经营的基本原则；</w:t>
            </w:r>
          </w:p>
          <w:p w14:paraId="2004653C">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②</w:t>
            </w:r>
            <w:r>
              <w:rPr>
                <w:b w:val="0"/>
                <w:bCs/>
                <w:color w:val="000000" w:themeColor="text1"/>
                <w:lang w:val="en-US"/>
                <w14:textFill>
                  <w14:solidFill>
                    <w14:schemeClr w14:val="tx1"/>
                  </w14:solidFill>
                </w14:textFill>
              </w:rPr>
              <w:t>必须进行广泛系统的培训，使所有操作人员熟悉自己的岗位，树立严谨规范的操作作风，并且在任何紧急状况下都能随时对工艺装置进行控制，并及时、独立、正确地实施相关应急措施。</w:t>
            </w:r>
          </w:p>
          <w:p w14:paraId="63AC7F0B">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③</w:t>
            </w:r>
            <w:r>
              <w:rPr>
                <w:b w:val="0"/>
                <w:bCs/>
                <w:color w:val="000000" w:themeColor="text1"/>
                <w:lang w:val="en-US"/>
                <w14:textFill>
                  <w14:solidFill>
                    <w14:schemeClr w14:val="tx1"/>
                  </w14:solidFill>
                </w14:textFill>
              </w:rPr>
              <w:t>对公司职工进行消防培训，当事故发生后能在最短时间内集合，在</w:t>
            </w:r>
            <w:r>
              <w:rPr>
                <w:rFonts w:hint="eastAsia"/>
                <w:b w:val="0"/>
                <w:bCs/>
                <w:color w:val="000000" w:themeColor="text1"/>
                <w:lang w:val="en-US"/>
                <w14:textFill>
                  <w14:solidFill>
                    <w14:schemeClr w14:val="tx1"/>
                  </w14:solidFill>
                </w14:textFill>
              </w:rPr>
              <w:t>佩戴</w:t>
            </w:r>
            <w:r>
              <w:rPr>
                <w:b w:val="0"/>
                <w:bCs/>
                <w:color w:val="000000" w:themeColor="text1"/>
                <w:lang w:val="en-US"/>
                <w14:textFill>
                  <w14:solidFill>
                    <w14:schemeClr w14:val="tx1"/>
                  </w14:solidFill>
                </w14:textFill>
              </w:rPr>
              <w:t>上相应的防护设备后，随同厂内技术人员进入泄漏地点。当情况比较严重时，应在组织自救的同时，通知</w:t>
            </w:r>
            <w:r>
              <w:rPr>
                <w:rFonts w:hint="eastAsia"/>
                <w:b w:val="0"/>
                <w:bCs/>
                <w:color w:val="000000" w:themeColor="text1"/>
                <w:lang w:val="en-US"/>
                <w14:textFill>
                  <w14:solidFill>
                    <w14:schemeClr w14:val="tx1"/>
                  </w14:solidFill>
                </w14:textFill>
              </w:rPr>
              <w:t>上级</w:t>
            </w:r>
            <w:r>
              <w:rPr>
                <w:b w:val="0"/>
                <w:bCs/>
                <w:color w:val="000000" w:themeColor="text1"/>
                <w:lang w:val="en-US"/>
                <w14:textFill>
                  <w14:solidFill>
                    <w14:schemeClr w14:val="tx1"/>
                  </w14:solidFill>
                </w14:textFill>
              </w:rPr>
              <w:t>救援中心和消防队，启动外界应急救援计划。</w:t>
            </w:r>
          </w:p>
          <w:p w14:paraId="6B92B770">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④</w:t>
            </w:r>
            <w:r>
              <w:rPr>
                <w:b w:val="0"/>
                <w:bCs/>
                <w:color w:val="000000" w:themeColor="text1"/>
                <w:lang w:val="en-US"/>
                <w14:textFill>
                  <w14:solidFill>
                    <w14:schemeClr w14:val="tx1"/>
                  </w14:solidFill>
                </w14:textFill>
              </w:rPr>
              <w:t>加强公司职员的安全意识，严禁在厂区吸烟，防止因明火导致厂区火灾、爆炸。</w:t>
            </w:r>
          </w:p>
          <w:p w14:paraId="769439D9">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⑤</w:t>
            </w:r>
            <w:r>
              <w:rPr>
                <w:b w:val="0"/>
                <w:bCs/>
                <w:color w:val="000000" w:themeColor="text1"/>
                <w:lang w:val="en-US"/>
                <w14:textFill>
                  <w14:solidFill>
                    <w14:schemeClr w14:val="tx1"/>
                  </w14:solidFill>
                </w14:textFill>
              </w:rPr>
              <w:t>设立安全环保岗位，负责全厂的安全管理，应聘请具有丰富经验的人才担当负责人，车间和主要装置设置专职或兼职安全员，兼职安全员原则上由工艺员担任。</w:t>
            </w:r>
          </w:p>
          <w:p w14:paraId="2F7C24E8">
            <w:pPr>
              <w:pStyle w:val="2"/>
              <w:ind w:firstLine="480"/>
              <w:rPr>
                <w:b w:val="0"/>
                <w:bCs/>
                <w:color w:val="000000" w:themeColor="text1"/>
                <w:lang w:val="en-US"/>
                <w14:textFill>
                  <w14:solidFill>
                    <w14:schemeClr w14:val="tx1"/>
                  </w14:solidFill>
                </w14:textFill>
              </w:rPr>
            </w:pPr>
            <w:r>
              <w:rPr>
                <w:rFonts w:ascii="Cambria Math" w:hAnsi="Cambria Math" w:cs="Cambria Math"/>
                <w:b w:val="0"/>
                <w:bCs/>
                <w:color w:val="000000" w:themeColor="text1"/>
                <w:lang w:val="en-US"/>
                <w14:textFill>
                  <w14:solidFill>
                    <w14:schemeClr w14:val="tx1"/>
                  </w14:solidFill>
                </w14:textFill>
              </w:rPr>
              <w:t>⑥</w:t>
            </w:r>
            <w:r>
              <w:rPr>
                <w:b w:val="0"/>
                <w:bCs/>
                <w:color w:val="000000" w:themeColor="text1"/>
                <w:lang w:val="en-US"/>
                <w14:textFill>
                  <w14:solidFill>
                    <w14:schemeClr w14:val="tx1"/>
                  </w14:solidFill>
                </w14:textFill>
              </w:rPr>
              <w:t>按照《</w:t>
            </w:r>
            <w:r>
              <w:rPr>
                <w:rFonts w:hint="eastAsia"/>
                <w:b w:val="0"/>
                <w:bCs/>
                <w:color w:val="000000" w:themeColor="text1"/>
                <w:lang w:val="en-US"/>
                <w14:textFill>
                  <w14:solidFill>
                    <w14:schemeClr w14:val="tx1"/>
                  </w14:solidFill>
                </w14:textFill>
              </w:rPr>
              <w:t>中华人民共和国劳动法</w:t>
            </w:r>
            <w:r>
              <w:rPr>
                <w:b w:val="0"/>
                <w:bCs/>
                <w:color w:val="000000" w:themeColor="text1"/>
                <w:lang w:val="en-US"/>
                <w14:textFill>
                  <w14:solidFill>
                    <w14:schemeClr w14:val="tx1"/>
                  </w14:solidFill>
                </w14:textFill>
              </w:rPr>
              <w:t>》有关规定，为职工提供劳动安全卫生条件和劳动防护用品。</w:t>
            </w:r>
          </w:p>
          <w:p w14:paraId="48A0A17C">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6</w:t>
            </w:r>
            <w:r>
              <w:rPr>
                <w:bCs/>
                <w:color w:val="000000" w:themeColor="text1"/>
                <w:sz w:val="24"/>
                <w14:textFill>
                  <w14:solidFill>
                    <w14:schemeClr w14:val="tx1"/>
                  </w14:solidFill>
                </w14:textFill>
              </w:rPr>
              <w:t>）应急措施</w:t>
            </w:r>
          </w:p>
          <w:p w14:paraId="555FFDA5">
            <w:pPr>
              <w:tabs>
                <w:tab w:val="center" w:pos="4410"/>
              </w:tabs>
              <w:snapToGrid w:val="0"/>
              <w:spacing w:line="360" w:lineRule="auto"/>
              <w:ind w:firstLine="480" w:firstLineChars="200"/>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①</w:t>
            </w:r>
            <w:r>
              <w:rPr>
                <w:bCs/>
                <w:color w:val="000000" w:themeColor="text1"/>
                <w:sz w:val="24"/>
                <w14:textFill>
                  <w14:solidFill>
                    <w14:schemeClr w14:val="tx1"/>
                  </w14:solidFill>
                </w14:textFill>
              </w:rPr>
              <w:t>突发环境事件现场应急措施</w:t>
            </w:r>
          </w:p>
          <w:p w14:paraId="5E92767C">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生产区线路起火事故发生时，要迅速采取防止引火爆炸的措施，同时还要采取措施尽可能减少对附近居民的影响以及防止向周围环境扩散。</w:t>
            </w:r>
          </w:p>
          <w:p w14:paraId="2D86F449">
            <w:pPr>
              <w:pStyle w:val="2"/>
              <w:ind w:firstLine="480"/>
              <w:rPr>
                <w:b w:val="0"/>
                <w:bCs/>
                <w:color w:val="000000" w:themeColor="text1"/>
                <w:lang w:val="en-US"/>
                <w14:textFill>
                  <w14:solidFill>
                    <w14:schemeClr w14:val="tx1"/>
                  </w14:solidFill>
                </w14:textFill>
              </w:rPr>
            </w:pPr>
            <w:r>
              <w:rPr>
                <w:rFonts w:hint="eastAsia"/>
                <w:b w:val="0"/>
                <w:bCs/>
                <w:color w:val="000000" w:themeColor="text1"/>
                <w:lang w:val="en-US"/>
                <w14:textFill>
                  <w14:solidFill>
                    <w14:schemeClr w14:val="tx1"/>
                  </w14:solidFill>
                </w14:textFill>
              </w:rPr>
              <w:t>设立事故池参照《水体污染防控紧急措施设计导则》事故排水储存，事故水池应考虑多种因素确定应急事故废水最大量的确定采用公式法计算，具体算法如下：</w:t>
            </w:r>
          </w:p>
          <w:p w14:paraId="595E5A39">
            <w:pPr>
              <w:pStyle w:val="2"/>
              <w:ind w:firstLine="0" w:firstLineChars="0"/>
              <w:jc w:val="center"/>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V总=（V</w:t>
            </w:r>
            <w:r>
              <w:rPr>
                <w:b w:val="0"/>
                <w:bCs/>
                <w:color w:val="000000" w:themeColor="text1"/>
                <w:vertAlign w:val="subscript"/>
                <w:lang w:val="en-US"/>
                <w14:textFill>
                  <w14:solidFill>
                    <w14:schemeClr w14:val="tx1"/>
                  </w14:solidFill>
                </w14:textFill>
              </w:rPr>
              <w:t>1</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2</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3</w:t>
            </w:r>
            <w:r>
              <w:rPr>
                <w:b w:val="0"/>
                <w:bCs/>
                <w:color w:val="000000" w:themeColor="text1"/>
                <w:lang w:val="en-US"/>
                <w14:textFill>
                  <w14:solidFill>
                    <w14:schemeClr w14:val="tx1"/>
                  </w14:solidFill>
                </w14:textFill>
              </w:rPr>
              <w:t>）max +V</w:t>
            </w:r>
            <w:r>
              <w:rPr>
                <w:b w:val="0"/>
                <w:bCs/>
                <w:color w:val="000000" w:themeColor="text1"/>
                <w:vertAlign w:val="subscript"/>
                <w:lang w:val="en-US"/>
                <w14:textFill>
                  <w14:solidFill>
                    <w14:schemeClr w14:val="tx1"/>
                  </w14:solidFill>
                </w14:textFill>
              </w:rPr>
              <w:t>4</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5</w:t>
            </w:r>
          </w:p>
          <w:p w14:paraId="13B8222A">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注：（V</w:t>
            </w:r>
            <w:r>
              <w:rPr>
                <w:b w:val="0"/>
                <w:bCs/>
                <w:color w:val="000000" w:themeColor="text1"/>
                <w:vertAlign w:val="subscript"/>
                <w:lang w:val="en-US"/>
                <w14:textFill>
                  <w14:solidFill>
                    <w14:schemeClr w14:val="tx1"/>
                  </w14:solidFill>
                </w14:textFill>
              </w:rPr>
              <w:t>1</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2</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3</w:t>
            </w:r>
            <w:r>
              <w:rPr>
                <w:b w:val="0"/>
                <w:bCs/>
                <w:color w:val="000000" w:themeColor="text1"/>
                <w:lang w:val="en-US"/>
                <w14:textFill>
                  <w14:solidFill>
                    <w14:schemeClr w14:val="tx1"/>
                  </w14:solidFill>
                </w14:textFill>
              </w:rPr>
              <w:t>）max是指对收集系统范围内不同罐组或装置分别计算V1+V2-V3，取其中最大值。</w:t>
            </w:r>
          </w:p>
          <w:p w14:paraId="1A03567D">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1</w:t>
            </w:r>
            <w:r>
              <w:rPr>
                <w:b w:val="0"/>
                <w:bCs/>
                <w:color w:val="000000" w:themeColor="text1"/>
                <w:lang w:val="en-US"/>
                <w14:textFill>
                  <w14:solidFill>
                    <w14:schemeClr w14:val="tx1"/>
                  </w14:solidFill>
                </w14:textFill>
              </w:rPr>
              <w:t>——收集系统范围内发生事故的一个罐组或一套装置的物料量。</w:t>
            </w:r>
          </w:p>
          <w:p w14:paraId="2EFB9BC4">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注：储存相同物料的罐组按一个最大储罐计，装置物料量按存留最大物料量的一台反应器或中间储罐计；本项目无储罐，因此V</w:t>
            </w:r>
            <w:r>
              <w:rPr>
                <w:b w:val="0"/>
                <w:bCs/>
                <w:color w:val="000000" w:themeColor="text1"/>
                <w:vertAlign w:val="subscript"/>
                <w:lang w:val="en-US"/>
                <w14:textFill>
                  <w14:solidFill>
                    <w14:schemeClr w14:val="tx1"/>
                  </w14:solidFill>
                </w14:textFill>
              </w:rPr>
              <w:t>1</w:t>
            </w:r>
            <w:r>
              <w:rPr>
                <w:b w:val="0"/>
                <w:bCs/>
                <w:color w:val="000000" w:themeColor="text1"/>
                <w:lang w:val="en-US"/>
                <w14:textFill>
                  <w14:solidFill>
                    <w14:schemeClr w14:val="tx1"/>
                  </w14:solidFill>
                </w14:textFill>
              </w:rPr>
              <w:t>取0m</w:t>
            </w:r>
            <w:r>
              <w:rPr>
                <w:b w:val="0"/>
                <w:bCs/>
                <w:color w:val="000000" w:themeColor="text1"/>
                <w:vertAlign w:val="superscript"/>
                <w:lang w:val="en-US"/>
                <w14:textFill>
                  <w14:solidFill>
                    <w14:schemeClr w14:val="tx1"/>
                  </w14:solidFill>
                </w14:textFill>
              </w:rPr>
              <w:t>3</w:t>
            </w:r>
            <w:r>
              <w:rPr>
                <w:rFonts w:hint="eastAsia"/>
                <w:b w:val="0"/>
                <w:bCs/>
                <w:color w:val="000000" w:themeColor="text1"/>
                <w:lang w:val="en-US"/>
                <w14:textFill>
                  <w14:solidFill>
                    <w14:schemeClr w14:val="tx1"/>
                  </w14:solidFill>
                </w14:textFill>
              </w:rPr>
              <w:t>；</w:t>
            </w:r>
          </w:p>
          <w:p w14:paraId="05937131">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2</w:t>
            </w:r>
            <w:r>
              <w:rPr>
                <w:b w:val="0"/>
                <w:bCs/>
                <w:color w:val="000000" w:themeColor="text1"/>
                <w:lang w:val="en-US"/>
                <w14:textFill>
                  <w14:solidFill>
                    <w14:schemeClr w14:val="tx1"/>
                  </w14:solidFill>
                </w14:textFill>
              </w:rPr>
              <w:t>——发生事故的储罐或装置的消防水量，m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046A271E">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根据《建筑设计防火规范》的规定，项目按消防水用量15L/s，一次火灾延续时间1h计算，用水量54m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/次，废水系数按0.85计算，则产生消防废水量为45.9m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/次，因此V</w:t>
            </w:r>
            <w:r>
              <w:rPr>
                <w:b w:val="0"/>
                <w:bCs/>
                <w:color w:val="000000" w:themeColor="text1"/>
                <w:vertAlign w:val="subscript"/>
                <w:lang w:val="en-US"/>
                <w14:textFill>
                  <w14:solidFill>
                    <w14:schemeClr w14:val="tx1"/>
                  </w14:solidFill>
                </w14:textFill>
              </w:rPr>
              <w:t>2</w:t>
            </w:r>
            <w:r>
              <w:rPr>
                <w:b w:val="0"/>
                <w:bCs/>
                <w:color w:val="000000" w:themeColor="text1"/>
                <w:lang w:val="en-US"/>
                <w14:textFill>
                  <w14:solidFill>
                    <w14:schemeClr w14:val="tx1"/>
                  </w14:solidFill>
                </w14:textFill>
              </w:rPr>
              <w:t>取45.9m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776B53DB">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3</w:t>
            </w:r>
            <w:r>
              <w:rPr>
                <w:b w:val="0"/>
                <w:bCs/>
                <w:color w:val="000000" w:themeColor="text1"/>
                <w:lang w:val="en-US"/>
                <w14:textFill>
                  <w14:solidFill>
                    <w14:schemeClr w14:val="tx1"/>
                  </w14:solidFill>
                </w14:textFill>
              </w:rPr>
              <w:t>——发生事故时可以转输到其他储存或处理设施的物料量，m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3</w:t>
            </w:r>
            <w:r>
              <w:rPr>
                <w:rFonts w:hint="eastAsia"/>
                <w:b w:val="0"/>
                <w:bCs/>
                <w:color w:val="000000" w:themeColor="text1"/>
                <w:lang w:val="en-US"/>
                <w14:textFill>
                  <w14:solidFill>
                    <w14:schemeClr w14:val="tx1"/>
                  </w14:solidFill>
                </w14:textFill>
              </w:rPr>
              <w:t>=</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32C23536">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4</w:t>
            </w:r>
            <w:r>
              <w:rPr>
                <w:b w:val="0"/>
                <w:bCs/>
                <w:color w:val="000000" w:themeColor="text1"/>
                <w:lang w:val="en-US"/>
                <w14:textFill>
                  <w14:solidFill>
                    <w14:schemeClr w14:val="tx1"/>
                  </w14:solidFill>
                </w14:textFill>
              </w:rPr>
              <w:t>——发生事故时仍必须进入该收集系统的生产废水量，m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4</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5F8024AB">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5</w:t>
            </w:r>
            <w:r>
              <w:rPr>
                <w:b w:val="0"/>
                <w:bCs/>
                <w:color w:val="000000" w:themeColor="text1"/>
                <w:lang w:val="en-US"/>
                <w14:textFill>
                  <w14:solidFill>
                    <w14:schemeClr w14:val="tx1"/>
                  </w14:solidFill>
                </w14:textFill>
              </w:rPr>
              <w:t>——发生事故时可能进入该收集系统的降雨量，m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520B9BF9">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本项目发生事故时进入收集池的降雨量取15mm，项目可能受粉尘、化学品污染的场地面积约为1</w:t>
            </w:r>
            <w:r>
              <w:rPr>
                <w:rFonts w:hint="eastAsia"/>
                <w:b w:val="0"/>
                <w:bCs/>
                <w:color w:val="000000" w:themeColor="text1"/>
                <w:lang w:val="en-US"/>
                <w14:textFill>
                  <w14:solidFill>
                    <w14:schemeClr w14:val="tx1"/>
                  </w14:solidFill>
                </w14:textFill>
              </w:rPr>
              <w:t>86</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2</w:t>
            </w:r>
            <w:r>
              <w:rPr>
                <w:b w:val="0"/>
                <w:bCs/>
                <w:color w:val="000000" w:themeColor="text1"/>
                <w:lang w:val="en-US"/>
                <w14:textFill>
                  <w14:solidFill>
                    <w14:schemeClr w14:val="tx1"/>
                  </w14:solidFill>
                </w14:textFill>
              </w:rPr>
              <w:t>，初期雨水产生量为</w:t>
            </w:r>
            <w:r>
              <w:rPr>
                <w:rFonts w:hint="eastAsia"/>
                <w:b w:val="0"/>
                <w:bCs/>
                <w:color w:val="000000" w:themeColor="text1"/>
                <w:lang w:val="en-US"/>
                <w14:textFill>
                  <w14:solidFill>
                    <w14:schemeClr w14:val="tx1"/>
                  </w14:solidFill>
                </w14:textFill>
              </w:rPr>
              <w:t>27.9</w:t>
            </w:r>
            <w:r>
              <w:rPr>
                <w:b w:val="0"/>
                <w:bCs/>
                <w:color w:val="000000" w:themeColor="text1"/>
                <w:lang w:val="en-US"/>
                <w14:textFill>
                  <w14:solidFill>
                    <w14:schemeClr w14:val="tx1"/>
                  </w14:solidFill>
                </w14:textFill>
              </w:rPr>
              <w:t>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/次，则V</w:t>
            </w:r>
            <w:r>
              <w:rPr>
                <w:b w:val="0"/>
                <w:bCs/>
                <w:color w:val="000000" w:themeColor="text1"/>
                <w:vertAlign w:val="subscript"/>
                <w:lang w:val="en-US"/>
                <w14:textFill>
                  <w14:solidFill>
                    <w14:schemeClr w14:val="tx1"/>
                  </w14:solidFill>
                </w14:textFill>
              </w:rPr>
              <w:t>5</w:t>
            </w:r>
            <w:r>
              <w:rPr>
                <w:b w:val="0"/>
                <w:bCs/>
                <w:color w:val="000000" w:themeColor="text1"/>
                <w:lang w:val="en-US"/>
                <w14:textFill>
                  <w14:solidFill>
                    <w14:schemeClr w14:val="tx1"/>
                  </w14:solidFill>
                </w14:textFill>
              </w:rPr>
              <w:t>=</w:t>
            </w:r>
            <w:r>
              <w:rPr>
                <w:rFonts w:hint="eastAsia"/>
                <w:b w:val="0"/>
                <w:bCs/>
                <w:color w:val="000000" w:themeColor="text1"/>
                <w:lang w:val="en-US"/>
                <w14:textFill>
                  <w14:solidFill>
                    <w14:schemeClr w14:val="tx1"/>
                  </w14:solidFill>
                </w14:textFill>
              </w:rPr>
              <w:t>27.9</w:t>
            </w:r>
            <w:r>
              <w:rPr>
                <w:b w:val="0"/>
                <w:bCs/>
                <w:color w:val="000000" w:themeColor="text1"/>
                <w:lang w:val="en-US"/>
                <w14:textFill>
                  <w14:solidFill>
                    <w14:schemeClr w14:val="tx1"/>
                  </w14:solidFill>
                </w14:textFill>
              </w:rPr>
              <w:t>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w:t>
            </w:r>
          </w:p>
          <w:p w14:paraId="226B6FDB">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1</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2</w:t>
            </w:r>
            <w:r>
              <w:rPr>
                <w:b w:val="0"/>
                <w:bCs/>
                <w:color w:val="000000" w:themeColor="text1"/>
                <w:lang w:val="en-US"/>
                <w14:textFill>
                  <w14:solidFill>
                    <w14:schemeClr w14:val="tx1"/>
                  </w14:solidFill>
                </w14:textFill>
              </w:rPr>
              <w:t>=45.9m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3</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w:t>
            </w:r>
            <w:r>
              <w:rPr>
                <w:b w:val="0"/>
                <w:bCs/>
                <w:color w:val="000000" w:themeColor="text1"/>
                <w:vertAlign w:val="subscript"/>
                <w:lang w:val="en-US"/>
                <w14:textFill>
                  <w14:solidFill>
                    <w14:schemeClr w14:val="tx1"/>
                  </w14:solidFill>
                </w14:textFill>
              </w:rPr>
              <w:t>4</w:t>
            </w:r>
            <w:r>
              <w:rPr>
                <w:b w:val="0"/>
                <w:bCs/>
                <w:color w:val="000000" w:themeColor="text1"/>
                <w:lang w:val="en-US"/>
                <w14:textFill>
                  <w14:solidFill>
                    <w14:schemeClr w14:val="tx1"/>
                  </w14:solidFill>
                </w14:textFill>
              </w:rPr>
              <w:t>=0m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，V5=</w:t>
            </w:r>
            <w:r>
              <w:rPr>
                <w:rFonts w:hint="eastAsia"/>
                <w:b w:val="0"/>
                <w:bCs/>
                <w:color w:val="000000" w:themeColor="text1"/>
                <w:lang w:val="en-US"/>
                <w14:textFill>
                  <w14:solidFill>
                    <w14:schemeClr w14:val="tx1"/>
                  </w14:solidFill>
                </w14:textFill>
              </w:rPr>
              <w:t>27.9</w:t>
            </w:r>
            <w:r>
              <w:rPr>
                <w:b w:val="0"/>
                <w:bCs/>
                <w:color w:val="000000" w:themeColor="text1"/>
                <w:lang w:val="en-US"/>
                <w14:textFill>
                  <w14:solidFill>
                    <w14:schemeClr w14:val="tx1"/>
                  </w14:solidFill>
                </w14:textFill>
              </w:rPr>
              <w:t>m</w:t>
            </w:r>
            <w:r>
              <w:rPr>
                <w:b w:val="0"/>
                <w:bCs/>
                <w:color w:val="000000" w:themeColor="text1"/>
                <w:vertAlign w:val="superscript"/>
                <w:lang w:val="en-US"/>
                <w14:textFill>
                  <w14:solidFill>
                    <w14:schemeClr w14:val="tx1"/>
                  </w14:solidFill>
                </w14:textFill>
              </w:rPr>
              <w:t>3</w:t>
            </w:r>
          </w:p>
          <w:p w14:paraId="0EAEFA94">
            <w:pPr>
              <w:pStyle w:val="2"/>
              <w:ind w:firstLine="480"/>
              <w:rPr>
                <w:b w:val="0"/>
                <w:bCs/>
                <w:color w:val="000000" w:themeColor="text1"/>
                <w:lang w:val="en-US"/>
                <w14:textFill>
                  <w14:solidFill>
                    <w14:schemeClr w14:val="tx1"/>
                  </w14:solidFill>
                </w14:textFill>
              </w:rPr>
            </w:pPr>
            <w:r>
              <w:rPr>
                <w:b w:val="0"/>
                <w:bCs/>
                <w:color w:val="000000" w:themeColor="text1"/>
                <w:lang w:val="en-US"/>
                <w14:textFill>
                  <w14:solidFill>
                    <w14:schemeClr w14:val="tx1"/>
                  </w14:solidFill>
                </w14:textFill>
              </w:rPr>
              <w:t>本项目事故需收集废水最大量为</w:t>
            </w:r>
            <w:r>
              <w:rPr>
                <w:rFonts w:hint="eastAsia"/>
                <w:b w:val="0"/>
                <w:bCs/>
                <w:color w:val="000000" w:themeColor="text1"/>
                <w:lang w:val="en-US"/>
                <w14:textFill>
                  <w14:solidFill>
                    <w14:schemeClr w14:val="tx1"/>
                  </w14:solidFill>
                </w14:textFill>
              </w:rPr>
              <w:t>73.8</w:t>
            </w:r>
            <w:r>
              <w:rPr>
                <w:b w:val="0"/>
                <w:bCs/>
                <w:color w:val="000000" w:themeColor="text1"/>
                <w:lang w:val="en-US"/>
                <w14:textFill>
                  <w14:solidFill>
                    <w14:schemeClr w14:val="tx1"/>
                  </w14:solidFill>
                </w14:textFill>
              </w:rPr>
              <w:t>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，本项目应设置</w:t>
            </w:r>
            <w:r>
              <w:rPr>
                <w:rFonts w:hint="eastAsia"/>
                <w:b w:val="0"/>
                <w:bCs/>
                <w:color w:val="000000" w:themeColor="text1"/>
                <w:lang w:val="en-US"/>
                <w14:textFill>
                  <w14:solidFill>
                    <w14:schemeClr w14:val="tx1"/>
                  </w14:solidFill>
                </w14:textFill>
              </w:rPr>
              <w:t>75</w:t>
            </w:r>
            <w:r>
              <w:rPr>
                <w:b w:val="0"/>
                <w:bCs/>
                <w:color w:val="000000" w:themeColor="text1"/>
                <w:lang w:val="en-US"/>
                <w14:textFill>
                  <w14:solidFill>
                    <w14:schemeClr w14:val="tx1"/>
                  </w14:solidFill>
                </w14:textFill>
              </w:rPr>
              <w:t>m</w:t>
            </w:r>
            <w:r>
              <w:rPr>
                <w:b w:val="0"/>
                <w:bCs/>
                <w:color w:val="000000" w:themeColor="text1"/>
                <w:vertAlign w:val="superscript"/>
                <w:lang w:val="en-US"/>
                <w14:textFill>
                  <w14:solidFill>
                    <w14:schemeClr w14:val="tx1"/>
                  </w14:solidFill>
                </w14:textFill>
              </w:rPr>
              <w:t>3</w:t>
            </w:r>
            <w:r>
              <w:rPr>
                <w:b w:val="0"/>
                <w:bCs/>
                <w:color w:val="000000" w:themeColor="text1"/>
                <w:lang w:val="en-US"/>
                <w14:textFill>
                  <w14:solidFill>
                    <w14:schemeClr w14:val="tx1"/>
                  </w14:solidFill>
                </w14:textFill>
              </w:rPr>
              <w:t>的事故应急池。</w:t>
            </w:r>
          </w:p>
          <w:p w14:paraId="42FA1571">
            <w:pPr>
              <w:pStyle w:val="2"/>
              <w:ind w:firstLine="480"/>
              <w:rPr>
                <w:b w:val="0"/>
                <w:bCs/>
                <w:color w:val="000000" w:themeColor="text1"/>
                <w:lang w:val="en-US"/>
                <w14:textFill>
                  <w14:solidFill>
                    <w14:schemeClr w14:val="tx1"/>
                  </w14:solidFill>
                </w14:textFill>
              </w:rPr>
            </w:pPr>
            <w:r>
              <w:rPr>
                <w:rFonts w:hint="eastAsia"/>
                <w:b w:val="0"/>
                <w:bCs/>
                <w:color w:val="000000" w:themeColor="text1"/>
                <w:lang w:val="en-US"/>
                <w14:textFill>
                  <w14:solidFill>
                    <w14:schemeClr w14:val="tx1"/>
                  </w14:solidFill>
                </w14:textFill>
              </w:rPr>
              <w:t>项目厂区发生环境风险事故时产生的消防废水、废液均应收集到事故应急池，未经处理不得外排。事故池应急池平时应保持空置状态。</w:t>
            </w:r>
          </w:p>
          <w:p w14:paraId="33D86131">
            <w:pPr>
              <w:tabs>
                <w:tab w:val="center" w:pos="4410"/>
              </w:tabs>
              <w:snapToGrid w:val="0"/>
              <w:spacing w:line="360" w:lineRule="auto"/>
              <w:ind w:firstLine="480" w:firstLineChars="200"/>
              <w:rPr>
                <w:bCs/>
                <w:color w:val="000000" w:themeColor="text1"/>
                <w:sz w:val="24"/>
                <w14:textFill>
                  <w14:solidFill>
                    <w14:schemeClr w14:val="tx1"/>
                  </w14:solidFill>
                </w14:textFill>
              </w:rPr>
            </w:pPr>
            <w:r>
              <w:rPr>
                <w:rFonts w:ascii="Cambria Math" w:hAnsi="Cambria Math" w:cs="Cambria Math"/>
                <w:bCs/>
                <w:color w:val="000000" w:themeColor="text1"/>
                <w:sz w:val="24"/>
                <w14:textFill>
                  <w14:solidFill>
                    <w14:schemeClr w14:val="tx1"/>
                  </w14:solidFill>
                </w14:textFill>
              </w:rPr>
              <w:t>②</w:t>
            </w:r>
            <w:r>
              <w:rPr>
                <w:bCs/>
                <w:color w:val="000000" w:themeColor="text1"/>
                <w:sz w:val="24"/>
                <w14:textFill>
                  <w14:solidFill>
                    <w14:schemeClr w14:val="tx1"/>
                  </w14:solidFill>
                </w14:textFill>
              </w:rPr>
              <w:t>现场人员的撤离</w:t>
            </w:r>
          </w:p>
          <w:p w14:paraId="0F156F18">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在发生重大火灾爆炸，严重威胁现场人员生命安全条件下，事故现场最高指挥有权做出与事故处理无关人员的撤离，或全部人员撤离的命令。</w:t>
            </w:r>
          </w:p>
          <w:p w14:paraId="44539A79">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指定车间出口作为紧急集合地点，在发生严重的火灾爆炸、毒物</w:t>
            </w:r>
            <w:r>
              <w:rPr>
                <w:rFonts w:hint="eastAsia"/>
                <w:bCs/>
                <w:color w:val="000000" w:themeColor="text1"/>
                <w:sz w:val="24"/>
                <w14:textFill>
                  <w14:solidFill>
                    <w14:schemeClr w14:val="tx1"/>
                  </w14:solidFill>
                </w14:textFill>
              </w:rPr>
              <w:t>泄漏事故</w:t>
            </w:r>
            <w:r>
              <w:rPr>
                <w:bCs/>
                <w:color w:val="000000" w:themeColor="text1"/>
                <w:sz w:val="24"/>
                <w14:textFill>
                  <w14:solidFill>
                    <w14:schemeClr w14:val="tx1"/>
                  </w14:solidFill>
                </w14:textFill>
              </w:rPr>
              <w:t>时，应依据当时的风向选择确定上风向的一侧作为紧急集合地点，撤离人员先在该处集合登记，等待进一步的指令，撤离的信号为公司警报系统发出的报警声：持续时间为30秒（预先通知的系统测试根据通知要求进行响应）。</w:t>
            </w:r>
          </w:p>
          <w:p w14:paraId="5659FAFB">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当经过积极的灾害急救处理后，灾情仍无法控制，由事故应急指挥小组下达撤离命令后，装置现场所有人员按自己所处位置，选择特定路线撤离，并引导现场其他人员迅速撤离现场。对可能威胁到厂区外居民安全时，指挥部应立即和地方有关部门联系，并应迅速组织有关人员协助友邻单位、厂区外过往行人在指挥部指挥协调下，指挥引导居民迅速撤离到安全地点。</w:t>
            </w:r>
          </w:p>
          <w:p w14:paraId="54FE6605">
            <w:pPr>
              <w:pStyle w:val="206"/>
              <w:spacing w:line="360" w:lineRule="auto"/>
              <w:ind w:firstLine="482"/>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6、分析结论</w:t>
            </w:r>
          </w:p>
          <w:p w14:paraId="3E9CAACE">
            <w:pPr>
              <w:pStyle w:val="97"/>
              <w:framePr w:hSpace="0" w:wrap="auto" w:vAnchor="margin" w:hAnchor="text" w:xAlign="left" w:yAlign="inline"/>
              <w:ind w:firstLine="480"/>
              <w:rPr>
                <w:b w:val="0"/>
                <w:color w:val="000000" w:themeColor="text1"/>
                <w14:textFill>
                  <w14:solidFill>
                    <w14:schemeClr w14:val="tx1"/>
                  </w14:solidFill>
                </w14:textFill>
              </w:rPr>
            </w:pPr>
            <w:r>
              <w:rPr>
                <w:b w:val="0"/>
                <w:color w:val="000000" w:themeColor="text1"/>
                <w14:textFill>
                  <w14:solidFill>
                    <w14:schemeClr w14:val="tx1"/>
                  </w14:solidFill>
                </w14:textFill>
              </w:rPr>
              <w:t>企业应加强风险管理，认真落实各种风险防范措施，通过相应的技术手段降低风险发生概率，并在风险事故发生后，及时采取风险防范措施，使风险事故对环境的危害得到有效控制，将事故风险控制在可以接受的范围内。</w:t>
            </w:r>
          </w:p>
          <w:p w14:paraId="1B516446">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表4-2</w:t>
            </w:r>
            <w:r>
              <w:rPr>
                <w:rFonts w:hint="eastAsia" w:eastAsiaTheme="minorEastAsia"/>
                <w:color w:val="000000" w:themeColor="text1"/>
                <w14:textFill>
                  <w14:solidFill>
                    <w14:schemeClr w14:val="tx1"/>
                  </w14:solidFill>
                </w14:textFill>
              </w:rPr>
              <w:t>4</w:t>
            </w:r>
            <w:r>
              <w:rPr>
                <w:rFonts w:eastAsiaTheme="minorEastAsia"/>
                <w:color w:val="000000" w:themeColor="text1"/>
                <w14:textFill>
                  <w14:solidFill>
                    <w14:schemeClr w14:val="tx1"/>
                  </w14:solidFill>
                </w14:textFill>
              </w:rPr>
              <w:t xml:space="preserve">  建设项目环境风险分析简单内容表</w:t>
            </w:r>
          </w:p>
          <w:tbl>
            <w:tblPr>
              <w:tblStyle w:val="44"/>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4568"/>
              <w:gridCol w:w="3594"/>
            </w:tblGrid>
            <w:tr w14:paraId="6511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2" w:type="pct"/>
                  <w:vAlign w:val="center"/>
                </w:tcPr>
                <w:p w14:paraId="1C809731">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建设项目名称</w:t>
                  </w:r>
                </w:p>
              </w:tc>
              <w:tc>
                <w:tcPr>
                  <w:tcW w:w="4388" w:type="pct"/>
                  <w:gridSpan w:val="2"/>
                  <w:vAlign w:val="center"/>
                </w:tcPr>
                <w:p w14:paraId="0C34EA67">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高安钜鼎运动器材有限公司年产50万副球拍建设项目</w:t>
                  </w:r>
                </w:p>
              </w:tc>
            </w:tr>
            <w:tr w14:paraId="61192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12" w:type="pct"/>
                  <w:vAlign w:val="center"/>
                </w:tcPr>
                <w:p w14:paraId="5C79859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建设地点</w:t>
                  </w:r>
                </w:p>
              </w:tc>
              <w:tc>
                <w:tcPr>
                  <w:tcW w:w="4388" w:type="pct"/>
                  <w:gridSpan w:val="2"/>
                  <w:vAlign w:val="center"/>
                </w:tcPr>
                <w:p w14:paraId="3D076E24">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高安市黄沙岗镇挂榜村柒家村（高安市黄沙柒星建材厂内）</w:t>
                  </w:r>
                </w:p>
              </w:tc>
            </w:tr>
            <w:tr w14:paraId="213FD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12" w:type="pct"/>
                  <w:vAlign w:val="center"/>
                </w:tcPr>
                <w:p w14:paraId="1CABA89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地理坐标</w:t>
                  </w:r>
                </w:p>
              </w:tc>
              <w:tc>
                <w:tcPr>
                  <w:tcW w:w="2456" w:type="pct"/>
                  <w:vAlign w:val="center"/>
                </w:tcPr>
                <w:p w14:paraId="006F7DA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东经115°17′29.171″</w:t>
                  </w:r>
                </w:p>
              </w:tc>
              <w:tc>
                <w:tcPr>
                  <w:tcW w:w="1932" w:type="pct"/>
                  <w:vAlign w:val="center"/>
                </w:tcPr>
                <w:p w14:paraId="50352100">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北纬28°18′15.063″</w:t>
                  </w:r>
                </w:p>
              </w:tc>
            </w:tr>
            <w:tr w14:paraId="24E07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12" w:type="pct"/>
                  <w:vAlign w:val="center"/>
                </w:tcPr>
                <w:p w14:paraId="2A32E6F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主要危险物质及分布</w:t>
                  </w:r>
                </w:p>
              </w:tc>
              <w:tc>
                <w:tcPr>
                  <w:tcW w:w="4388" w:type="pct"/>
                  <w:gridSpan w:val="2"/>
                  <w:vAlign w:val="center"/>
                </w:tcPr>
                <w:p w14:paraId="7DD30E81">
                  <w:pPr>
                    <w:rPr>
                      <w:color w:val="000000" w:themeColor="text1"/>
                      <w:szCs w:val="21"/>
                      <w14:textFill>
                        <w14:solidFill>
                          <w14:schemeClr w14:val="tx1"/>
                        </w14:solidFill>
                      </w14:textFill>
                    </w:rPr>
                  </w:pPr>
                  <w:r>
                    <w:rPr>
                      <w:color w:val="000000" w:themeColor="text1"/>
                      <w14:textFill>
                        <w14:solidFill>
                          <w14:schemeClr w14:val="tx1"/>
                        </w14:solidFill>
                      </w14:textFill>
                    </w:rPr>
                    <w:t>项目危险物质为</w:t>
                  </w:r>
                  <w:r>
                    <w:rPr>
                      <w:rFonts w:hint="eastAsia"/>
                      <w:color w:val="000000" w:themeColor="text1"/>
                      <w14:textFill>
                        <w14:solidFill>
                          <w14:schemeClr w14:val="tx1"/>
                        </w14:solidFill>
                      </w14:textFill>
                    </w:rPr>
                    <w:t>醋酸乙酯（油漆所含），甲缩醛（稀释剂所含），环己酮（稀释剂所含），二甲苯（稀释剂所含），催化剂，机油，废机油，危险废物（除废机油）</w:t>
                  </w:r>
                  <w:r>
                    <w:rPr>
                      <w:color w:val="000000" w:themeColor="text1"/>
                      <w14:textFill>
                        <w14:solidFill>
                          <w14:schemeClr w14:val="tx1"/>
                        </w14:solidFill>
                      </w14:textFill>
                    </w:rPr>
                    <w:t>，主要存在位置为化学品仓库和危废贮存库。主要风险为</w:t>
                  </w:r>
                  <w:r>
                    <w:rPr>
                      <w:rFonts w:eastAsiaTheme="minorEastAsia"/>
                      <w:color w:val="000000" w:themeColor="text1"/>
                      <w14:textFill>
                        <w14:solidFill>
                          <w14:schemeClr w14:val="tx1"/>
                        </w14:solidFill>
                      </w14:textFill>
                    </w:rPr>
                    <w:t>生产过程中所使用设备在故障情况下可能发生的火灾、爆炸事故</w:t>
                  </w:r>
                  <w:r>
                    <w:rPr>
                      <w:color w:val="000000" w:themeColor="text1"/>
                      <w14:textFill>
                        <w14:solidFill>
                          <w14:schemeClr w14:val="tx1"/>
                        </w14:solidFill>
                      </w14:textFill>
                    </w:rPr>
                    <w:t>、废水泄漏、物料泄漏事故等</w:t>
                  </w:r>
                  <w:r>
                    <w:rPr>
                      <w:rFonts w:eastAsiaTheme="minorEastAsia"/>
                      <w:color w:val="000000" w:themeColor="text1"/>
                      <w14:textFill>
                        <w14:solidFill>
                          <w14:schemeClr w14:val="tx1"/>
                        </w14:solidFill>
                      </w14:textFill>
                    </w:rPr>
                    <w:t>。</w:t>
                  </w:r>
                </w:p>
              </w:tc>
            </w:tr>
            <w:tr w14:paraId="59B38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12" w:type="pct"/>
                  <w:vAlign w:val="center"/>
                </w:tcPr>
                <w:p w14:paraId="518F104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环境影响途径及危害后果（大气、地表水、地下水、土壤等）</w:t>
                  </w:r>
                </w:p>
              </w:tc>
              <w:tc>
                <w:tcPr>
                  <w:tcW w:w="4388" w:type="pct"/>
                  <w:gridSpan w:val="2"/>
                  <w:vAlign w:val="center"/>
                </w:tcPr>
                <w:p w14:paraId="7871499D">
                  <w:pPr>
                    <w:rPr>
                      <w:color w:val="000000" w:themeColor="text1"/>
                      <w:szCs w:val="21"/>
                      <w14:textFill>
                        <w14:solidFill>
                          <w14:schemeClr w14:val="tx1"/>
                        </w14:solidFill>
                      </w14:textFill>
                    </w:rPr>
                  </w:pPr>
                  <w:r>
                    <w:rPr>
                      <w:color w:val="000000" w:themeColor="text1"/>
                      <w14:textFill>
                        <w14:solidFill>
                          <w14:schemeClr w14:val="tx1"/>
                        </w14:solidFill>
                      </w14:textFill>
                    </w:rPr>
                    <w:t>本项目环境风险主要来自设备故障产生火灾、爆炸、废水泄漏、物料泄漏等造成环境污染。主要危害如下：</w:t>
                  </w:r>
                </w:p>
                <w:p w14:paraId="2D21FE9A">
                  <w:pPr>
                    <w:rPr>
                      <w:color w:val="000000" w:themeColor="text1"/>
                      <w14:textFill>
                        <w14:solidFill>
                          <w14:schemeClr w14:val="tx1"/>
                        </w14:solidFill>
                      </w14:textFill>
                    </w:rPr>
                  </w:pPr>
                  <w:r>
                    <w:rPr>
                      <w:color w:val="000000" w:themeColor="text1"/>
                      <w14:textFill>
                        <w14:solidFill>
                          <w14:schemeClr w14:val="tx1"/>
                        </w14:solidFill>
                      </w14:textFill>
                    </w:rPr>
                    <w:t>1.对大气的危害：风险物质、危废泄漏挥发，产生有毒气体。项目发生火灾、爆炸时，产生火灾伴生污染物CO，具有毒性，产生次生环境污染事故。</w:t>
                  </w:r>
                </w:p>
                <w:p w14:paraId="0C312973">
                  <w:pPr>
                    <w:rPr>
                      <w:color w:val="000000" w:themeColor="text1"/>
                      <w:szCs w:val="21"/>
                      <w14:textFill>
                        <w14:solidFill>
                          <w14:schemeClr w14:val="tx1"/>
                        </w14:solidFill>
                      </w14:textFill>
                    </w:rPr>
                  </w:pPr>
                  <w:r>
                    <w:rPr>
                      <w:color w:val="000000" w:themeColor="text1"/>
                      <w14:textFill>
                        <w14:solidFill>
                          <w14:schemeClr w14:val="tx1"/>
                        </w14:solidFill>
                      </w14:textFill>
                    </w:rPr>
                    <w:t>2.对地表水的影响：</w:t>
                  </w:r>
                  <w:r>
                    <w:rPr>
                      <w:color w:val="000000" w:themeColor="text1"/>
                      <w:kern w:val="0"/>
                      <w14:textFill>
                        <w14:solidFill>
                          <w14:schemeClr w14:val="tx1"/>
                        </w14:solidFill>
                      </w14:textFill>
                    </w:rPr>
                    <w:t>项目风险物质和危废发生泄漏，若进入地表水体，将引起地表水污染，风险物质和危废可能在贮存、运输过程中因泄漏通过雨水管网排入下游地表水体，导致地表水水质的污染，影响水生生物生存环境。</w:t>
                  </w:r>
                  <w:r>
                    <w:rPr>
                      <w:color w:val="000000" w:themeColor="text1"/>
                      <w14:textFill>
                        <w14:solidFill>
                          <w14:schemeClr w14:val="tx1"/>
                        </w14:solidFill>
                      </w14:textFill>
                    </w:rPr>
                    <w:t>项目发生火灾时，产生消防事故废水。</w:t>
                  </w:r>
                </w:p>
                <w:p w14:paraId="550FC98A">
                  <w:pPr>
                    <w:rPr>
                      <w:color w:val="000000" w:themeColor="text1"/>
                      <w14:textFill>
                        <w14:solidFill>
                          <w14:schemeClr w14:val="tx1"/>
                        </w14:solidFill>
                      </w14:textFill>
                    </w:rPr>
                  </w:pPr>
                  <w:r>
                    <w:rPr>
                      <w:color w:val="000000" w:themeColor="text1"/>
                      <w14:textFill>
                        <w14:solidFill>
                          <w14:schemeClr w14:val="tx1"/>
                        </w14:solidFill>
                      </w14:textFill>
                    </w:rPr>
                    <w:t>3.对地下水、土壤的影响：</w:t>
                  </w:r>
                  <w:r>
                    <w:rPr>
                      <w:color w:val="000000" w:themeColor="text1"/>
                      <w:kern w:val="0"/>
                      <w14:textFill>
                        <w14:solidFill>
                          <w14:schemeClr w14:val="tx1"/>
                        </w14:solidFill>
                      </w14:textFill>
                    </w:rPr>
                    <w:t>风险物质泄漏、危废泄漏，若进入地下水体，将引起地下水污染。</w:t>
                  </w:r>
                  <w:r>
                    <w:rPr>
                      <w:color w:val="000000" w:themeColor="text1"/>
                      <w14:textFill>
                        <w14:solidFill>
                          <w14:schemeClr w14:val="tx1"/>
                        </w14:solidFill>
                      </w14:textFill>
                    </w:rPr>
                    <w:t>项目发生火灾及事故废水外流，污染周边地下水、土壤。</w:t>
                  </w:r>
                </w:p>
              </w:tc>
            </w:tr>
            <w:tr w14:paraId="2E4AC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612" w:type="pct"/>
                  <w:vAlign w:val="center"/>
                </w:tcPr>
                <w:p w14:paraId="57200A8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风险防范措施要求</w:t>
                  </w:r>
                </w:p>
              </w:tc>
              <w:tc>
                <w:tcPr>
                  <w:tcW w:w="4388" w:type="pct"/>
                  <w:gridSpan w:val="2"/>
                  <w:vAlign w:val="center"/>
                </w:tcPr>
                <w:p w14:paraId="03415BE1">
                  <w:pPr>
                    <w:rPr>
                      <w:color w:val="000000" w:themeColor="text1"/>
                      <w14:textFill>
                        <w14:solidFill>
                          <w14:schemeClr w14:val="tx1"/>
                        </w14:solidFill>
                      </w14:textFill>
                    </w:rPr>
                  </w:pPr>
                  <w:r>
                    <w:rPr>
                      <w:color w:val="000000" w:themeColor="text1"/>
                      <w14:textFill>
                        <w14:solidFill>
                          <w14:schemeClr w14:val="tx1"/>
                        </w14:solidFill>
                      </w14:textFill>
                    </w:rPr>
                    <w:t>1.项目根据《工业企业总平面设计规范》（GB50187-2012）、《工业企业设计卫生标准》（GBZ1-2010）进行设计和布置。必须加强劳动、安全、卫生和环境的管理。可以从人、物、环境和管理四个方面寻找影响事故的原因，制定完备、有效的安全防范措施，尽可能降低本项目环境风险事故发生的概率，减少事故的损失和危害。</w:t>
                  </w:r>
                </w:p>
                <w:p w14:paraId="143BB8A6">
                  <w:pPr>
                    <w:rPr>
                      <w:color w:val="000000" w:themeColor="text1"/>
                      <w14:textFill>
                        <w14:solidFill>
                          <w14:schemeClr w14:val="tx1"/>
                        </w14:solidFill>
                      </w14:textFill>
                    </w:rPr>
                  </w:pPr>
                  <w:r>
                    <w:rPr>
                      <w:color w:val="000000" w:themeColor="text1"/>
                      <w14:textFill>
                        <w14:solidFill>
                          <w14:schemeClr w14:val="tx1"/>
                        </w14:solidFill>
                      </w14:textFill>
                    </w:rPr>
                    <w:t>2.危废泄漏防范措施</w:t>
                  </w:r>
                </w:p>
                <w:p w14:paraId="522786AE">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color w:val="000000" w:themeColor="text1"/>
                      <w14:textFill>
                        <w14:solidFill>
                          <w14:schemeClr w14:val="tx1"/>
                        </w14:solidFill>
                      </w14:textFill>
                    </w:rPr>
                    <w:t>危险废物贮存满足《危险废物贮存污染控制标准》（GB18597-2023）要求。</w:t>
                  </w:r>
                </w:p>
                <w:p w14:paraId="51669AE6">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t>设置危废暂存间并使用醒目的标识，并定期由专门技术人员对标识进行检查，每月一次。如果标识破碎或其他原因导致其无法识别，立即更换。</w:t>
                  </w:r>
                </w:p>
                <w:p w14:paraId="685153A7">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③</w:t>
                  </w:r>
                  <w:r>
                    <w:rPr>
                      <w:color w:val="000000" w:themeColor="text1"/>
                      <w14:textFill>
                        <w14:solidFill>
                          <w14:schemeClr w14:val="tx1"/>
                        </w14:solidFill>
                      </w14:textFill>
                    </w:rPr>
                    <w:t>危险废物的存放和转移派专门负责人进行记录登记，其中包括存放和转移的量以及日期等，及时联系有资质的单位进行处置。</w:t>
                  </w:r>
                </w:p>
                <w:p w14:paraId="13030F4D">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.油漆、稀释剂及机油泄漏风险防范措施</w:t>
                  </w:r>
                </w:p>
                <w:p w14:paraId="776ECA72">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color w:val="000000" w:themeColor="text1"/>
                      <w14:textFill>
                        <w14:solidFill>
                          <w14:schemeClr w14:val="tx1"/>
                        </w14:solidFill>
                      </w14:textFill>
                    </w:rPr>
                    <w:t>油漆、稀释剂及机油应密闭存放，远离强氧化剂、酸催化剂、明火、热源，设出入库台账，防止外泄。危险废物暂存区需备有泄漏应急处理设备和合适的收容材料。</w:t>
                  </w:r>
                </w:p>
                <w:p w14:paraId="70597092">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t>生产线工作人员必须接受有关危险化学品的法律、法规、规章和安全知识、专业技术、职业卫生防护和应急知识的培训，并经过考核严格，方可上岗作业。</w:t>
                  </w:r>
                </w:p>
                <w:p w14:paraId="3240864E">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③</w:t>
                  </w:r>
                  <w:r>
                    <w:rPr>
                      <w:color w:val="000000" w:themeColor="text1"/>
                      <w14:textFill>
                        <w14:solidFill>
                          <w14:schemeClr w14:val="tx1"/>
                        </w14:solidFill>
                      </w14:textFill>
                    </w:rPr>
                    <w:t>加强设备的维修、保养，加强容器、管道的安全监控，按规定进行定期检验。</w:t>
                  </w:r>
                </w:p>
                <w:p w14:paraId="706D1C26">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④</w:t>
                  </w:r>
                  <w:r>
                    <w:rPr>
                      <w:color w:val="000000" w:themeColor="text1"/>
                      <w14:textFill>
                        <w14:solidFill>
                          <w14:schemeClr w14:val="tx1"/>
                        </w14:solidFill>
                      </w14:textFill>
                    </w:rPr>
                    <w:t>发生火灾时，迅速撤离人员至安全区，并进行隔离，严格限制出入。切断火源。建议应急处理人员戴自给正压式呼吸器，穿防毒服。</w:t>
                  </w:r>
                </w:p>
                <w:p w14:paraId="24DDD864">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⑤</w:t>
                  </w:r>
                  <w:r>
                    <w:rPr>
                      <w:color w:val="000000" w:themeColor="text1"/>
                      <w14:textFill>
                        <w14:solidFill>
                          <w14:schemeClr w14:val="tx1"/>
                        </w14:solidFill>
                      </w14:textFill>
                    </w:rPr>
                    <w:t>油漆、稀释剂及机油发生泄漏时，尽可能切断泄漏源。用活性炭或其它惰性材料吸收。也可以用不燃性分散剂制成的乳液刷洗，清洗后的废物委托有资质单位处置。</w:t>
                  </w:r>
                </w:p>
                <w:p w14:paraId="6DC32E18">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.水污染风险事故防范措施</w:t>
                  </w:r>
                </w:p>
                <w:p w14:paraId="73CC50A4">
                  <w:pPr>
                    <w:rPr>
                      <w:color w:val="000000" w:themeColor="text1"/>
                      <w14:textFill>
                        <w14:solidFill>
                          <w14:schemeClr w14:val="tx1"/>
                        </w14:solidFill>
                      </w14:textFill>
                    </w:rPr>
                  </w:pPr>
                  <w:r>
                    <w:rPr>
                      <w:color w:val="000000" w:themeColor="text1"/>
                      <w14:textFill>
                        <w14:solidFill>
                          <w14:schemeClr w14:val="tx1"/>
                        </w14:solidFill>
                      </w14:textFill>
                    </w:rPr>
                    <w:t>废水处理系统若发生收集管道、池体破损可导致污水的事故性排放，应采取如下防范措施：</w:t>
                  </w:r>
                </w:p>
                <w:p w14:paraId="003EA296">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color w:val="000000" w:themeColor="text1"/>
                      <w14:textFill>
                        <w14:solidFill>
                          <w14:schemeClr w14:val="tx1"/>
                        </w14:solidFill>
                      </w14:textFill>
                    </w:rPr>
                    <w:t>管网日常维护措施</w:t>
                  </w:r>
                </w:p>
                <w:p w14:paraId="7DF00378">
                  <w:pPr>
                    <w:rPr>
                      <w:color w:val="000000" w:themeColor="text1"/>
                      <w14:textFill>
                        <w14:solidFill>
                          <w14:schemeClr w14:val="tx1"/>
                        </w14:solidFill>
                      </w14:textFill>
                    </w:rPr>
                  </w:pPr>
                  <w:r>
                    <w:rPr>
                      <w:color w:val="000000" w:themeColor="text1"/>
                      <w14:textFill>
                        <w14:solidFill>
                          <w14:schemeClr w14:val="tx1"/>
                        </w14:solidFill>
                      </w14:textFill>
                    </w:rPr>
                    <w:t>重视维护及管理污水管道和排污管道，防止泥沙沉积堵塞而影响管道的过水能力，即在污水干管设计中，要选择适当的充满度和最小设计流速，防止污泥沉积。淤塞应及时疏浚，保证管道通畅，最大限度地收集生活污水。</w:t>
                  </w:r>
                </w:p>
                <w:p w14:paraId="7BC20E86">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t>日常监督与管理</w:t>
                  </w:r>
                </w:p>
                <w:p w14:paraId="5EB4238A">
                  <w:pPr>
                    <w:rPr>
                      <w:color w:val="000000" w:themeColor="text1"/>
                      <w14:textFill>
                        <w14:solidFill>
                          <w14:schemeClr w14:val="tx1"/>
                        </w14:solidFill>
                      </w14:textFill>
                    </w:rPr>
                  </w:pPr>
                  <w:r>
                    <w:rPr>
                      <w:color w:val="000000" w:themeColor="text1"/>
                      <w14:textFill>
                        <w14:solidFill>
                          <w14:schemeClr w14:val="tx1"/>
                        </w14:solidFill>
                      </w14:textFill>
                    </w:rPr>
                    <w:t>本项目废水的出水应采取严格的措施进行控制管理，以防止废水的超标排放及事故性排放。</w:t>
                  </w:r>
                </w:p>
                <w:p w14:paraId="3FC43E86">
                  <w:pPr>
                    <w:rPr>
                      <w:color w:val="000000" w:themeColor="text1"/>
                      <w14:textFill>
                        <w14:solidFill>
                          <w14:schemeClr w14:val="tx1"/>
                        </w14:solidFill>
                      </w14:textFill>
                    </w:rPr>
                  </w:pPr>
                  <w:r>
                    <w:rPr>
                      <w:color w:val="000000" w:themeColor="text1"/>
                      <w14:textFill>
                        <w14:solidFill>
                          <w14:schemeClr w14:val="tx1"/>
                        </w14:solidFill>
                      </w14:textFill>
                    </w:rPr>
                    <w:t>1）化粪池出水不符合排放标准时，及时排查原因，如果出水长期不能达到排放标准，应对处理设施进行升级。</w:t>
                  </w:r>
                </w:p>
                <w:p w14:paraId="669F68E7">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设立</w:t>
                  </w:r>
                  <w:r>
                    <w:rPr>
                      <w:color w:val="000000" w:themeColor="text1"/>
                      <w14:textFill>
                        <w14:solidFill>
                          <w14:schemeClr w14:val="tx1"/>
                        </w14:solidFill>
                      </w14:textFill>
                    </w:rPr>
                    <w:t>专职环保人员进行管理及保养废水处理系统，使之能长期有效地处于正常的运行之中。</w:t>
                  </w:r>
                </w:p>
                <w:p w14:paraId="0C88580A">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.加强教育，强化管理</w:t>
                  </w:r>
                </w:p>
                <w:p w14:paraId="65A61D3F">
                  <w:pPr>
                    <w:rPr>
                      <w:color w:val="000000" w:themeColor="text1"/>
                      <w14:textFill>
                        <w14:solidFill>
                          <w14:schemeClr w14:val="tx1"/>
                        </w14:solidFill>
                      </w14:textFill>
                    </w:rPr>
                  </w:pPr>
                  <w:r>
                    <w:rPr>
                      <w:color w:val="000000" w:themeColor="text1"/>
                      <w14:textFill>
                        <w14:solidFill>
                          <w14:schemeClr w14:val="tx1"/>
                        </w14:solidFill>
                      </w14:textFill>
                    </w:rPr>
                    <w:t>安全生产是企业立厂之本，对企业来说，一定要强化风险意识、加强安全管理，具体要求如下：</w:t>
                  </w:r>
                </w:p>
                <w:p w14:paraId="30BCDAC5">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color w:val="000000" w:themeColor="text1"/>
                      <w14:textFill>
                        <w14:solidFill>
                          <w14:schemeClr w14:val="tx1"/>
                        </w14:solidFill>
                      </w14:textFill>
                    </w:rPr>
                    <w:t>必须将“安全第一，以防为主”作为公司经营的基本原则；</w:t>
                  </w:r>
                </w:p>
                <w:p w14:paraId="58218C16">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t>必须进行广泛系统的培训，使所有操作人员熟悉自己的岗位，树立严谨规范的操作作风，并且在任何紧急状况下都能随时对工艺装置进行控制，并及时、独立、正确地实施相关应急措施。</w:t>
                  </w:r>
                </w:p>
                <w:p w14:paraId="1A07FDA3">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③</w:t>
                  </w:r>
                  <w:r>
                    <w:rPr>
                      <w:color w:val="000000" w:themeColor="text1"/>
                      <w14:textFill>
                        <w14:solidFill>
                          <w14:schemeClr w14:val="tx1"/>
                        </w14:solidFill>
                      </w14:textFill>
                    </w:rPr>
                    <w:t>对公司职工进行消防培训，当事故发生后能在最短时间内集合，在</w:t>
                  </w:r>
                  <w:r>
                    <w:rPr>
                      <w:rFonts w:hint="eastAsia"/>
                      <w:color w:val="000000" w:themeColor="text1"/>
                      <w14:textFill>
                        <w14:solidFill>
                          <w14:schemeClr w14:val="tx1"/>
                        </w14:solidFill>
                      </w14:textFill>
                    </w:rPr>
                    <w:t>佩戴</w:t>
                  </w:r>
                  <w:r>
                    <w:rPr>
                      <w:color w:val="000000" w:themeColor="text1"/>
                      <w14:textFill>
                        <w14:solidFill>
                          <w14:schemeClr w14:val="tx1"/>
                        </w14:solidFill>
                      </w14:textFill>
                    </w:rPr>
                    <w:t>上相应的防护设备后，随同厂内技术人员进入泄漏地点。当情况比较严重时，应在组织自救的同时，通知城市救援中心和消防队，启动外界应急救援计划。</w:t>
                  </w:r>
                </w:p>
                <w:p w14:paraId="3F9A214B">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④</w:t>
                  </w:r>
                  <w:r>
                    <w:rPr>
                      <w:color w:val="000000" w:themeColor="text1"/>
                      <w14:textFill>
                        <w14:solidFill>
                          <w14:schemeClr w14:val="tx1"/>
                        </w14:solidFill>
                      </w14:textFill>
                    </w:rPr>
                    <w:t>加强公司职员的安全意识，严禁在厂区吸烟，防止因明火导致厂区火灾、爆炸。</w:t>
                  </w:r>
                </w:p>
                <w:p w14:paraId="16FC143D">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⑤</w:t>
                  </w:r>
                  <w:r>
                    <w:rPr>
                      <w:color w:val="000000" w:themeColor="text1"/>
                      <w14:textFill>
                        <w14:solidFill>
                          <w14:schemeClr w14:val="tx1"/>
                        </w14:solidFill>
                      </w14:textFill>
                    </w:rPr>
                    <w:t>设立安全环保岗位，负责全厂的安全管理，应聘请具有丰富经验的人才担当负责人，车间和主要装置设置专职或兼职安全员，兼职安全员原则上由工艺员担任。</w:t>
                  </w:r>
                </w:p>
                <w:p w14:paraId="5FA12167">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⑥</w:t>
                  </w:r>
                  <w:r>
                    <w:rPr>
                      <w:color w:val="000000" w:themeColor="text1"/>
                      <w14:textFill>
                        <w14:solidFill>
                          <w14:schemeClr w14:val="tx1"/>
                        </w14:solidFill>
                      </w14:textFill>
                    </w:rPr>
                    <w:t>按照《</w:t>
                  </w:r>
                  <w:r>
                    <w:rPr>
                      <w:rFonts w:hint="eastAsia"/>
                      <w:color w:val="000000" w:themeColor="text1"/>
                      <w14:textFill>
                        <w14:solidFill>
                          <w14:schemeClr w14:val="tx1"/>
                        </w14:solidFill>
                      </w14:textFill>
                    </w:rPr>
                    <w:t>中华人民共和国劳动法</w:t>
                  </w:r>
                  <w:r>
                    <w:rPr>
                      <w:color w:val="000000" w:themeColor="text1"/>
                      <w14:textFill>
                        <w14:solidFill>
                          <w14:schemeClr w14:val="tx1"/>
                        </w14:solidFill>
                      </w14:textFill>
                    </w:rPr>
                    <w:t>》有关规定，为职工提供劳动安全卫生条件和劳动防护用品。</w:t>
                  </w:r>
                </w:p>
                <w:p w14:paraId="438B63EE">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.应急措施</w:t>
                  </w:r>
                </w:p>
                <w:p w14:paraId="5585706F">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color w:val="000000" w:themeColor="text1"/>
                      <w14:textFill>
                        <w14:solidFill>
                          <w14:schemeClr w14:val="tx1"/>
                        </w14:solidFill>
                      </w14:textFill>
                    </w:rPr>
                    <w:t>突发环境事件现场应急措施</w:t>
                  </w:r>
                </w:p>
                <w:p w14:paraId="7B373D65">
                  <w:pPr>
                    <w:rPr>
                      <w:color w:val="000000" w:themeColor="text1"/>
                      <w14:textFill>
                        <w14:solidFill>
                          <w14:schemeClr w14:val="tx1"/>
                        </w14:solidFill>
                      </w14:textFill>
                    </w:rPr>
                  </w:pPr>
                  <w:r>
                    <w:rPr>
                      <w:color w:val="000000" w:themeColor="text1"/>
                      <w14:textFill>
                        <w14:solidFill>
                          <w14:schemeClr w14:val="tx1"/>
                        </w14:solidFill>
                      </w14:textFill>
                    </w:rPr>
                    <w:t>生产区线路起火事故发生时，要迅速采取防止引火爆炸的措施，同时还要采取措施尽可能减少对附近居民的影响以及防止向周围环境扩散。</w:t>
                  </w:r>
                </w:p>
                <w:p w14:paraId="113B3B30">
                  <w:pPr>
                    <w:rPr>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t>现场人员的撤离</w:t>
                  </w:r>
                </w:p>
                <w:p w14:paraId="285A5EB4">
                  <w:pPr>
                    <w:rPr>
                      <w:color w:val="000000" w:themeColor="text1"/>
                      <w14:textFill>
                        <w14:solidFill>
                          <w14:schemeClr w14:val="tx1"/>
                        </w14:solidFill>
                      </w14:textFill>
                    </w:rPr>
                  </w:pPr>
                  <w:r>
                    <w:rPr>
                      <w:color w:val="000000" w:themeColor="text1"/>
                      <w14:textFill>
                        <w14:solidFill>
                          <w14:schemeClr w14:val="tx1"/>
                        </w14:solidFill>
                      </w14:textFill>
                    </w:rPr>
                    <w:t>在发生重大火灾爆炸，严重威胁现场人员生命安全条件下，事故现场最高指挥有权做出与事故处理无关人员的撤离，或全部人员撤离的命令。</w:t>
                  </w:r>
                </w:p>
                <w:p w14:paraId="2DEFF70F">
                  <w:pPr>
                    <w:rPr>
                      <w:color w:val="000000" w:themeColor="text1"/>
                      <w14:textFill>
                        <w14:solidFill>
                          <w14:schemeClr w14:val="tx1"/>
                        </w14:solidFill>
                      </w14:textFill>
                    </w:rPr>
                  </w:pPr>
                  <w:r>
                    <w:rPr>
                      <w:color w:val="000000" w:themeColor="text1"/>
                      <w14:textFill>
                        <w14:solidFill>
                          <w14:schemeClr w14:val="tx1"/>
                        </w14:solidFill>
                      </w14:textFill>
                    </w:rPr>
                    <w:t>指定车间出口作为紧急集合地点，在发生严重的火灾爆炸、毒物</w:t>
                  </w:r>
                  <w:r>
                    <w:rPr>
                      <w:rFonts w:hint="eastAsia"/>
                      <w:color w:val="000000" w:themeColor="text1"/>
                      <w14:textFill>
                        <w14:solidFill>
                          <w14:schemeClr w14:val="tx1"/>
                        </w14:solidFill>
                      </w14:textFill>
                    </w:rPr>
                    <w:t>泄漏事故</w:t>
                  </w:r>
                  <w:r>
                    <w:rPr>
                      <w:color w:val="000000" w:themeColor="text1"/>
                      <w14:textFill>
                        <w14:solidFill>
                          <w14:schemeClr w14:val="tx1"/>
                        </w14:solidFill>
                      </w14:textFill>
                    </w:rPr>
                    <w:t>时，应依据当时的风向选择确定上风向的一侧作为紧急集合地点，撤离人员先在该处集合登记，等待进一步的指令，撤离的信号为公司警报系统发出的报警声：持续时间为30秒（预先通知的系统测试根据通知要求进行响应）。</w:t>
                  </w:r>
                </w:p>
                <w:p w14:paraId="69E5C1DB">
                  <w:pPr>
                    <w:rPr>
                      <w:color w:val="000000" w:themeColor="text1"/>
                      <w14:textFill>
                        <w14:solidFill>
                          <w14:schemeClr w14:val="tx1"/>
                        </w14:solidFill>
                      </w14:textFill>
                    </w:rPr>
                  </w:pPr>
                  <w:r>
                    <w:rPr>
                      <w:color w:val="000000" w:themeColor="text1"/>
                      <w14:textFill>
                        <w14:solidFill>
                          <w14:schemeClr w14:val="tx1"/>
                        </w14:solidFill>
                      </w14:textFill>
                    </w:rPr>
                    <w:t>当经过积极的灾害急救处理后，灾情仍无法控制，由事故应急指挥小组下达撤离命令后，装置现场所有人员按自己所处位置，选择特定路线撤离，并引导现场其他人员迅速撤离现场。对可能威胁到厂区外居民安全时，指挥部应立即和地方有关部门联系，并应迅速组织有关人员协助友邻单位、厂区外过往行人在指挥部指挥协调下，指挥引导居民迅速撤离到安全地点。</w:t>
                  </w:r>
                </w:p>
              </w:tc>
            </w:tr>
          </w:tbl>
          <w:p w14:paraId="068F1BE0">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七、环境管理</w:t>
            </w:r>
          </w:p>
          <w:p w14:paraId="3B2D1F2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建设项目环境保护管理是指工程在</w:t>
            </w:r>
            <w:r>
              <w:rPr>
                <w:rFonts w:hint="eastAsia"/>
                <w:color w:val="000000" w:themeColor="text1"/>
                <w:sz w:val="24"/>
                <w14:textFill>
                  <w14:solidFill>
                    <w14:schemeClr w14:val="tx1"/>
                  </w14:solidFill>
                </w14:textFill>
              </w:rPr>
              <w:t>运营</w:t>
            </w:r>
            <w:r>
              <w:rPr>
                <w:color w:val="000000" w:themeColor="text1"/>
                <w:sz w:val="24"/>
                <w14:textFill>
                  <w14:solidFill>
                    <w14:schemeClr w14:val="tx1"/>
                  </w14:solidFill>
                </w14:textFill>
              </w:rPr>
              <w:t>期执行和遵守国家、省、市有关环境保护法律、法规、政策和标准，接受地方生态环境主管部门的环境监督，调整和制定环境保护规划和目标，把不利影响减免到最低限度，加强项目环境管理，及时调整工程运行方式和环境保护措施，最终达到保护环境的目的，取得更好的综合环境效益。</w:t>
            </w:r>
          </w:p>
          <w:p w14:paraId="4D117057">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（1）环境管理机构与人员</w:t>
            </w:r>
          </w:p>
          <w:p w14:paraId="310F8A87">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运营期环境管理主体为</w:t>
            </w:r>
            <w:r>
              <w:rPr>
                <w:rFonts w:hint="eastAsia"/>
                <w:color w:val="000000" w:themeColor="text1"/>
                <w:sz w:val="24"/>
                <w14:textFill>
                  <w14:solidFill>
                    <w14:schemeClr w14:val="tx1"/>
                  </w14:solidFill>
                </w14:textFill>
              </w:rPr>
              <w:t>高安钜鼎运动器材有限公司</w:t>
            </w:r>
            <w:r>
              <w:rPr>
                <w:color w:val="000000" w:themeColor="text1"/>
                <w:sz w:val="24"/>
                <w14:textFill>
                  <w14:solidFill>
                    <w14:schemeClr w14:val="tx1"/>
                  </w14:solidFill>
                </w14:textFill>
              </w:rPr>
              <w:t>，负责具体的环境管理和监测，环境监测可委托有资质的监测单位进行。</w:t>
            </w:r>
          </w:p>
          <w:p w14:paraId="3C423D7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（2）环境管理机构职责</w:t>
            </w:r>
          </w:p>
          <w:p w14:paraId="543D426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环境管理机构负责项目运营期的环境管理与环境监测工作，主要职责：</w:t>
            </w:r>
          </w:p>
          <w:p w14:paraId="4D28E4B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1）编制、提出该项目</w:t>
            </w:r>
            <w:r>
              <w:rPr>
                <w:rFonts w:hint="eastAsia"/>
                <w:color w:val="000000" w:themeColor="text1"/>
                <w:sz w:val="24"/>
                <w14:textFill>
                  <w14:solidFill>
                    <w14:schemeClr w14:val="tx1"/>
                  </w14:solidFill>
                </w14:textFill>
              </w:rPr>
              <w:t>运营</w:t>
            </w:r>
            <w:r>
              <w:rPr>
                <w:color w:val="000000" w:themeColor="text1"/>
                <w:sz w:val="24"/>
                <w14:textFill>
                  <w14:solidFill>
                    <w14:schemeClr w14:val="tx1"/>
                  </w14:solidFill>
                </w14:textFill>
              </w:rPr>
              <w:t>期的短期环境保护计划及长远环境保护规划。</w:t>
            </w:r>
          </w:p>
          <w:p w14:paraId="34DA6FDC">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2）贯彻落实国家和地方的环境保护法律、法规、政策和标准，直接接受生态环境主管部门的监督、领导，配合生态环境主管部门</w:t>
            </w:r>
            <w:r>
              <w:rPr>
                <w:rFonts w:hint="eastAsia"/>
                <w:color w:val="000000" w:themeColor="text1"/>
                <w:sz w:val="24"/>
                <w14:textFill>
                  <w14:solidFill>
                    <w14:schemeClr w14:val="tx1"/>
                  </w14:solidFill>
                </w14:textFill>
              </w:rPr>
              <w:t>做好</w:t>
            </w:r>
            <w:r>
              <w:rPr>
                <w:color w:val="000000" w:themeColor="text1"/>
                <w:sz w:val="24"/>
                <w14:textFill>
                  <w14:solidFill>
                    <w14:schemeClr w14:val="tx1"/>
                  </w14:solidFill>
                </w14:textFill>
              </w:rPr>
              <w:t>环保工作。</w:t>
            </w:r>
          </w:p>
          <w:p w14:paraId="3B0213A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3）领导并组织环境监测工作，制定和实施监测方案，定期向主管部门及生态环境主管部门上报。</w:t>
            </w:r>
          </w:p>
          <w:p w14:paraId="59B9BBF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监督项目各排污口污染物排放情况，按《环境保护图形标志-排放口（源）》（GB15562.1-1995）的图形，在各气、水、声排污口（源）挂牌标识，做到各排污口（源）的环保标志明显，便于企业管理和公众监督，确保污染物达到国家排放标准。</w:t>
            </w:r>
          </w:p>
          <w:p w14:paraId="456E11E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（3）项目运营期的环境保护管理</w:t>
            </w:r>
          </w:p>
          <w:p w14:paraId="2AB1DD2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1）根据国家环保政策、标准及环境监测要求，制定该项目运营期环保管理规章制度、各种污染物排放控制指标；</w:t>
            </w:r>
          </w:p>
          <w:p w14:paraId="047EF6C5">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2）负责该项目内所有环保设施的日常运行管理，保障各环保设施的正常运行，并对环保设施的改进提出积极的建议；</w:t>
            </w:r>
          </w:p>
          <w:p w14:paraId="15CD9AD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3）负责该项目运营期环境监测工作，及时掌握该项目污染状况，整理监测数据，建立污染源档案；</w:t>
            </w:r>
          </w:p>
          <w:p w14:paraId="0BBAEC1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4）负责对本单位职工和周边居民进行环保宣传工作。</w:t>
            </w:r>
          </w:p>
          <w:p w14:paraId="1CFF5BF0">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八、排污口规范化要求</w:t>
            </w:r>
          </w:p>
          <w:p w14:paraId="0B76C129">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国家标准《环境保护图形标志-排放口（源）》和生态环境部《排污口规范化整治要求（试行）》的技术要求，企业所有排放口，包括水、气、声、固体废物，必须按照“便于计量监测、便于日常现场监督检查”的原则和规范化要求，设置与之相适应的环境保护图形标志牌，绘制企业排污口分布图，同时对污水排放口安装流量计，对治理设施安装运行监控装置。排污口的规范化要符合生态环境部门的有关要求。</w:t>
            </w:r>
          </w:p>
          <w:p w14:paraId="65DCF37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（1）排放口整治要求</w:t>
            </w:r>
          </w:p>
          <w:p w14:paraId="6876326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水排污口、废气排气筒应设置便于采样、监测，并符合《污染源监测技术规范》要求的采样口和采样平台，无法满足规范要求的应由环境监测部门确认采样口位置。对无组织排放的有毒有害气体，应加装引风装置，进行收集、处理，并设置采样点。固体废物贮存、堆放场整治要求。一般固体废物应设置专用贮存、堆放场地。有毒有害固体废物等废物应设置有防扬散、防流失、防渗漏等防治措施的专用堆放场所。在厂界噪声敏感处按《污染源监测技术规范》设置该噪声源的监测点。具体要求如下：</w:t>
            </w:r>
          </w:p>
          <w:p w14:paraId="1979003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1）废水排放口</w:t>
            </w:r>
          </w:p>
          <w:p w14:paraId="5209696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无生产废水产生，生活污水经处理后不外排，无需设置废水排放口。</w:t>
            </w:r>
          </w:p>
          <w:p w14:paraId="4E1CD20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2）废气排放口</w:t>
            </w:r>
          </w:p>
          <w:p w14:paraId="42B2594B">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废气排放口必须符合规定的高度和按《污染源监测技术规范》便于采样、监测的要求，设置直径不小于75mm的采样口。如无法满足要求的，其采样口与环境监测部门共同确认。</w:t>
            </w:r>
          </w:p>
          <w:p w14:paraId="4F186AA9">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3）固定噪声源</w:t>
            </w:r>
          </w:p>
          <w:p w14:paraId="76C0BC1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按规定对固定噪声源进行治理，并在边界噪声敏感点，且对外界影响最大处设置标志牌。</w:t>
            </w:r>
          </w:p>
          <w:p w14:paraId="5AFDCC39">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4）固体废物储存场</w:t>
            </w:r>
          </w:p>
          <w:p w14:paraId="5590945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固体废物应采取防止二次扬尘措施，废物的堆存场必须设置专用堆放场地，有防扬散、防流失、防渗漏等措施。</w:t>
            </w:r>
          </w:p>
          <w:p w14:paraId="26972A6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（2）排放口立标、建档要求</w:t>
            </w:r>
          </w:p>
          <w:p w14:paraId="104209E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1）排放口立标要求</w:t>
            </w:r>
          </w:p>
          <w:p w14:paraId="5083D3DD">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污染物排放口（源）及固体废物贮存、堆放场必须按照国家标准《环境保护图形标志-排放口（源）》（GB15562.1-1995）的规定设置与之相适应的环境保护图形标志牌。环境保护图形标志牌设置位置应距污染物排放口（源）、固体废物贮存（堆放）场或采样点较近且醒目处，并能长久保留。一般污染物排放口（源）、固体废物贮存（堆放）场设置提示性环境保护图形标志牌；危险废物贮存（堆放）场应设置警告性环境保护图形标志牌。</w:t>
            </w:r>
          </w:p>
          <w:p w14:paraId="6C63AE6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2）排放口建档要求</w:t>
            </w:r>
          </w:p>
          <w:p w14:paraId="4726C5E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建设单位应使用生态环境部门</w:t>
            </w:r>
            <w:r>
              <w:rPr>
                <w:rFonts w:hint="eastAsia"/>
                <w:color w:val="000000" w:themeColor="text1"/>
                <w:sz w:val="24"/>
                <w14:textFill>
                  <w14:solidFill>
                    <w14:schemeClr w14:val="tx1"/>
                  </w14:solidFill>
                </w14:textFill>
              </w:rPr>
              <w:t>签发</w:t>
            </w:r>
            <w:r>
              <w:rPr>
                <w:color w:val="000000" w:themeColor="text1"/>
                <w:sz w:val="24"/>
                <w14:textFill>
                  <w14:solidFill>
                    <w14:schemeClr w14:val="tx1"/>
                  </w14:solidFill>
                </w14:textFill>
              </w:rPr>
              <w:t>的《</w:t>
            </w:r>
            <w:r>
              <w:rPr>
                <w:rFonts w:hint="eastAsia"/>
                <w:color w:val="000000" w:themeColor="text1"/>
                <w:sz w:val="24"/>
                <w14:textFill>
                  <w14:solidFill>
                    <w14:schemeClr w14:val="tx1"/>
                  </w14:solidFill>
                </w14:textFill>
              </w:rPr>
              <w:t>中华人民共和国规范化排污口标志登记证</w:t>
            </w:r>
            <w:r>
              <w:rPr>
                <w:color w:val="000000" w:themeColor="text1"/>
                <w:sz w:val="24"/>
                <w14:textFill>
                  <w14:solidFill>
                    <w14:schemeClr w14:val="tx1"/>
                  </w14:solidFill>
                </w14:textFill>
              </w:rPr>
              <w:t>》并按要求认真填写。登记证与标志牌配套使用，根据登记证的内容建立排放口管理档案，包括排污单位名称、排污口性质及编号、排污口地理位置、排放主要污染物种类、数量、浓度、排污去向、立标情况、处理设施运行情况及整改意见等。</w:t>
            </w:r>
          </w:p>
          <w:p w14:paraId="35837ED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气、声、固排污口（源）挂牌标识见</w:t>
            </w:r>
            <w:r>
              <w:rPr>
                <w:rFonts w:hint="eastAsia"/>
                <w:color w:val="000000" w:themeColor="text1"/>
                <w:sz w:val="24"/>
                <w14:textFill>
                  <w14:solidFill>
                    <w14:schemeClr w14:val="tx1"/>
                  </w14:solidFill>
                </w14:textFill>
              </w:rPr>
              <w:t>下</w:t>
            </w:r>
            <w:r>
              <w:rPr>
                <w:color w:val="000000" w:themeColor="text1"/>
                <w:sz w:val="24"/>
                <w14:textFill>
                  <w14:solidFill>
                    <w14:schemeClr w14:val="tx1"/>
                  </w14:solidFill>
                </w14:textFill>
              </w:rPr>
              <w:t>表。</w:t>
            </w:r>
          </w:p>
          <w:p w14:paraId="10A60056">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表4-2</w:t>
            </w:r>
            <w:r>
              <w:rPr>
                <w:rFonts w:hint="eastAsia"/>
                <w:b/>
                <w:bCs/>
                <w:color w:val="000000" w:themeColor="text1"/>
                <w14:textFill>
                  <w14:solidFill>
                    <w14:schemeClr w14:val="tx1"/>
                  </w14:solidFill>
                </w14:textFill>
              </w:rPr>
              <w:t>5</w:t>
            </w:r>
            <w:r>
              <w:rPr>
                <w:b/>
                <w:bCs/>
                <w:color w:val="000000" w:themeColor="text1"/>
                <w14:textFill>
                  <w14:solidFill>
                    <w14:schemeClr w14:val="tx1"/>
                  </w14:solidFill>
                </w14:textFill>
              </w:rPr>
              <w:t xml:space="preserve">  环境保护图形符号一览表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605"/>
              <w:gridCol w:w="2037"/>
              <w:gridCol w:w="1536"/>
              <w:gridCol w:w="3402"/>
            </w:tblGrid>
            <w:tr w14:paraId="38E4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4B678AE1">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863" w:type="pct"/>
                  <w:tcBorders>
                    <w:top w:val="single" w:color="auto" w:sz="4" w:space="0"/>
                    <w:left w:val="single" w:color="auto" w:sz="4" w:space="0"/>
                    <w:bottom w:val="single" w:color="auto" w:sz="4" w:space="0"/>
                    <w:right w:val="single" w:color="auto" w:sz="4" w:space="0"/>
                  </w:tcBorders>
                  <w:vAlign w:val="center"/>
                </w:tcPr>
                <w:p w14:paraId="5E47B6F3">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提示图形符号</w:t>
                  </w:r>
                </w:p>
              </w:tc>
              <w:tc>
                <w:tcPr>
                  <w:tcW w:w="1095" w:type="pct"/>
                  <w:tcBorders>
                    <w:top w:val="single" w:color="auto" w:sz="4" w:space="0"/>
                    <w:left w:val="single" w:color="auto" w:sz="4" w:space="0"/>
                    <w:bottom w:val="single" w:color="auto" w:sz="4" w:space="0"/>
                    <w:right w:val="single" w:color="auto" w:sz="4" w:space="0"/>
                  </w:tcBorders>
                  <w:vAlign w:val="center"/>
                </w:tcPr>
                <w:p w14:paraId="0042609F">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警告图形符号</w:t>
                  </w:r>
                </w:p>
              </w:tc>
              <w:tc>
                <w:tcPr>
                  <w:tcW w:w="826" w:type="pct"/>
                  <w:tcBorders>
                    <w:top w:val="single" w:color="auto" w:sz="4" w:space="0"/>
                    <w:left w:val="single" w:color="auto" w:sz="4" w:space="0"/>
                    <w:bottom w:val="single" w:color="auto" w:sz="4" w:space="0"/>
                    <w:right w:val="single" w:color="auto" w:sz="4" w:space="0"/>
                  </w:tcBorders>
                  <w:vAlign w:val="center"/>
                </w:tcPr>
                <w:p w14:paraId="0D816D29">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名称</w:t>
                  </w:r>
                </w:p>
              </w:tc>
              <w:tc>
                <w:tcPr>
                  <w:tcW w:w="1829" w:type="pct"/>
                  <w:tcBorders>
                    <w:top w:val="single" w:color="auto" w:sz="4" w:space="0"/>
                    <w:left w:val="single" w:color="auto" w:sz="4" w:space="0"/>
                    <w:bottom w:val="single" w:color="auto" w:sz="4" w:space="0"/>
                    <w:right w:val="single" w:color="auto" w:sz="4" w:space="0"/>
                  </w:tcBorders>
                  <w:vAlign w:val="center"/>
                </w:tcPr>
                <w:p w14:paraId="3945769E">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功能</w:t>
                  </w:r>
                </w:p>
              </w:tc>
            </w:tr>
            <w:tr w14:paraId="6A4C9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2C56D708">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863" w:type="pct"/>
                  <w:tcBorders>
                    <w:top w:val="single" w:color="auto" w:sz="4" w:space="0"/>
                    <w:left w:val="single" w:color="auto" w:sz="4" w:space="0"/>
                    <w:bottom w:val="single" w:color="auto" w:sz="4" w:space="0"/>
                    <w:right w:val="single" w:color="auto" w:sz="4" w:space="0"/>
                  </w:tcBorders>
                  <w:vAlign w:val="center"/>
                </w:tcPr>
                <w:p w14:paraId="1A842127">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847725" cy="857250"/>
                        <wp:effectExtent l="0" t="0" r="9525" b="0"/>
                        <wp:docPr id="198059294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92944" name="图片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847725" cy="857250"/>
                                </a:xfrm>
                                <a:prstGeom prst="rect">
                                  <a:avLst/>
                                </a:prstGeom>
                                <a:noFill/>
                                <a:ln>
                                  <a:noFill/>
                                </a:ln>
                              </pic:spPr>
                            </pic:pic>
                          </a:graphicData>
                        </a:graphic>
                      </wp:inline>
                    </w:drawing>
                  </w:r>
                </w:p>
              </w:tc>
              <w:tc>
                <w:tcPr>
                  <w:tcW w:w="1095" w:type="pct"/>
                  <w:tcBorders>
                    <w:top w:val="single" w:color="auto" w:sz="4" w:space="0"/>
                    <w:left w:val="single" w:color="auto" w:sz="4" w:space="0"/>
                    <w:bottom w:val="single" w:color="auto" w:sz="4" w:space="0"/>
                    <w:right w:val="single" w:color="auto" w:sz="4" w:space="0"/>
                  </w:tcBorders>
                  <w:vAlign w:val="center"/>
                </w:tcPr>
                <w:p w14:paraId="59F8A770">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885825" cy="885825"/>
                        <wp:effectExtent l="0" t="0" r="9525" b="9525"/>
                        <wp:docPr id="16087586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58616" name="图片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885825" cy="885825"/>
                                </a:xfrm>
                                <a:prstGeom prst="rect">
                                  <a:avLst/>
                                </a:prstGeom>
                                <a:noFill/>
                                <a:ln>
                                  <a:noFill/>
                                </a:ln>
                              </pic:spPr>
                            </pic:pic>
                          </a:graphicData>
                        </a:graphic>
                      </wp:inline>
                    </w:drawing>
                  </w:r>
                </w:p>
              </w:tc>
              <w:tc>
                <w:tcPr>
                  <w:tcW w:w="826" w:type="pct"/>
                  <w:tcBorders>
                    <w:top w:val="single" w:color="auto" w:sz="4" w:space="0"/>
                    <w:left w:val="single" w:color="auto" w:sz="4" w:space="0"/>
                    <w:bottom w:val="single" w:color="auto" w:sz="4" w:space="0"/>
                    <w:right w:val="single" w:color="auto" w:sz="4" w:space="0"/>
                  </w:tcBorders>
                  <w:vAlign w:val="center"/>
                </w:tcPr>
                <w:p w14:paraId="333C5E7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废气排放口</w:t>
                  </w:r>
                </w:p>
              </w:tc>
              <w:tc>
                <w:tcPr>
                  <w:tcW w:w="1829" w:type="pct"/>
                  <w:tcBorders>
                    <w:top w:val="single" w:color="auto" w:sz="4" w:space="0"/>
                    <w:left w:val="single" w:color="auto" w:sz="4" w:space="0"/>
                    <w:bottom w:val="single" w:color="auto" w:sz="4" w:space="0"/>
                    <w:right w:val="single" w:color="auto" w:sz="4" w:space="0"/>
                  </w:tcBorders>
                  <w:vAlign w:val="center"/>
                </w:tcPr>
                <w:p w14:paraId="2E00A87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表示废气向大气环境排放</w:t>
                  </w:r>
                </w:p>
              </w:tc>
            </w:tr>
            <w:tr w14:paraId="5756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16900511">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863" w:type="pct"/>
                  <w:tcBorders>
                    <w:top w:val="single" w:color="auto" w:sz="4" w:space="0"/>
                    <w:left w:val="single" w:color="auto" w:sz="4" w:space="0"/>
                    <w:bottom w:val="single" w:color="auto" w:sz="4" w:space="0"/>
                    <w:right w:val="single" w:color="auto" w:sz="4" w:space="0"/>
                  </w:tcBorders>
                  <w:vAlign w:val="center"/>
                </w:tcPr>
                <w:p w14:paraId="2E1F0C4F">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847725" cy="857250"/>
                        <wp:effectExtent l="0" t="0" r="9525" b="0"/>
                        <wp:docPr id="18404779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7798" name="图片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847725" cy="857250"/>
                                </a:xfrm>
                                <a:prstGeom prst="rect">
                                  <a:avLst/>
                                </a:prstGeom>
                                <a:noFill/>
                                <a:ln>
                                  <a:noFill/>
                                </a:ln>
                              </pic:spPr>
                            </pic:pic>
                          </a:graphicData>
                        </a:graphic>
                      </wp:inline>
                    </w:drawing>
                  </w:r>
                </w:p>
              </w:tc>
              <w:tc>
                <w:tcPr>
                  <w:tcW w:w="1095" w:type="pct"/>
                  <w:tcBorders>
                    <w:top w:val="single" w:color="auto" w:sz="4" w:space="0"/>
                    <w:left w:val="single" w:color="auto" w:sz="4" w:space="0"/>
                    <w:bottom w:val="single" w:color="auto" w:sz="4" w:space="0"/>
                    <w:right w:val="single" w:color="auto" w:sz="4" w:space="0"/>
                  </w:tcBorders>
                  <w:vAlign w:val="center"/>
                </w:tcPr>
                <w:p w14:paraId="7827EFD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914400" cy="857250"/>
                        <wp:effectExtent l="0" t="0" r="0" b="0"/>
                        <wp:docPr id="158478998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789985" name="图片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914400" cy="857250"/>
                                </a:xfrm>
                                <a:prstGeom prst="rect">
                                  <a:avLst/>
                                </a:prstGeom>
                                <a:noFill/>
                                <a:ln>
                                  <a:noFill/>
                                </a:ln>
                              </pic:spPr>
                            </pic:pic>
                          </a:graphicData>
                        </a:graphic>
                      </wp:inline>
                    </w:drawing>
                  </w:r>
                </w:p>
              </w:tc>
              <w:tc>
                <w:tcPr>
                  <w:tcW w:w="826" w:type="pct"/>
                  <w:tcBorders>
                    <w:top w:val="single" w:color="auto" w:sz="4" w:space="0"/>
                    <w:left w:val="single" w:color="auto" w:sz="4" w:space="0"/>
                    <w:bottom w:val="single" w:color="auto" w:sz="4" w:space="0"/>
                    <w:right w:val="single" w:color="auto" w:sz="4" w:space="0"/>
                  </w:tcBorders>
                  <w:vAlign w:val="center"/>
                </w:tcPr>
                <w:p w14:paraId="2F28ED5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一般固体废物</w:t>
                  </w:r>
                </w:p>
              </w:tc>
              <w:tc>
                <w:tcPr>
                  <w:tcW w:w="1829" w:type="pct"/>
                  <w:tcBorders>
                    <w:top w:val="single" w:color="auto" w:sz="4" w:space="0"/>
                    <w:left w:val="single" w:color="auto" w:sz="4" w:space="0"/>
                    <w:bottom w:val="single" w:color="auto" w:sz="4" w:space="0"/>
                    <w:right w:val="single" w:color="auto" w:sz="4" w:space="0"/>
                  </w:tcBorders>
                  <w:vAlign w:val="center"/>
                </w:tcPr>
                <w:p w14:paraId="5025DB2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表示一般固体废物贮存、处置场</w:t>
                  </w:r>
                </w:p>
              </w:tc>
            </w:tr>
            <w:tr w14:paraId="71C52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1FF644EE">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863" w:type="pct"/>
                  <w:tcBorders>
                    <w:top w:val="single" w:color="auto" w:sz="4" w:space="0"/>
                    <w:left w:val="single" w:color="auto" w:sz="4" w:space="0"/>
                    <w:bottom w:val="single" w:color="auto" w:sz="4" w:space="0"/>
                    <w:right w:val="single" w:color="auto" w:sz="4" w:space="0"/>
                  </w:tcBorders>
                  <w:vAlign w:val="center"/>
                </w:tcPr>
                <w:p w14:paraId="45BF1FCC">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847725" cy="847725"/>
                        <wp:effectExtent l="0" t="0" r="9525" b="9525"/>
                        <wp:docPr id="5800924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092419" name="图片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847725" cy="847725"/>
                                </a:xfrm>
                                <a:prstGeom prst="rect">
                                  <a:avLst/>
                                </a:prstGeom>
                                <a:noFill/>
                                <a:ln>
                                  <a:noFill/>
                                </a:ln>
                              </pic:spPr>
                            </pic:pic>
                          </a:graphicData>
                        </a:graphic>
                      </wp:inline>
                    </w:drawing>
                  </w:r>
                </w:p>
              </w:tc>
              <w:tc>
                <w:tcPr>
                  <w:tcW w:w="1095" w:type="pct"/>
                  <w:tcBorders>
                    <w:top w:val="single" w:color="auto" w:sz="4" w:space="0"/>
                    <w:left w:val="single" w:color="auto" w:sz="4" w:space="0"/>
                    <w:bottom w:val="single" w:color="auto" w:sz="4" w:space="0"/>
                    <w:right w:val="single" w:color="auto" w:sz="4" w:space="0"/>
                  </w:tcBorders>
                  <w:vAlign w:val="center"/>
                </w:tcPr>
                <w:p w14:paraId="5033BDEF">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952500" cy="847725"/>
                        <wp:effectExtent l="0" t="0" r="0" b="9525"/>
                        <wp:docPr id="1942806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80615" name="图片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952500" cy="847725"/>
                                </a:xfrm>
                                <a:prstGeom prst="rect">
                                  <a:avLst/>
                                </a:prstGeom>
                                <a:noFill/>
                                <a:ln>
                                  <a:noFill/>
                                </a:ln>
                              </pic:spPr>
                            </pic:pic>
                          </a:graphicData>
                        </a:graphic>
                      </wp:inline>
                    </w:drawing>
                  </w:r>
                </w:p>
              </w:tc>
              <w:tc>
                <w:tcPr>
                  <w:tcW w:w="826" w:type="pct"/>
                  <w:tcBorders>
                    <w:top w:val="single" w:color="auto" w:sz="4" w:space="0"/>
                    <w:left w:val="single" w:color="auto" w:sz="4" w:space="0"/>
                    <w:bottom w:val="single" w:color="auto" w:sz="4" w:space="0"/>
                    <w:right w:val="single" w:color="auto" w:sz="4" w:space="0"/>
                  </w:tcBorders>
                  <w:vAlign w:val="center"/>
                </w:tcPr>
                <w:p w14:paraId="6C0A5815">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噪声排放源</w:t>
                  </w:r>
                </w:p>
              </w:tc>
              <w:tc>
                <w:tcPr>
                  <w:tcW w:w="1829" w:type="pct"/>
                  <w:tcBorders>
                    <w:top w:val="single" w:color="auto" w:sz="4" w:space="0"/>
                    <w:left w:val="single" w:color="auto" w:sz="4" w:space="0"/>
                    <w:bottom w:val="single" w:color="auto" w:sz="4" w:space="0"/>
                    <w:right w:val="single" w:color="auto" w:sz="4" w:space="0"/>
                  </w:tcBorders>
                  <w:vAlign w:val="center"/>
                </w:tcPr>
                <w:p w14:paraId="63E20ACC">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表示噪声向外环境排放</w:t>
                  </w:r>
                </w:p>
              </w:tc>
            </w:tr>
            <w:tr w14:paraId="5BB88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337509C1">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863" w:type="pct"/>
                  <w:tcBorders>
                    <w:top w:val="single" w:color="auto" w:sz="4" w:space="0"/>
                    <w:left w:val="single" w:color="auto" w:sz="4" w:space="0"/>
                    <w:bottom w:val="single" w:color="auto" w:sz="4" w:space="0"/>
                    <w:right w:val="single" w:color="auto" w:sz="4" w:space="0"/>
                  </w:tcBorders>
                  <w:vAlign w:val="center"/>
                </w:tcPr>
                <w:p w14:paraId="2C040F2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95" w:type="pct"/>
                  <w:tcBorders>
                    <w:top w:val="single" w:color="auto" w:sz="4" w:space="0"/>
                    <w:left w:val="single" w:color="auto" w:sz="4" w:space="0"/>
                    <w:bottom w:val="single" w:color="auto" w:sz="4" w:space="0"/>
                    <w:right w:val="single" w:color="auto" w:sz="4" w:space="0"/>
                  </w:tcBorders>
                  <w:vAlign w:val="center"/>
                </w:tcPr>
                <w:p w14:paraId="32C5FD12">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069340" cy="942975"/>
                        <wp:effectExtent l="0" t="0" r="0" b="0"/>
                        <wp:docPr id="14345856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85686" name="图片 1"/>
                                <pic:cNvPicPr>
                                  <a:picLocks noChangeAspect="1"/>
                                </pic:cNvPicPr>
                              </pic:nvPicPr>
                              <pic:blipFill>
                                <a:blip r:embed="rId29"/>
                                <a:stretch>
                                  <a:fillRect/>
                                </a:stretch>
                              </pic:blipFill>
                              <pic:spPr>
                                <a:xfrm>
                                  <a:off x="0" y="0"/>
                                  <a:ext cx="1086820" cy="958035"/>
                                </a:xfrm>
                                <a:prstGeom prst="rect">
                                  <a:avLst/>
                                </a:prstGeom>
                              </pic:spPr>
                            </pic:pic>
                          </a:graphicData>
                        </a:graphic>
                      </wp:inline>
                    </w:drawing>
                  </w:r>
                </w:p>
              </w:tc>
              <w:tc>
                <w:tcPr>
                  <w:tcW w:w="826" w:type="pct"/>
                  <w:tcBorders>
                    <w:top w:val="single" w:color="auto" w:sz="4" w:space="0"/>
                    <w:left w:val="single" w:color="auto" w:sz="4" w:space="0"/>
                    <w:bottom w:val="single" w:color="auto" w:sz="4" w:space="0"/>
                    <w:right w:val="single" w:color="auto" w:sz="4" w:space="0"/>
                  </w:tcBorders>
                  <w:vAlign w:val="center"/>
                </w:tcPr>
                <w:p w14:paraId="708A7454">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1829" w:type="pct"/>
                  <w:tcBorders>
                    <w:top w:val="single" w:color="auto" w:sz="4" w:space="0"/>
                    <w:left w:val="single" w:color="auto" w:sz="4" w:space="0"/>
                    <w:bottom w:val="single" w:color="auto" w:sz="4" w:space="0"/>
                    <w:right w:val="single" w:color="auto" w:sz="4" w:space="0"/>
                  </w:tcBorders>
                  <w:vAlign w:val="center"/>
                </w:tcPr>
                <w:p w14:paraId="0A9D9DB9">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表示危险废物贮存、处置场</w:t>
                  </w:r>
                </w:p>
              </w:tc>
            </w:tr>
          </w:tbl>
          <w:p w14:paraId="515BEBA8">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表4-2</w:t>
            </w:r>
            <w:r>
              <w:rPr>
                <w:rFonts w:hint="eastAsia"/>
                <w:b/>
                <w:bCs/>
                <w:color w:val="000000" w:themeColor="text1"/>
                <w14:textFill>
                  <w14:solidFill>
                    <w14:schemeClr w14:val="tx1"/>
                  </w14:solidFill>
                </w14:textFill>
              </w:rPr>
              <w:t>6</w:t>
            </w:r>
            <w:r>
              <w:rPr>
                <w:b/>
                <w:bCs/>
                <w:color w:val="000000" w:themeColor="text1"/>
                <w14:textFill>
                  <w14:solidFill>
                    <w14:schemeClr w14:val="tx1"/>
                  </w14:solidFill>
                </w14:textFill>
              </w:rPr>
              <w:t xml:space="preserve">  环境保护图形标志的形状及颜色表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5"/>
              <w:gridCol w:w="2375"/>
              <w:gridCol w:w="2375"/>
              <w:gridCol w:w="2175"/>
            </w:tblGrid>
            <w:tr w14:paraId="40CC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77" w:type="pct"/>
                  <w:vAlign w:val="center"/>
                </w:tcPr>
                <w:p w14:paraId="4E6C62B9">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标志名称</w:t>
                  </w:r>
                </w:p>
              </w:tc>
              <w:tc>
                <w:tcPr>
                  <w:tcW w:w="1277" w:type="pct"/>
                  <w:vAlign w:val="center"/>
                </w:tcPr>
                <w:p w14:paraId="2F14331E">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形状</w:t>
                  </w:r>
                </w:p>
              </w:tc>
              <w:tc>
                <w:tcPr>
                  <w:tcW w:w="1277" w:type="pct"/>
                  <w:vAlign w:val="center"/>
                </w:tcPr>
                <w:p w14:paraId="34F9CC8F">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背景颜色</w:t>
                  </w:r>
                </w:p>
              </w:tc>
              <w:tc>
                <w:tcPr>
                  <w:tcW w:w="1169" w:type="pct"/>
                  <w:vAlign w:val="center"/>
                </w:tcPr>
                <w:p w14:paraId="6E294870">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图形颜色</w:t>
                  </w:r>
                </w:p>
              </w:tc>
            </w:tr>
            <w:tr w14:paraId="68EE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77" w:type="pct"/>
                  <w:vAlign w:val="center"/>
                </w:tcPr>
                <w:p w14:paraId="0E510E76">
                  <w:pPr>
                    <w:jc w:val="center"/>
                    <w:rPr>
                      <w:bCs/>
                      <w:color w:val="000000" w:themeColor="text1"/>
                      <w14:textFill>
                        <w14:solidFill>
                          <w14:schemeClr w14:val="tx1"/>
                        </w14:solidFill>
                      </w14:textFill>
                    </w:rPr>
                  </w:pPr>
                  <w:r>
                    <w:rPr>
                      <w:bCs/>
                      <w:color w:val="000000" w:themeColor="text1"/>
                      <w14:textFill>
                        <w14:solidFill>
                          <w14:schemeClr w14:val="tx1"/>
                        </w14:solidFill>
                      </w14:textFill>
                    </w:rPr>
                    <w:t>警告标志</w:t>
                  </w:r>
                </w:p>
              </w:tc>
              <w:tc>
                <w:tcPr>
                  <w:tcW w:w="1277" w:type="pct"/>
                  <w:vAlign w:val="center"/>
                </w:tcPr>
                <w:p w14:paraId="56A48468">
                  <w:pPr>
                    <w:jc w:val="center"/>
                    <w:rPr>
                      <w:bCs/>
                      <w:color w:val="000000" w:themeColor="text1"/>
                      <w14:textFill>
                        <w14:solidFill>
                          <w14:schemeClr w14:val="tx1"/>
                        </w14:solidFill>
                      </w14:textFill>
                    </w:rPr>
                  </w:pPr>
                  <w:r>
                    <w:rPr>
                      <w:bCs/>
                      <w:color w:val="000000" w:themeColor="text1"/>
                      <w14:textFill>
                        <w14:solidFill>
                          <w14:schemeClr w14:val="tx1"/>
                        </w14:solidFill>
                      </w14:textFill>
                    </w:rPr>
                    <w:t>三角形边框</w:t>
                  </w:r>
                </w:p>
              </w:tc>
              <w:tc>
                <w:tcPr>
                  <w:tcW w:w="1277" w:type="pct"/>
                  <w:vAlign w:val="center"/>
                </w:tcPr>
                <w:p w14:paraId="007864D3">
                  <w:pPr>
                    <w:jc w:val="center"/>
                    <w:rPr>
                      <w:bCs/>
                      <w:color w:val="000000" w:themeColor="text1"/>
                      <w14:textFill>
                        <w14:solidFill>
                          <w14:schemeClr w14:val="tx1"/>
                        </w14:solidFill>
                      </w14:textFill>
                    </w:rPr>
                  </w:pPr>
                  <w:r>
                    <w:rPr>
                      <w:bCs/>
                      <w:color w:val="000000" w:themeColor="text1"/>
                      <w14:textFill>
                        <w14:solidFill>
                          <w14:schemeClr w14:val="tx1"/>
                        </w14:solidFill>
                      </w14:textFill>
                    </w:rPr>
                    <w:t>黄色</w:t>
                  </w:r>
                </w:p>
              </w:tc>
              <w:tc>
                <w:tcPr>
                  <w:tcW w:w="1169" w:type="pct"/>
                  <w:vAlign w:val="center"/>
                </w:tcPr>
                <w:p w14:paraId="25C09A5E">
                  <w:pPr>
                    <w:jc w:val="center"/>
                    <w:rPr>
                      <w:bCs/>
                      <w:color w:val="000000" w:themeColor="text1"/>
                      <w14:textFill>
                        <w14:solidFill>
                          <w14:schemeClr w14:val="tx1"/>
                        </w14:solidFill>
                      </w14:textFill>
                    </w:rPr>
                  </w:pPr>
                  <w:r>
                    <w:rPr>
                      <w:bCs/>
                      <w:color w:val="000000" w:themeColor="text1"/>
                      <w14:textFill>
                        <w14:solidFill>
                          <w14:schemeClr w14:val="tx1"/>
                        </w14:solidFill>
                      </w14:textFill>
                    </w:rPr>
                    <w:t>黑色</w:t>
                  </w:r>
                </w:p>
              </w:tc>
            </w:tr>
            <w:tr w14:paraId="39D43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77" w:type="pct"/>
                  <w:vAlign w:val="center"/>
                </w:tcPr>
                <w:p w14:paraId="2B2D7474">
                  <w:pPr>
                    <w:jc w:val="center"/>
                    <w:rPr>
                      <w:bCs/>
                      <w:color w:val="000000" w:themeColor="text1"/>
                      <w14:textFill>
                        <w14:solidFill>
                          <w14:schemeClr w14:val="tx1"/>
                        </w14:solidFill>
                      </w14:textFill>
                    </w:rPr>
                  </w:pPr>
                  <w:r>
                    <w:rPr>
                      <w:bCs/>
                      <w:color w:val="000000" w:themeColor="text1"/>
                      <w14:textFill>
                        <w14:solidFill>
                          <w14:schemeClr w14:val="tx1"/>
                        </w14:solidFill>
                      </w14:textFill>
                    </w:rPr>
                    <w:t>提示标志</w:t>
                  </w:r>
                </w:p>
              </w:tc>
              <w:tc>
                <w:tcPr>
                  <w:tcW w:w="1277" w:type="pct"/>
                  <w:vAlign w:val="center"/>
                </w:tcPr>
                <w:p w14:paraId="09D94E86">
                  <w:pPr>
                    <w:jc w:val="center"/>
                    <w:rPr>
                      <w:bCs/>
                      <w:color w:val="000000" w:themeColor="text1"/>
                      <w14:textFill>
                        <w14:solidFill>
                          <w14:schemeClr w14:val="tx1"/>
                        </w14:solidFill>
                      </w14:textFill>
                    </w:rPr>
                  </w:pPr>
                  <w:r>
                    <w:rPr>
                      <w:bCs/>
                      <w:color w:val="000000" w:themeColor="text1"/>
                      <w14:textFill>
                        <w14:solidFill>
                          <w14:schemeClr w14:val="tx1"/>
                        </w14:solidFill>
                      </w14:textFill>
                    </w:rPr>
                    <w:t>正方形边框</w:t>
                  </w:r>
                </w:p>
              </w:tc>
              <w:tc>
                <w:tcPr>
                  <w:tcW w:w="1277" w:type="pct"/>
                  <w:vAlign w:val="center"/>
                </w:tcPr>
                <w:p w14:paraId="70A62FFC">
                  <w:pPr>
                    <w:jc w:val="center"/>
                    <w:rPr>
                      <w:bCs/>
                      <w:color w:val="000000" w:themeColor="text1"/>
                      <w14:textFill>
                        <w14:solidFill>
                          <w14:schemeClr w14:val="tx1"/>
                        </w14:solidFill>
                      </w14:textFill>
                    </w:rPr>
                  </w:pPr>
                  <w:r>
                    <w:rPr>
                      <w:bCs/>
                      <w:color w:val="000000" w:themeColor="text1"/>
                      <w14:textFill>
                        <w14:solidFill>
                          <w14:schemeClr w14:val="tx1"/>
                        </w14:solidFill>
                      </w14:textFill>
                    </w:rPr>
                    <w:t>绿色</w:t>
                  </w:r>
                </w:p>
              </w:tc>
              <w:tc>
                <w:tcPr>
                  <w:tcW w:w="1169" w:type="pct"/>
                  <w:vAlign w:val="center"/>
                </w:tcPr>
                <w:p w14:paraId="328BD76D">
                  <w:pPr>
                    <w:jc w:val="center"/>
                    <w:rPr>
                      <w:bCs/>
                      <w:color w:val="000000" w:themeColor="text1"/>
                      <w14:textFill>
                        <w14:solidFill>
                          <w14:schemeClr w14:val="tx1"/>
                        </w14:solidFill>
                      </w14:textFill>
                    </w:rPr>
                  </w:pPr>
                  <w:r>
                    <w:rPr>
                      <w:bCs/>
                      <w:color w:val="000000" w:themeColor="text1"/>
                      <w14:textFill>
                        <w14:solidFill>
                          <w14:schemeClr w14:val="tx1"/>
                        </w14:solidFill>
                      </w14:textFill>
                    </w:rPr>
                    <w:t>白色</w:t>
                  </w:r>
                </w:p>
              </w:tc>
            </w:tr>
          </w:tbl>
          <w:p w14:paraId="1CE5A2A4">
            <w:pPr>
              <w:pStyle w:val="97"/>
              <w:rPr>
                <w:b w:val="0"/>
                <w:color w:val="000000" w:themeColor="text1"/>
                <w14:textFill>
                  <w14:solidFill>
                    <w14:schemeClr w14:val="tx1"/>
                  </w14:solidFill>
                </w14:textFill>
              </w:rPr>
            </w:pPr>
            <w:r>
              <w:rPr>
                <w:color w:val="000000" w:themeColor="text1"/>
                <w14:textFill>
                  <w14:solidFill>
                    <w14:schemeClr w14:val="tx1"/>
                  </w14:solidFill>
                </w14:textFill>
              </w:rPr>
              <w:t>九、环保投资估算</w:t>
            </w:r>
          </w:p>
          <w:p w14:paraId="309D3F2D">
            <w:pPr>
              <w:pStyle w:val="159"/>
            </w:pPr>
            <w:r>
              <w:t>本项目环保投资概算情况见下表。</w:t>
            </w:r>
          </w:p>
          <w:p w14:paraId="1B8D73C5">
            <w:pPr>
              <w:pStyle w:val="180"/>
              <w:spacing w:line="240" w:lineRule="auto"/>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表4-2</w:t>
            </w:r>
            <w:r>
              <w:rPr>
                <w:rFonts w:hint="eastAsia" w:eastAsiaTheme="minorEastAsia"/>
                <w:color w:val="000000" w:themeColor="text1"/>
                <w14:textFill>
                  <w14:solidFill>
                    <w14:schemeClr w14:val="tx1"/>
                  </w14:solidFill>
                </w14:textFill>
              </w:rPr>
              <w:t>7</w:t>
            </w:r>
            <w:r>
              <w:rPr>
                <w:rFonts w:eastAsiaTheme="minorEastAsia"/>
                <w:color w:val="000000" w:themeColor="text1"/>
                <w14:textFill>
                  <w14:solidFill>
                    <w14:schemeClr w14:val="tx1"/>
                  </w14:solidFill>
                </w14:textFill>
              </w:rPr>
              <w:t xml:space="preserve">  环保投资概算一览表</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345"/>
              <w:gridCol w:w="4055"/>
              <w:gridCol w:w="1164"/>
              <w:gridCol w:w="1016"/>
            </w:tblGrid>
            <w:tr w14:paraId="30E26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648" w:type="pct"/>
                  <w:gridSpan w:val="2"/>
                  <w:vAlign w:val="center"/>
                </w:tcPr>
                <w:p w14:paraId="1C9F1EE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类  型</w:t>
                  </w:r>
                </w:p>
              </w:tc>
              <w:tc>
                <w:tcPr>
                  <w:tcW w:w="2180" w:type="pct"/>
                  <w:vAlign w:val="center"/>
                </w:tcPr>
                <w:p w14:paraId="1F71C263">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环保设施</w:t>
                  </w:r>
                </w:p>
              </w:tc>
              <w:tc>
                <w:tcPr>
                  <w:tcW w:w="626" w:type="pct"/>
                  <w:vAlign w:val="center"/>
                </w:tcPr>
                <w:p w14:paraId="6A3B1F7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数量（套）</w:t>
                  </w:r>
                </w:p>
              </w:tc>
              <w:tc>
                <w:tcPr>
                  <w:tcW w:w="546" w:type="pct"/>
                  <w:vAlign w:val="center"/>
                </w:tcPr>
                <w:p w14:paraId="7932E75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建设费（万）</w:t>
                  </w:r>
                </w:p>
              </w:tc>
            </w:tr>
            <w:tr w14:paraId="500EE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7" w:type="pct"/>
                  <w:vMerge w:val="restart"/>
                  <w:vAlign w:val="center"/>
                </w:tcPr>
                <w:p w14:paraId="77A4C0B7">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废气</w:t>
                  </w:r>
                </w:p>
              </w:tc>
              <w:tc>
                <w:tcPr>
                  <w:tcW w:w="1261" w:type="pct"/>
                  <w:vAlign w:val="center"/>
                </w:tcPr>
                <w:p w14:paraId="068218D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喷漆房废气（调漆、喷漆、烘干</w:t>
                  </w:r>
                  <w:r>
                    <w:rPr>
                      <w:rFonts w:hint="eastAsia" w:eastAsiaTheme="minorEastAsia"/>
                      <w:color w:val="000000" w:themeColor="text1"/>
                      <w:szCs w:val="21"/>
                      <w14:textFill>
                        <w14:solidFill>
                          <w14:schemeClr w14:val="tx1"/>
                        </w14:solidFill>
                      </w14:textFill>
                    </w:rPr>
                    <w:t>废气</w:t>
                  </w:r>
                  <w:r>
                    <w:rPr>
                      <w:rFonts w:eastAsiaTheme="minorEastAsia"/>
                      <w:color w:val="000000" w:themeColor="text1"/>
                      <w:szCs w:val="21"/>
                      <w14:textFill>
                        <w14:solidFill>
                          <w14:schemeClr w14:val="tx1"/>
                        </w14:solidFill>
                      </w14:textFill>
                    </w:rPr>
                    <w:t>）</w:t>
                  </w:r>
                </w:p>
              </w:tc>
              <w:tc>
                <w:tcPr>
                  <w:tcW w:w="2180" w:type="pct"/>
                  <w:vAlign w:val="center"/>
                </w:tcPr>
                <w:p w14:paraId="47FF49AB">
                  <w:pPr>
                    <w:jc w:val="center"/>
                    <w:rPr>
                      <w:rFonts w:eastAsiaTheme="minorEastAsia"/>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调漆、喷漆</w:t>
                  </w:r>
                  <w:r>
                    <w:rPr>
                      <w:rFonts w:hint="eastAsia" w:eastAsiaTheme="minorEastAsia"/>
                      <w:color w:val="000000" w:themeColor="text1"/>
                      <w:szCs w:val="21"/>
                      <w14:textFill>
                        <w14:solidFill>
                          <w14:schemeClr w14:val="tx1"/>
                        </w14:solidFill>
                      </w14:textFill>
                    </w:rPr>
                    <w:t>废气密闭负压收集后经“水帘柜+过滤棉”预处理后与密闭负压收集的烘干废气一并经“活性炭吸附脱附+小型催化燃烧装置”处理</w:t>
                  </w:r>
                  <w:r>
                    <w:rPr>
                      <w:rFonts w:eastAsiaTheme="minorEastAsia"/>
                      <w:color w:val="000000" w:themeColor="text1"/>
                      <w:szCs w:val="21"/>
                      <w14:textFill>
                        <w14:solidFill>
                          <w14:schemeClr w14:val="tx1"/>
                        </w14:solidFill>
                      </w14:textFill>
                    </w:rPr>
                    <w:t>+15m高排气筒</w:t>
                  </w:r>
                </w:p>
              </w:tc>
              <w:tc>
                <w:tcPr>
                  <w:tcW w:w="626" w:type="pct"/>
                  <w:vAlign w:val="center"/>
                </w:tcPr>
                <w:p w14:paraId="27B9F7F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546" w:type="pct"/>
                  <w:vAlign w:val="center"/>
                </w:tcPr>
                <w:p w14:paraId="246BA111">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15</w:t>
                  </w:r>
                </w:p>
              </w:tc>
            </w:tr>
            <w:tr w14:paraId="6CEA3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7" w:type="pct"/>
                  <w:vMerge w:val="continue"/>
                  <w:vAlign w:val="center"/>
                </w:tcPr>
                <w:p w14:paraId="6608438C">
                  <w:pPr>
                    <w:jc w:val="center"/>
                    <w:rPr>
                      <w:rFonts w:eastAsiaTheme="minorEastAsia"/>
                      <w:color w:val="000000" w:themeColor="text1"/>
                      <w:szCs w:val="21"/>
                      <w14:textFill>
                        <w14:solidFill>
                          <w14:schemeClr w14:val="tx1"/>
                        </w14:solidFill>
                      </w14:textFill>
                    </w:rPr>
                  </w:pPr>
                </w:p>
              </w:tc>
              <w:tc>
                <w:tcPr>
                  <w:tcW w:w="1261" w:type="pct"/>
                  <w:vAlign w:val="center"/>
                </w:tcPr>
                <w:p w14:paraId="66143237">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未收集喷漆房废气</w:t>
                  </w:r>
                </w:p>
              </w:tc>
              <w:tc>
                <w:tcPr>
                  <w:tcW w:w="2180" w:type="pct"/>
                  <w:vAlign w:val="center"/>
                </w:tcPr>
                <w:p w14:paraId="2FD75873">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加强喷漆房</w:t>
                  </w:r>
                  <w:r>
                    <w:rPr>
                      <w:rFonts w:hint="eastAsia" w:eastAsiaTheme="minorEastAsia"/>
                      <w:color w:val="000000" w:themeColor="text1"/>
                      <w:szCs w:val="21"/>
                      <w14:textFill>
                        <w14:solidFill>
                          <w14:schemeClr w14:val="tx1"/>
                        </w14:solidFill>
                      </w14:textFill>
                    </w:rPr>
                    <w:t>、烘干房</w:t>
                  </w:r>
                  <w:r>
                    <w:rPr>
                      <w:rFonts w:eastAsiaTheme="minorEastAsia"/>
                      <w:color w:val="000000" w:themeColor="text1"/>
                      <w:szCs w:val="21"/>
                      <w14:textFill>
                        <w14:solidFill>
                          <w14:schemeClr w14:val="tx1"/>
                        </w14:solidFill>
                      </w14:textFill>
                    </w:rPr>
                    <w:t>密闭、车间通风</w:t>
                  </w:r>
                </w:p>
              </w:tc>
              <w:tc>
                <w:tcPr>
                  <w:tcW w:w="626" w:type="pct"/>
                  <w:vAlign w:val="center"/>
                </w:tcPr>
                <w:p w14:paraId="7368FFE7">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w:t>
                  </w:r>
                </w:p>
              </w:tc>
              <w:tc>
                <w:tcPr>
                  <w:tcW w:w="546" w:type="pct"/>
                  <w:vAlign w:val="center"/>
                </w:tcPr>
                <w:p w14:paraId="1E2E2FBD">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1</w:t>
                  </w:r>
                </w:p>
              </w:tc>
            </w:tr>
            <w:tr w14:paraId="25C7D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7" w:type="pct"/>
                  <w:vAlign w:val="center"/>
                </w:tcPr>
                <w:p w14:paraId="6F8D7A73">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废水</w:t>
                  </w:r>
                </w:p>
              </w:tc>
              <w:tc>
                <w:tcPr>
                  <w:tcW w:w="1261" w:type="pct"/>
                  <w:vAlign w:val="center"/>
                </w:tcPr>
                <w:p w14:paraId="219F743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生活污水</w:t>
                  </w:r>
                </w:p>
              </w:tc>
              <w:tc>
                <w:tcPr>
                  <w:tcW w:w="2180" w:type="pct"/>
                  <w:vAlign w:val="center"/>
                </w:tcPr>
                <w:p w14:paraId="7D39D46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化粪池</w:t>
                  </w:r>
                </w:p>
              </w:tc>
              <w:tc>
                <w:tcPr>
                  <w:tcW w:w="626" w:type="pct"/>
                  <w:vAlign w:val="center"/>
                </w:tcPr>
                <w:p w14:paraId="2E96EB6F">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546" w:type="pct"/>
                  <w:vAlign w:val="center"/>
                </w:tcPr>
                <w:p w14:paraId="6ED2BDC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0.5</w:t>
                  </w:r>
                </w:p>
              </w:tc>
            </w:tr>
            <w:tr w14:paraId="1756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648" w:type="pct"/>
                  <w:gridSpan w:val="2"/>
                  <w:vAlign w:val="center"/>
                </w:tcPr>
                <w:p w14:paraId="7FB47DD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噪声处理</w:t>
                  </w:r>
                </w:p>
              </w:tc>
              <w:tc>
                <w:tcPr>
                  <w:tcW w:w="2180" w:type="pct"/>
                  <w:vAlign w:val="center"/>
                </w:tcPr>
                <w:p w14:paraId="4A4D43A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隔声、减振降噪措施</w:t>
                  </w:r>
                </w:p>
              </w:tc>
              <w:tc>
                <w:tcPr>
                  <w:tcW w:w="626" w:type="pct"/>
                  <w:vAlign w:val="center"/>
                </w:tcPr>
                <w:p w14:paraId="112A2D4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546" w:type="pct"/>
                  <w:vAlign w:val="center"/>
                </w:tcPr>
                <w:p w14:paraId="1A179FB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0.5</w:t>
                  </w:r>
                </w:p>
              </w:tc>
            </w:tr>
            <w:tr w14:paraId="3490D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48" w:type="pct"/>
                  <w:gridSpan w:val="2"/>
                  <w:vAlign w:val="center"/>
                </w:tcPr>
                <w:p w14:paraId="79427A3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固废处理</w:t>
                  </w:r>
                </w:p>
              </w:tc>
              <w:tc>
                <w:tcPr>
                  <w:tcW w:w="2180" w:type="pct"/>
                  <w:vAlign w:val="center"/>
                </w:tcPr>
                <w:p w14:paraId="06575824">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固废暂存间</w:t>
                  </w:r>
                </w:p>
              </w:tc>
              <w:tc>
                <w:tcPr>
                  <w:tcW w:w="626" w:type="pct"/>
                  <w:vAlign w:val="center"/>
                </w:tcPr>
                <w:p w14:paraId="5FDD0D8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546" w:type="pct"/>
                  <w:vAlign w:val="center"/>
                </w:tcPr>
                <w:p w14:paraId="3E5DEE6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r>
            <w:tr w14:paraId="39C11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48" w:type="pct"/>
                  <w:gridSpan w:val="2"/>
                  <w:vAlign w:val="center"/>
                </w:tcPr>
                <w:p w14:paraId="338AF644">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危废处理</w:t>
                  </w:r>
                </w:p>
              </w:tc>
              <w:tc>
                <w:tcPr>
                  <w:tcW w:w="2180" w:type="pct"/>
                  <w:vAlign w:val="center"/>
                </w:tcPr>
                <w:p w14:paraId="75164DD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危废贮存库</w:t>
                  </w:r>
                </w:p>
              </w:tc>
              <w:tc>
                <w:tcPr>
                  <w:tcW w:w="626" w:type="pct"/>
                  <w:vAlign w:val="center"/>
                </w:tcPr>
                <w:p w14:paraId="73B61C3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546" w:type="pct"/>
                  <w:vAlign w:val="center"/>
                </w:tcPr>
                <w:p w14:paraId="2C650016">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p>
              </w:tc>
            </w:tr>
            <w:tr w14:paraId="4BDD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54" w:type="pct"/>
                  <w:gridSpan w:val="4"/>
                  <w:vAlign w:val="center"/>
                </w:tcPr>
                <w:p w14:paraId="3F73C97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总  计</w:t>
                  </w:r>
                </w:p>
              </w:tc>
              <w:tc>
                <w:tcPr>
                  <w:tcW w:w="546" w:type="pct"/>
                  <w:vAlign w:val="center"/>
                </w:tcPr>
                <w:p w14:paraId="5804D14A">
                  <w:pPr>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20</w:t>
                  </w:r>
                </w:p>
              </w:tc>
            </w:tr>
          </w:tbl>
          <w:p w14:paraId="0DCE0A5F">
            <w:pPr>
              <w:tabs>
                <w:tab w:val="center" w:pos="4410"/>
              </w:tabs>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本项目投资总额为</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0万元，其中环保投资</w:t>
            </w:r>
            <w:r>
              <w:rPr>
                <w:rFonts w:hint="eastAsia"/>
                <w:bCs/>
                <w:color w:val="000000" w:themeColor="text1"/>
                <w:sz w:val="24"/>
                <w14:textFill>
                  <w14:solidFill>
                    <w14:schemeClr w14:val="tx1"/>
                  </w14:solidFill>
                </w14:textFill>
              </w:rPr>
              <w:t>20</w:t>
            </w:r>
            <w:r>
              <w:rPr>
                <w:bCs/>
                <w:color w:val="000000" w:themeColor="text1"/>
                <w:sz w:val="24"/>
                <w14:textFill>
                  <w14:solidFill>
                    <w14:schemeClr w14:val="tx1"/>
                  </w14:solidFill>
                </w14:textFill>
              </w:rPr>
              <w:t>万元，占总投资额的</w:t>
            </w:r>
            <w:r>
              <w:rPr>
                <w:rFonts w:hint="eastAsia"/>
                <w:bCs/>
                <w:color w:val="000000" w:themeColor="text1"/>
                <w:sz w:val="24"/>
                <w14:textFill>
                  <w14:solidFill>
                    <w14:schemeClr w14:val="tx1"/>
                  </w14:solidFill>
                </w14:textFill>
              </w:rPr>
              <w:t>66.67</w:t>
            </w:r>
            <w:r>
              <w:rPr>
                <w:bCs/>
                <w:color w:val="000000" w:themeColor="text1"/>
                <w:sz w:val="24"/>
                <w14:textFill>
                  <w14:solidFill>
                    <w14:schemeClr w14:val="tx1"/>
                  </w14:solidFill>
                </w14:textFill>
              </w:rPr>
              <w:t>%。</w:t>
            </w:r>
          </w:p>
          <w:p w14:paraId="4DD33462">
            <w:pPr>
              <w:pStyle w:val="2"/>
              <w:ind w:firstLine="482"/>
              <w:rPr>
                <w:color w:val="000000" w:themeColor="text1"/>
                <w:lang w:val="en-US"/>
                <w14:textFill>
                  <w14:solidFill>
                    <w14:schemeClr w14:val="tx1"/>
                  </w14:solidFill>
                </w14:textFill>
              </w:rPr>
            </w:pPr>
          </w:p>
          <w:p w14:paraId="613BBC3C">
            <w:pPr>
              <w:pStyle w:val="3"/>
              <w:rPr>
                <w:color w:val="000000" w:themeColor="text1"/>
                <w:lang w:val="en-US"/>
                <w14:textFill>
                  <w14:solidFill>
                    <w14:schemeClr w14:val="tx1"/>
                  </w14:solidFill>
                </w14:textFill>
              </w:rPr>
            </w:pPr>
          </w:p>
          <w:p w14:paraId="688B1509">
            <w:pPr>
              <w:pStyle w:val="3"/>
              <w:rPr>
                <w:color w:val="000000" w:themeColor="text1"/>
                <w:lang w:val="en-US"/>
                <w14:textFill>
                  <w14:solidFill>
                    <w14:schemeClr w14:val="tx1"/>
                  </w14:solidFill>
                </w14:textFill>
              </w:rPr>
            </w:pPr>
          </w:p>
          <w:p w14:paraId="7D8AD948">
            <w:pPr>
              <w:pStyle w:val="3"/>
              <w:rPr>
                <w:color w:val="000000" w:themeColor="text1"/>
                <w:lang w:val="en-US"/>
                <w14:textFill>
                  <w14:solidFill>
                    <w14:schemeClr w14:val="tx1"/>
                  </w14:solidFill>
                </w14:textFill>
              </w:rPr>
            </w:pPr>
          </w:p>
          <w:p w14:paraId="77C60937">
            <w:pPr>
              <w:pStyle w:val="3"/>
              <w:rPr>
                <w:color w:val="000000" w:themeColor="text1"/>
                <w:lang w:val="en-US"/>
                <w14:textFill>
                  <w14:solidFill>
                    <w14:schemeClr w14:val="tx1"/>
                  </w14:solidFill>
                </w14:textFill>
              </w:rPr>
            </w:pPr>
          </w:p>
          <w:p w14:paraId="0DCB6324">
            <w:pPr>
              <w:pStyle w:val="3"/>
              <w:rPr>
                <w:color w:val="000000" w:themeColor="text1"/>
                <w:lang w:val="en-US"/>
                <w14:textFill>
                  <w14:solidFill>
                    <w14:schemeClr w14:val="tx1"/>
                  </w14:solidFill>
                </w14:textFill>
              </w:rPr>
            </w:pPr>
          </w:p>
          <w:p w14:paraId="78BC3B63">
            <w:pPr>
              <w:pStyle w:val="3"/>
              <w:rPr>
                <w:color w:val="000000" w:themeColor="text1"/>
                <w:lang w:val="en-US"/>
                <w14:textFill>
                  <w14:solidFill>
                    <w14:schemeClr w14:val="tx1"/>
                  </w14:solidFill>
                </w14:textFill>
              </w:rPr>
            </w:pPr>
          </w:p>
          <w:p w14:paraId="5B1E7661">
            <w:pPr>
              <w:pStyle w:val="3"/>
              <w:rPr>
                <w:color w:val="000000" w:themeColor="text1"/>
                <w:lang w:val="en-US"/>
                <w14:textFill>
                  <w14:solidFill>
                    <w14:schemeClr w14:val="tx1"/>
                  </w14:solidFill>
                </w14:textFill>
              </w:rPr>
            </w:pPr>
          </w:p>
        </w:tc>
      </w:tr>
    </w:tbl>
    <w:p w14:paraId="1AF35D71">
      <w:pPr>
        <w:adjustRightInd w:val="0"/>
        <w:snapToGrid w:val="0"/>
        <w:spacing w:line="360" w:lineRule="auto"/>
        <w:rPr>
          <w:b/>
          <w:color w:val="000000" w:themeColor="text1"/>
          <w:kern w:val="0"/>
          <w:sz w:val="28"/>
          <w:szCs w:val="28"/>
          <w14:textFill>
            <w14:solidFill>
              <w14:schemeClr w14:val="tx1"/>
            </w14:solidFill>
          </w14:textFill>
        </w:rPr>
        <w:sectPr>
          <w:pgSz w:w="11907" w:h="16840"/>
          <w:pgMar w:top="1440" w:right="1080" w:bottom="1440" w:left="1080" w:header="851" w:footer="851" w:gutter="0"/>
          <w:cols w:space="720" w:num="1"/>
          <w:docGrid w:linePitch="312" w:charSpace="0"/>
        </w:sectPr>
      </w:pPr>
    </w:p>
    <w:p w14:paraId="05548694">
      <w:pPr>
        <w:pStyle w:val="40"/>
        <w:spacing w:before="0" w:after="0"/>
        <w:rPr>
          <w:snapToGrid w:val="0"/>
          <w:color w:val="000000" w:themeColor="text1"/>
          <w14:textFill>
            <w14:solidFill>
              <w14:schemeClr w14:val="tx1"/>
            </w14:solidFill>
          </w14:textFill>
        </w:rPr>
      </w:pPr>
      <w:bookmarkStart w:id="9" w:name="_Toc198560478"/>
      <w:r>
        <w:rPr>
          <w:snapToGrid w:val="0"/>
          <w:color w:val="000000" w:themeColor="text1"/>
          <w14:textFill>
            <w14:solidFill>
              <w14:schemeClr w14:val="tx1"/>
            </w14:solidFill>
          </w14:textFill>
        </w:rPr>
        <w:t>五、</w:t>
      </w:r>
      <w:bookmarkStart w:id="10" w:name="_Hlk54167917"/>
      <w:r>
        <w:rPr>
          <w:snapToGrid w:val="0"/>
          <w:color w:val="000000" w:themeColor="text1"/>
          <w14:textFill>
            <w14:solidFill>
              <w14:schemeClr w14:val="tx1"/>
            </w14:solidFill>
          </w14:textFill>
        </w:rPr>
        <w:t>环境保护措施监督检查清单</w:t>
      </w:r>
      <w:bookmarkEnd w:id="9"/>
      <w:bookmarkEnd w:id="10"/>
    </w:p>
    <w:tbl>
      <w:tblPr>
        <w:tblStyle w:val="43"/>
        <w:tblW w:w="97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40"/>
        <w:gridCol w:w="1760"/>
        <w:gridCol w:w="1480"/>
        <w:gridCol w:w="2136"/>
        <w:gridCol w:w="3262"/>
      </w:tblGrid>
      <w:tr w14:paraId="12A681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tcBorders>
              <w:top w:val="single" w:color="auto" w:sz="12" w:space="0"/>
              <w:bottom w:val="single" w:color="auto" w:sz="6" w:space="0"/>
              <w:tl2br w:val="single" w:color="auto" w:sz="8" w:space="0"/>
            </w:tcBorders>
            <w:vAlign w:val="center"/>
          </w:tcPr>
          <w:p w14:paraId="16BB9D08">
            <w:pPr>
              <w:adjustRightInd w:val="0"/>
              <w:snapToGrid w:val="0"/>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内容</w:t>
            </w:r>
          </w:p>
          <w:p w14:paraId="3683F766">
            <w:pPr>
              <w:adjustRightInd w:val="0"/>
              <w:snapToGrid w:val="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要素</w:t>
            </w:r>
          </w:p>
        </w:tc>
        <w:tc>
          <w:tcPr>
            <w:tcW w:w="1760" w:type="dxa"/>
            <w:vAlign w:val="center"/>
          </w:tcPr>
          <w:p w14:paraId="7FB6E66F">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排放口（编号、名称）/污染源</w:t>
            </w:r>
          </w:p>
        </w:tc>
        <w:tc>
          <w:tcPr>
            <w:tcW w:w="1480" w:type="dxa"/>
            <w:vAlign w:val="center"/>
          </w:tcPr>
          <w:p w14:paraId="26B31D1F">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污染物项目</w:t>
            </w:r>
          </w:p>
        </w:tc>
        <w:tc>
          <w:tcPr>
            <w:tcW w:w="2136" w:type="dxa"/>
            <w:vAlign w:val="center"/>
          </w:tcPr>
          <w:p w14:paraId="4070FE36">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环境保护措施</w:t>
            </w:r>
          </w:p>
        </w:tc>
        <w:tc>
          <w:tcPr>
            <w:tcW w:w="3262" w:type="dxa"/>
            <w:vAlign w:val="center"/>
          </w:tcPr>
          <w:p w14:paraId="49D53030">
            <w:pPr>
              <w:tabs>
                <w:tab w:val="left" w:pos="665"/>
                <w:tab w:val="center" w:pos="1582"/>
              </w:tabs>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执行标准</w:t>
            </w:r>
          </w:p>
        </w:tc>
      </w:tr>
      <w:tr w14:paraId="3B1A4F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restart"/>
            <w:tcBorders>
              <w:top w:val="single" w:color="auto" w:sz="6" w:space="0"/>
            </w:tcBorders>
            <w:vAlign w:val="center"/>
          </w:tcPr>
          <w:p w14:paraId="18CB595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760" w:type="dxa"/>
            <w:vMerge w:val="restart"/>
            <w:vAlign w:val="center"/>
          </w:tcPr>
          <w:p w14:paraId="4C2F5537">
            <w:pPr>
              <w:adjustRightInd w:val="0"/>
              <w:snapToGrid w:val="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排气筒DA001（喷漆房废气）</w:t>
            </w:r>
          </w:p>
        </w:tc>
        <w:tc>
          <w:tcPr>
            <w:tcW w:w="1480" w:type="dxa"/>
            <w:vAlign w:val="center"/>
          </w:tcPr>
          <w:p w14:paraId="4EE50D6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2136" w:type="dxa"/>
            <w:vMerge w:val="restart"/>
            <w:vAlign w:val="center"/>
          </w:tcPr>
          <w:p w14:paraId="4440DE65">
            <w:pPr>
              <w:adjustRightInd w:val="0"/>
              <w:snapToGrid w:val="0"/>
              <w:jc w:val="center"/>
              <w:rPr>
                <w:color w:val="000000" w:themeColor="text1"/>
                <w14:textFill>
                  <w14:solidFill>
                    <w14:schemeClr w14:val="tx1"/>
                  </w14:solidFill>
                </w14:textFill>
              </w:rPr>
            </w:pPr>
            <w:r>
              <w:rPr>
                <w:rFonts w:hint="eastAsia"/>
                <w:color w:val="000000" w:themeColor="text1"/>
                <w:kern w:val="0"/>
                <w:szCs w:val="21"/>
                <w14:textFill>
                  <w14:solidFill>
                    <w14:schemeClr w14:val="tx1"/>
                  </w14:solidFill>
                </w14:textFill>
              </w:rPr>
              <w:t>调漆、喷漆</w:t>
            </w:r>
            <w:r>
              <w:rPr>
                <w:rFonts w:hint="eastAsia" w:eastAsiaTheme="minorEastAsia"/>
                <w:color w:val="000000" w:themeColor="text1"/>
                <w:szCs w:val="21"/>
                <w14:textFill>
                  <w14:solidFill>
                    <w14:schemeClr w14:val="tx1"/>
                  </w14:solidFill>
                </w14:textFill>
              </w:rPr>
              <w:t>废气密闭负压收集后经“水帘柜+过滤棉”预处理后与密闭负压收集的烘干废气一并经“活性炭吸附脱附+小型催化燃烧装置”处理</w:t>
            </w:r>
            <w:r>
              <w:rPr>
                <w:color w:val="000000" w:themeColor="text1"/>
                <w:szCs w:val="21"/>
                <w14:textFill>
                  <w14:solidFill>
                    <w14:schemeClr w14:val="tx1"/>
                  </w14:solidFill>
                </w14:textFill>
              </w:rPr>
              <w:t>+15m高排气筒（DA001）</w:t>
            </w:r>
          </w:p>
        </w:tc>
        <w:tc>
          <w:tcPr>
            <w:tcW w:w="3262" w:type="dxa"/>
            <w:vAlign w:val="center"/>
          </w:tcPr>
          <w:p w14:paraId="07A0B3B1">
            <w:pPr>
              <w:adjustRightInd w:val="0"/>
              <w:snapToGrid w:val="0"/>
              <w:rPr>
                <w:color w:val="000000" w:themeColor="text1"/>
                <w:szCs w:val="21"/>
                <w14:textFill>
                  <w14:solidFill>
                    <w14:schemeClr w14:val="tx1"/>
                  </w14:solidFill>
                </w14:textFill>
              </w:rPr>
            </w:pPr>
            <w:r>
              <w:rPr>
                <w:bCs/>
                <w:color w:val="000000" w:themeColor="text1"/>
                <w:szCs w:val="21"/>
                <w14:textFill>
                  <w14:solidFill>
                    <w14:schemeClr w14:val="tx1"/>
                  </w14:solidFill>
                </w14:textFill>
              </w:rPr>
              <w:t>《大气污染物综合排放标准》（GB 16297-1996）</w:t>
            </w:r>
            <w:r>
              <w:rPr>
                <w:color w:val="000000" w:themeColor="text1"/>
                <w:szCs w:val="21"/>
                <w14:textFill>
                  <w14:solidFill>
                    <w14:schemeClr w14:val="tx1"/>
                  </w14:solidFill>
                </w14:textFill>
              </w:rPr>
              <w:t>表2二级排放</w:t>
            </w:r>
            <w:r>
              <w:rPr>
                <w:rFonts w:hint="eastAsia"/>
                <w:color w:val="000000" w:themeColor="text1"/>
                <w:szCs w:val="21"/>
                <w14:textFill>
                  <w14:solidFill>
                    <w14:schemeClr w14:val="tx1"/>
                  </w14:solidFill>
                </w14:textFill>
              </w:rPr>
              <w:t>限值</w:t>
            </w:r>
          </w:p>
        </w:tc>
      </w:tr>
      <w:tr w14:paraId="40977A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continue"/>
            <w:vAlign w:val="center"/>
          </w:tcPr>
          <w:p w14:paraId="7B674A9D">
            <w:pPr>
              <w:adjustRightInd w:val="0"/>
              <w:snapToGrid w:val="0"/>
              <w:jc w:val="center"/>
              <w:rPr>
                <w:color w:val="000000" w:themeColor="text1"/>
                <w:szCs w:val="21"/>
                <w14:textFill>
                  <w14:solidFill>
                    <w14:schemeClr w14:val="tx1"/>
                  </w14:solidFill>
                </w14:textFill>
              </w:rPr>
            </w:pPr>
          </w:p>
        </w:tc>
        <w:tc>
          <w:tcPr>
            <w:tcW w:w="1760" w:type="dxa"/>
            <w:vMerge w:val="continue"/>
            <w:vAlign w:val="center"/>
          </w:tcPr>
          <w:p w14:paraId="44A666B1">
            <w:pPr>
              <w:adjustRightInd w:val="0"/>
              <w:snapToGrid w:val="0"/>
              <w:jc w:val="center"/>
              <w:rPr>
                <w:color w:val="000000" w:themeColor="text1"/>
                <w:szCs w:val="21"/>
                <w14:textFill>
                  <w14:solidFill>
                    <w14:schemeClr w14:val="tx1"/>
                  </w14:solidFill>
                </w14:textFill>
              </w:rPr>
            </w:pPr>
          </w:p>
        </w:tc>
        <w:tc>
          <w:tcPr>
            <w:tcW w:w="1480" w:type="dxa"/>
            <w:vAlign w:val="center"/>
          </w:tcPr>
          <w:p w14:paraId="3EBE5F4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非甲烷总烃、二甲苯</w:t>
            </w:r>
          </w:p>
        </w:tc>
        <w:tc>
          <w:tcPr>
            <w:tcW w:w="2136" w:type="dxa"/>
            <w:vMerge w:val="continue"/>
            <w:vAlign w:val="center"/>
          </w:tcPr>
          <w:p w14:paraId="285B065C">
            <w:pPr>
              <w:adjustRightInd w:val="0"/>
              <w:snapToGrid w:val="0"/>
              <w:jc w:val="center"/>
              <w:rPr>
                <w:color w:val="000000" w:themeColor="text1"/>
                <w:szCs w:val="21"/>
                <w14:textFill>
                  <w14:solidFill>
                    <w14:schemeClr w14:val="tx1"/>
                  </w14:solidFill>
                </w14:textFill>
              </w:rPr>
            </w:pPr>
          </w:p>
        </w:tc>
        <w:tc>
          <w:tcPr>
            <w:tcW w:w="3262" w:type="dxa"/>
            <w:vAlign w:val="center"/>
          </w:tcPr>
          <w:p w14:paraId="470FB4CA">
            <w:pPr>
              <w:adjustRightInd w:val="0"/>
              <w:snapToGrid w:val="0"/>
              <w:rPr>
                <w:color w:val="000000" w:themeColor="text1"/>
                <w:szCs w:val="21"/>
                <w14:textFill>
                  <w14:solidFill>
                    <w14:schemeClr w14:val="tx1"/>
                  </w14:solidFill>
                </w14:textFill>
              </w:rPr>
            </w:pPr>
            <w:r>
              <w:rPr>
                <w:bCs/>
                <w:color w:val="000000" w:themeColor="text1"/>
                <w:szCs w:val="22"/>
                <w14:textFill>
                  <w14:solidFill>
                    <w14:schemeClr w14:val="tx1"/>
                  </w14:solidFill>
                </w14:textFill>
              </w:rPr>
              <w:t>排放浓度执行《挥发性有机物综合排放控制标准（试行）》（DB36/2186-2025）中表1相关限值，其中二甲苯参照苯系物排放限值执行；有组织废气中的非甲烷总烃、二甲苯排放速率执行《大气污染物综合排放标准》（GB16297-1996）表2相关限值</w:t>
            </w:r>
          </w:p>
        </w:tc>
      </w:tr>
      <w:tr w14:paraId="2AF3CC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continue"/>
            <w:vAlign w:val="center"/>
          </w:tcPr>
          <w:p w14:paraId="0E362308">
            <w:pPr>
              <w:adjustRightInd w:val="0"/>
              <w:snapToGrid w:val="0"/>
              <w:jc w:val="center"/>
              <w:rPr>
                <w:color w:val="000000" w:themeColor="text1"/>
                <w:szCs w:val="21"/>
                <w14:textFill>
                  <w14:solidFill>
                    <w14:schemeClr w14:val="tx1"/>
                  </w14:solidFill>
                </w14:textFill>
              </w:rPr>
            </w:pPr>
          </w:p>
        </w:tc>
        <w:tc>
          <w:tcPr>
            <w:tcW w:w="1760" w:type="dxa"/>
            <w:vMerge w:val="restart"/>
            <w:vAlign w:val="center"/>
          </w:tcPr>
          <w:p w14:paraId="3C906B2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生产车间（无组织）</w:t>
            </w:r>
          </w:p>
        </w:tc>
        <w:tc>
          <w:tcPr>
            <w:tcW w:w="1480" w:type="dxa"/>
            <w:vAlign w:val="center"/>
          </w:tcPr>
          <w:p w14:paraId="0B6C9397">
            <w:pPr>
              <w:pStyle w:val="72"/>
              <w:rPr>
                <w:color w:val="000000" w:themeColor="text1"/>
                <w14:textFill>
                  <w14:solidFill>
                    <w14:schemeClr w14:val="tx1"/>
                  </w14:solidFill>
                </w14:textFill>
              </w:rPr>
            </w:pPr>
            <w:r>
              <w:rPr>
                <w:color w:val="000000" w:themeColor="text1"/>
                <w14:textFill>
                  <w14:solidFill>
                    <w14:schemeClr w14:val="tx1"/>
                  </w14:solidFill>
                </w14:textFill>
              </w:rPr>
              <w:t>非甲烷总烃</w:t>
            </w:r>
          </w:p>
        </w:tc>
        <w:tc>
          <w:tcPr>
            <w:tcW w:w="2136" w:type="dxa"/>
            <w:vMerge w:val="restart"/>
            <w:vAlign w:val="center"/>
          </w:tcPr>
          <w:p w14:paraId="5F66AD18">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加强喷漆房</w:t>
            </w:r>
            <w:r>
              <w:rPr>
                <w:rFonts w:hint="eastAsia"/>
                <w:color w:val="000000" w:themeColor="text1"/>
                <w14:textFill>
                  <w14:solidFill>
                    <w14:schemeClr w14:val="tx1"/>
                  </w14:solidFill>
                </w14:textFill>
              </w:rPr>
              <w:t>、烘干房</w:t>
            </w:r>
            <w:r>
              <w:rPr>
                <w:color w:val="000000" w:themeColor="text1"/>
                <w14:textFill>
                  <w14:solidFill>
                    <w14:schemeClr w14:val="tx1"/>
                  </w14:solidFill>
                </w14:textFill>
              </w:rPr>
              <w:t>密闭、</w:t>
            </w:r>
            <w:r>
              <w:rPr>
                <w:color w:val="000000" w:themeColor="text1"/>
                <w:szCs w:val="21"/>
                <w14:textFill>
                  <w14:solidFill>
                    <w14:schemeClr w14:val="tx1"/>
                  </w14:solidFill>
                </w14:textFill>
              </w:rPr>
              <w:t>车间通风</w:t>
            </w:r>
          </w:p>
        </w:tc>
        <w:tc>
          <w:tcPr>
            <w:tcW w:w="3262" w:type="dxa"/>
          </w:tcPr>
          <w:p w14:paraId="010B5620">
            <w:pPr>
              <w:pStyle w:val="72"/>
              <w:jc w:val="both"/>
              <w:rPr>
                <w:color w:val="000000" w:themeColor="text1"/>
                <w:kern w:val="0"/>
                <w:lang w:val="en-US"/>
                <w14:textFill>
                  <w14:solidFill>
                    <w14:schemeClr w14:val="tx1"/>
                  </w14:solidFill>
                </w14:textFill>
              </w:rPr>
            </w:pPr>
            <w:r>
              <w:rPr>
                <w:rFonts w:hint="eastAsia"/>
                <w:color w:val="000000" w:themeColor="text1"/>
                <w14:textFill>
                  <w14:solidFill>
                    <w14:schemeClr w14:val="tx1"/>
                  </w14:solidFill>
                </w14:textFill>
              </w:rPr>
              <w:t>《挥发性有机物综合排放控制标准（试行）》（DB36/2186-2025）表2、3相关限值</w:t>
            </w:r>
          </w:p>
        </w:tc>
      </w:tr>
      <w:tr w14:paraId="54987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continue"/>
            <w:vAlign w:val="center"/>
          </w:tcPr>
          <w:p w14:paraId="0B690CAE">
            <w:pPr>
              <w:adjustRightInd w:val="0"/>
              <w:snapToGrid w:val="0"/>
              <w:jc w:val="center"/>
              <w:rPr>
                <w:color w:val="000000" w:themeColor="text1"/>
                <w:szCs w:val="21"/>
                <w14:textFill>
                  <w14:solidFill>
                    <w14:schemeClr w14:val="tx1"/>
                  </w14:solidFill>
                </w14:textFill>
              </w:rPr>
            </w:pPr>
          </w:p>
        </w:tc>
        <w:tc>
          <w:tcPr>
            <w:tcW w:w="1760" w:type="dxa"/>
            <w:vMerge w:val="continue"/>
            <w:vAlign w:val="center"/>
          </w:tcPr>
          <w:p w14:paraId="581819B2">
            <w:pPr>
              <w:adjustRightInd w:val="0"/>
              <w:snapToGrid w:val="0"/>
              <w:jc w:val="center"/>
              <w:rPr>
                <w:color w:val="000000" w:themeColor="text1"/>
                <w:szCs w:val="21"/>
                <w14:textFill>
                  <w14:solidFill>
                    <w14:schemeClr w14:val="tx1"/>
                  </w14:solidFill>
                </w14:textFill>
              </w:rPr>
            </w:pPr>
          </w:p>
        </w:tc>
        <w:tc>
          <w:tcPr>
            <w:tcW w:w="1480" w:type="dxa"/>
            <w:vAlign w:val="center"/>
          </w:tcPr>
          <w:p w14:paraId="2F9E9B21">
            <w:pPr>
              <w:pStyle w:val="72"/>
              <w:rPr>
                <w:color w:val="000000" w:themeColor="text1"/>
                <w:lang w:val="en-US"/>
                <w14:textFill>
                  <w14:solidFill>
                    <w14:schemeClr w14:val="tx1"/>
                  </w14:solidFill>
                </w14:textFill>
              </w:rPr>
            </w:pPr>
            <w:r>
              <w:rPr>
                <w:rFonts w:hint="eastAsia"/>
                <w:color w:val="000000" w:themeColor="text1"/>
                <w14:textFill>
                  <w14:solidFill>
                    <w14:schemeClr w14:val="tx1"/>
                  </w14:solidFill>
                </w14:textFill>
              </w:rPr>
              <w:t>二甲苯、</w:t>
            </w:r>
            <w:r>
              <w:rPr>
                <w:color w:val="000000" w:themeColor="text1"/>
                <w14:textFill>
                  <w14:solidFill>
                    <w14:schemeClr w14:val="tx1"/>
                  </w14:solidFill>
                </w14:textFill>
              </w:rPr>
              <w:t>颗粒物</w:t>
            </w:r>
          </w:p>
        </w:tc>
        <w:tc>
          <w:tcPr>
            <w:tcW w:w="2136" w:type="dxa"/>
            <w:vMerge w:val="continue"/>
            <w:vAlign w:val="center"/>
          </w:tcPr>
          <w:p w14:paraId="72B2162E">
            <w:pPr>
              <w:adjustRightInd w:val="0"/>
              <w:snapToGrid w:val="0"/>
              <w:jc w:val="center"/>
              <w:rPr>
                <w:color w:val="000000" w:themeColor="text1"/>
                <w:szCs w:val="21"/>
                <w14:textFill>
                  <w14:solidFill>
                    <w14:schemeClr w14:val="tx1"/>
                  </w14:solidFill>
                </w14:textFill>
              </w:rPr>
            </w:pPr>
          </w:p>
        </w:tc>
        <w:tc>
          <w:tcPr>
            <w:tcW w:w="3262" w:type="dxa"/>
            <w:vAlign w:val="center"/>
          </w:tcPr>
          <w:p w14:paraId="3509D0B5">
            <w:pPr>
              <w:pStyle w:val="72"/>
              <w:jc w:val="both"/>
              <w:rPr>
                <w:color w:val="000000" w:themeColor="text1"/>
                <w:lang w:val="en-US"/>
                <w14:textFill>
                  <w14:solidFill>
                    <w14:schemeClr w14:val="tx1"/>
                  </w14:solidFill>
                </w14:textFill>
              </w:rPr>
            </w:pPr>
            <w:r>
              <w:rPr>
                <w:bCs/>
                <w:color w:val="000000" w:themeColor="text1"/>
                <w14:textFill>
                  <w14:solidFill>
                    <w14:schemeClr w14:val="tx1"/>
                  </w14:solidFill>
                </w14:textFill>
              </w:rPr>
              <w:t>《大气污染物综合排放标准》（GB</w:t>
            </w:r>
            <w:r>
              <w:rPr>
                <w:bCs/>
                <w:color w:val="000000" w:themeColor="text1"/>
                <w:lang w:val="en-US"/>
                <w14:textFill>
                  <w14:solidFill>
                    <w14:schemeClr w14:val="tx1"/>
                  </w14:solidFill>
                </w14:textFill>
              </w:rPr>
              <w:t xml:space="preserve"> </w:t>
            </w:r>
            <w:r>
              <w:rPr>
                <w:bCs/>
                <w:color w:val="000000" w:themeColor="text1"/>
                <w14:textFill>
                  <w14:solidFill>
                    <w14:schemeClr w14:val="tx1"/>
                  </w14:solidFill>
                </w14:textFill>
              </w:rPr>
              <w:t>16297-1996）</w:t>
            </w:r>
            <w:r>
              <w:rPr>
                <w:color w:val="000000" w:themeColor="text1"/>
                <w14:textFill>
                  <w14:solidFill>
                    <w14:schemeClr w14:val="tx1"/>
                  </w14:solidFill>
                </w14:textFill>
              </w:rPr>
              <w:t>表2</w:t>
            </w:r>
            <w:r>
              <w:rPr>
                <w:color w:val="000000" w:themeColor="text1"/>
                <w:lang w:val="en-US"/>
                <w14:textFill>
                  <w14:solidFill>
                    <w14:schemeClr w14:val="tx1"/>
                  </w14:solidFill>
                </w14:textFill>
              </w:rPr>
              <w:t>无组织</w:t>
            </w:r>
            <w:r>
              <w:rPr>
                <w:color w:val="000000" w:themeColor="text1"/>
                <w14:textFill>
                  <w14:solidFill>
                    <w14:schemeClr w14:val="tx1"/>
                  </w14:solidFill>
                </w14:textFill>
              </w:rPr>
              <w:t>排放</w:t>
            </w:r>
            <w:r>
              <w:rPr>
                <w:color w:val="000000" w:themeColor="text1"/>
                <w:lang w:val="en-US"/>
                <w14:textFill>
                  <w14:solidFill>
                    <w14:schemeClr w14:val="tx1"/>
                  </w14:solidFill>
                </w14:textFill>
              </w:rPr>
              <w:t>限值</w:t>
            </w:r>
          </w:p>
        </w:tc>
      </w:tr>
      <w:tr w14:paraId="617796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restart"/>
            <w:vAlign w:val="center"/>
          </w:tcPr>
          <w:p w14:paraId="78DDF52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760" w:type="dxa"/>
            <w:vAlign w:val="center"/>
          </w:tcPr>
          <w:p w14:paraId="761358E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1480" w:type="dxa"/>
            <w:vAlign w:val="center"/>
          </w:tcPr>
          <w:p w14:paraId="5F46472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pH、COD</w:t>
            </w:r>
            <w:r>
              <w:rPr>
                <w:color w:val="000000" w:themeColor="text1"/>
                <w:szCs w:val="21"/>
                <w:vertAlign w:val="subscript"/>
                <w14:textFill>
                  <w14:solidFill>
                    <w14:schemeClr w14:val="tx1"/>
                  </w14:solidFill>
                </w14:textFill>
              </w:rPr>
              <w:t>cr</w:t>
            </w: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、SS、NH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-N、TP</w:t>
            </w:r>
            <w:r>
              <w:rPr>
                <w:rFonts w:hint="eastAsia"/>
                <w:color w:val="000000" w:themeColor="text1"/>
                <w:szCs w:val="21"/>
                <w14:textFill>
                  <w14:solidFill>
                    <w14:schemeClr w14:val="tx1"/>
                  </w14:solidFill>
                </w14:textFill>
              </w:rPr>
              <w:t>、TN</w:t>
            </w:r>
          </w:p>
        </w:tc>
        <w:tc>
          <w:tcPr>
            <w:tcW w:w="2136" w:type="dxa"/>
            <w:vAlign w:val="center"/>
          </w:tcPr>
          <w:p w14:paraId="26243D5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化粪池</w:t>
            </w:r>
          </w:p>
        </w:tc>
        <w:tc>
          <w:tcPr>
            <w:tcW w:w="3262" w:type="dxa"/>
            <w:vAlign w:val="center"/>
          </w:tcPr>
          <w:p w14:paraId="57513553">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用于周边林地灌溉</w:t>
            </w:r>
            <w:r>
              <w:rPr>
                <w:color w:val="000000" w:themeColor="text1"/>
                <w:szCs w:val="21"/>
                <w14:textFill>
                  <w14:solidFill>
                    <w14:schemeClr w14:val="tx1"/>
                  </w14:solidFill>
                </w14:textFill>
              </w:rPr>
              <w:t>，不外排。执行《农田灌溉水质标准》（GB 5084-2021）中旱地作物标准限值</w:t>
            </w:r>
          </w:p>
        </w:tc>
      </w:tr>
      <w:tr w14:paraId="6C7635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Merge w:val="continue"/>
            <w:vAlign w:val="center"/>
          </w:tcPr>
          <w:p w14:paraId="2CC26677">
            <w:pPr>
              <w:adjustRightInd w:val="0"/>
              <w:snapToGrid w:val="0"/>
              <w:jc w:val="center"/>
              <w:rPr>
                <w:color w:val="000000" w:themeColor="text1"/>
                <w:szCs w:val="21"/>
                <w14:textFill>
                  <w14:solidFill>
                    <w14:schemeClr w14:val="tx1"/>
                  </w14:solidFill>
                </w14:textFill>
              </w:rPr>
            </w:pPr>
          </w:p>
        </w:tc>
        <w:tc>
          <w:tcPr>
            <w:tcW w:w="1760" w:type="dxa"/>
            <w:vAlign w:val="center"/>
          </w:tcPr>
          <w:p w14:paraId="38E1B4E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水帘废水</w:t>
            </w:r>
          </w:p>
        </w:tc>
        <w:tc>
          <w:tcPr>
            <w:tcW w:w="1480" w:type="dxa"/>
            <w:vAlign w:val="center"/>
          </w:tcPr>
          <w:p w14:paraId="45E5DB4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含漆废水</w:t>
            </w:r>
          </w:p>
        </w:tc>
        <w:tc>
          <w:tcPr>
            <w:tcW w:w="2136" w:type="dxa"/>
            <w:vAlign w:val="center"/>
          </w:tcPr>
          <w:p w14:paraId="1E1B33E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循环使用</w:t>
            </w:r>
          </w:p>
        </w:tc>
        <w:tc>
          <w:tcPr>
            <w:tcW w:w="3262" w:type="dxa"/>
            <w:vAlign w:val="center"/>
          </w:tcPr>
          <w:p w14:paraId="14A3D6D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作为危废处置</w:t>
            </w:r>
          </w:p>
        </w:tc>
      </w:tr>
      <w:tr w14:paraId="03B612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43D0F04A">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1760" w:type="dxa"/>
            <w:vAlign w:val="center"/>
          </w:tcPr>
          <w:p w14:paraId="419F13A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机械设备</w:t>
            </w:r>
          </w:p>
        </w:tc>
        <w:tc>
          <w:tcPr>
            <w:tcW w:w="1480" w:type="dxa"/>
            <w:vAlign w:val="center"/>
          </w:tcPr>
          <w:p w14:paraId="0EC3016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生产噪声</w:t>
            </w:r>
          </w:p>
        </w:tc>
        <w:tc>
          <w:tcPr>
            <w:tcW w:w="2136" w:type="dxa"/>
            <w:vAlign w:val="center"/>
          </w:tcPr>
          <w:p w14:paraId="6A18DA26">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隔声、减振降噪措施</w:t>
            </w:r>
          </w:p>
        </w:tc>
        <w:tc>
          <w:tcPr>
            <w:tcW w:w="3262" w:type="dxa"/>
            <w:vAlign w:val="center"/>
          </w:tcPr>
          <w:p w14:paraId="5675E3EE">
            <w:pPr>
              <w:adjustRightInd w:val="0"/>
              <w:snapToGrid w:val="0"/>
              <w:rPr>
                <w:color w:val="000000" w:themeColor="text1"/>
                <w:szCs w:val="21"/>
                <w14:textFill>
                  <w14:solidFill>
                    <w14:schemeClr w14:val="tx1"/>
                  </w14:solidFill>
                </w14:textFill>
              </w:rPr>
            </w:pPr>
            <w:r>
              <w:rPr>
                <w:bCs/>
                <w:color w:val="000000" w:themeColor="text1"/>
                <w:szCs w:val="21"/>
                <w14:textFill>
                  <w14:solidFill>
                    <w14:schemeClr w14:val="tx1"/>
                  </w14:solidFill>
                </w14:textFill>
              </w:rPr>
              <w:t>《工业企业厂界环境噪声排放标准》（GB12348</w:t>
            </w:r>
            <w:r>
              <w:rPr>
                <w:color w:val="000000" w:themeColor="text1"/>
                <w:szCs w:val="21"/>
                <w14:textFill>
                  <w14:solidFill>
                    <w14:schemeClr w14:val="tx1"/>
                  </w14:solidFill>
                </w14:textFill>
              </w:rPr>
              <w:t>-</w:t>
            </w:r>
            <w:r>
              <w:rPr>
                <w:bCs/>
                <w:color w:val="000000" w:themeColor="text1"/>
                <w:szCs w:val="21"/>
                <w14:textFill>
                  <w14:solidFill>
                    <w14:schemeClr w14:val="tx1"/>
                  </w14:solidFill>
                </w14:textFill>
              </w:rPr>
              <w:t>2008）中</w:t>
            </w: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类标准</w:t>
            </w:r>
          </w:p>
        </w:tc>
      </w:tr>
      <w:tr w14:paraId="4FEF6B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7AF1A28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8638" w:type="dxa"/>
            <w:gridSpan w:val="4"/>
            <w:vAlign w:val="center"/>
          </w:tcPr>
          <w:p w14:paraId="22F5EF70">
            <w:pPr>
              <w:rPr>
                <w:color w:val="000000" w:themeColor="text1"/>
                <w14:textFill>
                  <w14:solidFill>
                    <w14:schemeClr w14:val="tx1"/>
                  </w14:solidFill>
                </w14:textFill>
              </w:rPr>
            </w:pPr>
            <w:r>
              <w:rPr>
                <w:color w:val="000000" w:themeColor="text1"/>
                <w:szCs w:val="21"/>
                <w14:textFill>
                  <w14:solidFill>
                    <w14:schemeClr w14:val="tx1"/>
                  </w14:solidFill>
                </w14:textFill>
              </w:rPr>
              <w:t>根据上述分析可知，本项目运营期产生的一般固体废物为金属边角料、废包装材料及员工生活垃圾。其中，金属边角料、废包装材料集中收集后，外售物资回收单位；员工生活垃圾由环卫部门统一清运。项目危险废物为废活性炭、废过滤棉、</w:t>
            </w:r>
            <w:r>
              <w:rPr>
                <w:rFonts w:hint="eastAsia"/>
                <w:color w:val="000000" w:themeColor="text1"/>
                <w:szCs w:val="21"/>
                <w14:textFill>
                  <w14:solidFill>
                    <w14:schemeClr w14:val="tx1"/>
                  </w14:solidFill>
                </w14:textFill>
              </w:rPr>
              <w:t>废催化剂、漆渣、水帘废水、</w:t>
            </w:r>
            <w:r>
              <w:rPr>
                <w:color w:val="000000" w:themeColor="text1"/>
                <w:szCs w:val="21"/>
                <w14:textFill>
                  <w14:solidFill>
                    <w14:schemeClr w14:val="tx1"/>
                  </w14:solidFill>
                </w14:textFill>
              </w:rPr>
              <w:t>废包装桶、废机油、机油桶、含油</w:t>
            </w:r>
            <w:r>
              <w:rPr>
                <w:rFonts w:hint="eastAsia"/>
                <w:color w:val="000000" w:themeColor="text1"/>
                <w:szCs w:val="21"/>
                <w14:textFill>
                  <w14:solidFill>
                    <w14:schemeClr w14:val="tx1"/>
                  </w14:solidFill>
                </w14:textFill>
              </w:rPr>
              <w:t>或油漆</w:t>
            </w:r>
            <w:r>
              <w:rPr>
                <w:color w:val="000000" w:themeColor="text1"/>
                <w:szCs w:val="21"/>
                <w14:textFill>
                  <w14:solidFill>
                    <w14:schemeClr w14:val="tx1"/>
                  </w14:solidFill>
                </w14:textFill>
              </w:rPr>
              <w:t>废抹布及劳保用品，集中收集后交由有资质单位进行处置。项目设置一间固体废物暂存间（5m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）、一间危废</w:t>
            </w:r>
            <w:r>
              <w:rPr>
                <w:rFonts w:hint="eastAsia"/>
                <w:color w:val="000000" w:themeColor="text1"/>
                <w:szCs w:val="21"/>
                <w14:textFill>
                  <w14:solidFill>
                    <w14:schemeClr w14:val="tx1"/>
                  </w14:solidFill>
                </w14:textFill>
              </w:rPr>
              <w:t>贮存库</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10</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）。项目产生的固体废物均可得到合理处置，对外环境影响较小。</w:t>
            </w:r>
          </w:p>
        </w:tc>
      </w:tr>
      <w:tr w14:paraId="5E3522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2EEA1FD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8638" w:type="dxa"/>
            <w:gridSpan w:val="4"/>
            <w:vAlign w:val="center"/>
          </w:tcPr>
          <w:p w14:paraId="66D3962D">
            <w:pPr>
              <w:rPr>
                <w:color w:val="000000" w:themeColor="text1"/>
                <w:szCs w:val="21"/>
                <w14:textFill>
                  <w14:solidFill>
                    <w14:schemeClr w14:val="tx1"/>
                  </w14:solidFill>
                </w14:textFill>
              </w:rPr>
            </w:pPr>
            <w:r>
              <w:rPr>
                <w:color w:val="000000" w:themeColor="text1"/>
                <w:szCs w:val="21"/>
                <w14:textFill>
                  <w14:solidFill>
                    <w14:schemeClr w14:val="tx1"/>
                  </w14:solidFill>
                </w14:textFill>
              </w:rPr>
              <w:t>做好分区防渗工作，喷漆房、</w:t>
            </w:r>
            <w:r>
              <w:rPr>
                <w:rFonts w:hint="eastAsia"/>
                <w:color w:val="000000" w:themeColor="text1"/>
                <w:szCs w:val="21"/>
                <w14:textFill>
                  <w14:solidFill>
                    <w14:schemeClr w14:val="tx1"/>
                  </w14:solidFill>
                </w14:textFill>
              </w:rPr>
              <w:t>烘干房、</w:t>
            </w:r>
            <w:r>
              <w:rPr>
                <w:color w:val="000000" w:themeColor="text1"/>
                <w:szCs w:val="21"/>
                <w14:textFill>
                  <w14:solidFill>
                    <w14:schemeClr w14:val="tx1"/>
                  </w14:solidFill>
                </w14:textFill>
              </w:rPr>
              <w:t>危废贮存库、化学品仓库：防渗层为至少1米厚黏土层（渗透系数≤10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cm/s），或至少2mm厚高密度聚乙烯膜等人工防渗材料（渗透系数≤10</w:t>
            </w:r>
            <w:r>
              <w:rPr>
                <w:color w:val="000000" w:themeColor="text1"/>
                <w:szCs w:val="21"/>
                <w:vertAlign w:val="superscript"/>
                <w14:textFill>
                  <w14:solidFill>
                    <w14:schemeClr w14:val="tx1"/>
                  </w14:solidFill>
                </w14:textFill>
              </w:rPr>
              <w:t>-10</w:t>
            </w:r>
            <w:r>
              <w:rPr>
                <w:color w:val="000000" w:themeColor="text1"/>
                <w:szCs w:val="21"/>
                <w14:textFill>
                  <w14:solidFill>
                    <w14:schemeClr w14:val="tx1"/>
                  </w14:solidFill>
                </w14:textFill>
              </w:rPr>
              <w:t>cm/s），或其他防渗性能等效的材料。一般固废间、化粪池，铺设防渗涂料，等效黏土防渗层Mb≥1.5m，K≤1.0×10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cm/s；或参照GB 16889执行。其他区域进行水泥硬化或一般地面硬化。</w:t>
            </w:r>
          </w:p>
        </w:tc>
      </w:tr>
      <w:tr w14:paraId="5D7D1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3786CB4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生态保护措施</w:t>
            </w:r>
          </w:p>
        </w:tc>
        <w:tc>
          <w:tcPr>
            <w:tcW w:w="8638" w:type="dxa"/>
            <w:gridSpan w:val="4"/>
            <w:vAlign w:val="center"/>
          </w:tcPr>
          <w:p w14:paraId="49305015">
            <w:pP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项目位于</w:t>
            </w:r>
            <w:r>
              <w:rPr>
                <w:rFonts w:hint="eastAsia"/>
                <w:color w:val="000000" w:themeColor="text1"/>
                <w:kern w:val="0"/>
                <w:szCs w:val="21"/>
                <w14:textFill>
                  <w14:solidFill>
                    <w14:schemeClr w14:val="tx1"/>
                  </w14:solidFill>
                </w14:textFill>
              </w:rPr>
              <w:t>高安市黄沙岗镇挂榜村柒家村（高安市黄沙柒星建材厂内）</w:t>
            </w:r>
            <w:r>
              <w:rPr>
                <w:color w:val="000000" w:themeColor="text1"/>
                <w:szCs w:val="21"/>
                <w14:textFill>
                  <w14:solidFill>
                    <w14:schemeClr w14:val="tx1"/>
                  </w14:solidFill>
                </w14:textFill>
              </w:rPr>
              <w:t>，为工业用地，项目建设对周围生态环境影响不大。</w:t>
            </w:r>
          </w:p>
        </w:tc>
      </w:tr>
      <w:tr w14:paraId="4B7CF7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23C6E93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w:t>
            </w:r>
          </w:p>
          <w:p w14:paraId="20EEEAA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防范措施</w:t>
            </w:r>
          </w:p>
        </w:tc>
        <w:tc>
          <w:tcPr>
            <w:tcW w:w="8638" w:type="dxa"/>
            <w:gridSpan w:val="4"/>
            <w:vAlign w:val="center"/>
          </w:tcPr>
          <w:p w14:paraId="08AC0D0A">
            <w:pP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加强管理，划分禁火区域和动火等级，生产车间配备必要的消防设施和器材，在生产车间安装消防水源。危险废物</w:t>
            </w:r>
            <w:r>
              <w:rPr>
                <w:rFonts w:hint="eastAsia"/>
                <w:color w:val="000000" w:themeColor="text1"/>
                <w:szCs w:val="21"/>
                <w14:textFill>
                  <w14:solidFill>
                    <w14:schemeClr w14:val="tx1"/>
                  </w14:solidFill>
                </w14:textFill>
              </w:rPr>
              <w:t>贮存库</w:t>
            </w:r>
            <w:r>
              <w:rPr>
                <w:color w:val="000000" w:themeColor="text1"/>
                <w:szCs w:val="21"/>
                <w14:textFill>
                  <w14:solidFill>
                    <w14:schemeClr w14:val="tx1"/>
                  </w14:solidFill>
                </w14:textFill>
              </w:rPr>
              <w:t>严格按《危险废物贮存污染控制标准》（GB18597-2023）要求进行建设，建构筑物和工艺装置区均配置消防灭火设施。油漆、稀释剂和机油应密闭存放，远离强氧化剂、酸催化剂、明火、热源，设出入库台账，防止外泄；加强设备的维修、保养，加强容器、管道的安全监控，按规定进行定期检验。油漆、稀释剂和机油发生泄漏时，尽可能切断泄漏源。用活性炭或其它惰性材料吸收。</w:t>
            </w:r>
          </w:p>
        </w:tc>
      </w:tr>
      <w:tr w14:paraId="180E86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dxa"/>
            <w:vAlign w:val="center"/>
          </w:tcPr>
          <w:p w14:paraId="1429EC7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其他环境</w:t>
            </w:r>
          </w:p>
          <w:p w14:paraId="2760A67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管理要求</w:t>
            </w:r>
          </w:p>
        </w:tc>
        <w:tc>
          <w:tcPr>
            <w:tcW w:w="8638" w:type="dxa"/>
            <w:gridSpan w:val="4"/>
            <w:vAlign w:val="center"/>
          </w:tcPr>
          <w:p w14:paraId="41DEB690">
            <w:pPr>
              <w:rPr>
                <w:color w:val="000000" w:themeColor="text1"/>
                <w:szCs w:val="21"/>
                <w14:textFill>
                  <w14:solidFill>
                    <w14:schemeClr w14:val="tx1"/>
                  </w14:solidFill>
                </w14:textFill>
              </w:rPr>
            </w:pPr>
            <w:r>
              <w:rPr>
                <w:color w:val="000000" w:themeColor="text1"/>
                <w:szCs w:val="21"/>
                <w14:textFill>
                  <w14:solidFill>
                    <w14:schemeClr w14:val="tx1"/>
                  </w14:solidFill>
                </w14:textFill>
              </w:rPr>
              <w:t>实施企业自行监测，规范环保台账管理。按上级主管部门要求及时完成排污许可证申报及项目竣工环境保护验收工作。</w:t>
            </w:r>
          </w:p>
        </w:tc>
      </w:tr>
    </w:tbl>
    <w:p w14:paraId="005A4EE6">
      <w:pPr>
        <w:pStyle w:val="40"/>
        <w:spacing w:before="0" w:after="0"/>
        <w:rPr>
          <w:snapToGrid w:val="0"/>
          <w:color w:val="000000" w:themeColor="text1"/>
          <w14:textFill>
            <w14:solidFill>
              <w14:schemeClr w14:val="tx1"/>
            </w14:solidFill>
          </w14:textFill>
        </w:rPr>
        <w:sectPr>
          <w:footerReference r:id="rId6" w:type="default"/>
          <w:pgSz w:w="11906" w:h="16838"/>
          <w:pgMar w:top="1440" w:right="1080" w:bottom="1440" w:left="1080" w:header="851" w:footer="851" w:gutter="0"/>
          <w:cols w:space="720" w:num="1"/>
          <w:docGrid w:linePitch="312" w:charSpace="0"/>
        </w:sectPr>
      </w:pPr>
    </w:p>
    <w:p w14:paraId="23916E27">
      <w:pPr>
        <w:pStyle w:val="40"/>
        <w:spacing w:before="0" w:after="0"/>
        <w:rPr>
          <w:color w:val="000000" w:themeColor="text1"/>
          <w14:textFill>
            <w14:solidFill>
              <w14:schemeClr w14:val="tx1"/>
            </w14:solidFill>
          </w14:textFill>
        </w:rPr>
      </w:pPr>
      <w:bookmarkStart w:id="11" w:name="_Toc198560479"/>
      <w:r>
        <w:rPr>
          <w:snapToGrid w:val="0"/>
          <w:color w:val="000000" w:themeColor="text1"/>
          <w14:textFill>
            <w14:solidFill>
              <w14:schemeClr w14:val="tx1"/>
            </w14:solidFill>
          </w14:textFill>
        </w:rPr>
        <w:t>六、结论</w:t>
      </w:r>
      <w:bookmarkEnd w:id="11"/>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690"/>
      </w:tblGrid>
      <w:tr w14:paraId="5D669C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005" w:hRule="atLeast"/>
          <w:jc w:val="center"/>
        </w:trPr>
        <w:tc>
          <w:tcPr>
            <w:tcW w:w="9690" w:type="dxa"/>
          </w:tcPr>
          <w:p w14:paraId="1D3B822C">
            <w:pPr>
              <w:pStyle w:val="206"/>
              <w:spacing w:line="360" w:lineRule="auto"/>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高安钜鼎运动器材有限公司年产50万副球拍建设项目</w:t>
            </w:r>
            <w:r>
              <w:rPr>
                <w:rFonts w:cs="Times New Roman"/>
                <w:color w:val="000000" w:themeColor="text1"/>
                <w14:textFill>
                  <w14:solidFill>
                    <w14:schemeClr w14:val="tx1"/>
                  </w14:solidFill>
                </w14:textFill>
              </w:rPr>
              <w:t>位于</w:t>
            </w:r>
            <w:r>
              <w:rPr>
                <w:rFonts w:hint="eastAsia" w:cs="Times New Roman"/>
                <w:color w:val="000000" w:themeColor="text1"/>
                <w:szCs w:val="24"/>
                <w14:textFill>
                  <w14:solidFill>
                    <w14:schemeClr w14:val="tx1"/>
                  </w14:solidFill>
                </w14:textFill>
              </w:rPr>
              <w:t>高安市黄沙岗镇挂榜村柒家村（高安市黄沙柒星建材厂内）</w:t>
            </w:r>
            <w:r>
              <w:rPr>
                <w:rFonts w:cs="Times New Roman"/>
                <w:color w:val="000000" w:themeColor="text1"/>
                <w14:textFill>
                  <w14:solidFill>
                    <w14:schemeClr w14:val="tx1"/>
                  </w14:solidFill>
                </w14:textFill>
              </w:rPr>
              <w:t>，项目的建设符合国家产业政策，符合基地总体规划和当地环境保护规划。</w:t>
            </w:r>
          </w:p>
          <w:p w14:paraId="0EFD9619">
            <w:pPr>
              <w:pStyle w:val="206"/>
              <w:spacing w:line="36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项目废水、废气及设备噪声分别经治理后，均可达到国家有关排放标准的要求，固体废物均可得到综合利用和安全处置。不存在《建设项目环境保护管理条例》第十一条的五种不予批准的情形。</w:t>
            </w:r>
          </w:p>
          <w:p w14:paraId="3173F4D4">
            <w:pPr>
              <w:pStyle w:val="159"/>
            </w:pPr>
            <w:r>
              <w:t>因此，本评价认为，在严格执行国家和江西省的各项环保规章制度，并切实落实本报告表所提出的各项污染物防治措施和风险防范措施，保证环保设施达到设计要求并正常运转，将环境管理纳入日常生产管理的前提下，从环境保护的角度上看，</w:t>
            </w:r>
            <w:r>
              <w:rPr>
                <w:rFonts w:hint="eastAsia"/>
              </w:rPr>
              <w:t>高安钜鼎运动器材有限公司年产50万副球拍建设项目</w:t>
            </w:r>
            <w:r>
              <w:t>建设是可行的。在落实本环评提出的各项措施的前提下，本项目建成后，对周边环境的影响较小，在</w:t>
            </w:r>
            <w:r>
              <w:rPr>
                <w:rFonts w:hint="eastAsia"/>
              </w:rPr>
              <w:t>项目</w:t>
            </w:r>
            <w:r>
              <w:t>建设和生产运行过程中，建设单位应确保环保资金的投入量和合理使用，使“三同时”工作落到实处。</w:t>
            </w:r>
          </w:p>
          <w:p w14:paraId="48844840">
            <w:pPr>
              <w:pStyle w:val="225"/>
              <w:spacing w:line="360" w:lineRule="auto"/>
              <w:rPr>
                <w:color w:val="000000" w:themeColor="text1"/>
                <w:kern w:val="0"/>
                <w:sz w:val="21"/>
                <w:szCs w:val="21"/>
                <w:u w:val="single"/>
                <w14:textFill>
                  <w14:solidFill>
                    <w14:schemeClr w14:val="tx1"/>
                  </w14:solidFill>
                </w14:textFill>
              </w:rPr>
            </w:pPr>
          </w:p>
          <w:p w14:paraId="15D493EC">
            <w:pPr>
              <w:pStyle w:val="225"/>
              <w:spacing w:line="360" w:lineRule="auto"/>
              <w:ind w:firstLine="422" w:firstLineChars="200"/>
              <w:rPr>
                <w:color w:val="000000" w:themeColor="text1"/>
                <w:kern w:val="0"/>
                <w:sz w:val="21"/>
                <w:szCs w:val="21"/>
                <w:u w:val="single"/>
                <w14:textFill>
                  <w14:solidFill>
                    <w14:schemeClr w14:val="tx1"/>
                  </w14:solidFill>
                </w14:textFill>
              </w:rPr>
            </w:pPr>
            <w:r>
              <w:rPr>
                <w:color w:val="000000" w:themeColor="text1"/>
                <w:kern w:val="0"/>
                <w:sz w:val="21"/>
                <w:szCs w:val="21"/>
                <w14:textFill>
                  <w14:solidFill>
                    <w14:schemeClr w14:val="tx1"/>
                  </w14:solidFill>
                </w14:textFill>
              </w:rPr>
              <w:t>注：项目基础资料均由建设单位提供，并对其准确性和有效性负责。建设单位未来如需增加本报告表所涉及之外的污染源或对其功能进行调整，则应按要求向有关环保部门进行申报，并按污染控制目标采取相应的污染治理措施。</w:t>
            </w:r>
          </w:p>
          <w:p w14:paraId="173B81F4">
            <w:pPr>
              <w:pStyle w:val="225"/>
              <w:spacing w:line="360" w:lineRule="auto"/>
              <w:rPr>
                <w:color w:val="000000" w:themeColor="text1"/>
                <w:kern w:val="0"/>
                <w:sz w:val="21"/>
                <w:szCs w:val="21"/>
                <w:u w:val="single"/>
                <w14:textFill>
                  <w14:solidFill>
                    <w14:schemeClr w14:val="tx1"/>
                  </w14:solidFill>
                </w14:textFill>
              </w:rPr>
            </w:pPr>
          </w:p>
          <w:p w14:paraId="60F5307A">
            <w:pPr>
              <w:pStyle w:val="225"/>
              <w:spacing w:line="360" w:lineRule="auto"/>
              <w:rPr>
                <w:color w:val="000000" w:themeColor="text1"/>
                <w:kern w:val="0"/>
                <w:sz w:val="21"/>
                <w:szCs w:val="21"/>
                <w:u w:val="single"/>
                <w14:textFill>
                  <w14:solidFill>
                    <w14:schemeClr w14:val="tx1"/>
                  </w14:solidFill>
                </w14:textFill>
              </w:rPr>
            </w:pPr>
          </w:p>
          <w:p w14:paraId="3951930F">
            <w:pPr>
              <w:pStyle w:val="225"/>
              <w:spacing w:line="360" w:lineRule="auto"/>
              <w:rPr>
                <w:color w:val="000000" w:themeColor="text1"/>
                <w:kern w:val="0"/>
                <w:sz w:val="21"/>
                <w:szCs w:val="21"/>
                <w:u w:val="single"/>
                <w14:textFill>
                  <w14:solidFill>
                    <w14:schemeClr w14:val="tx1"/>
                  </w14:solidFill>
                </w14:textFill>
              </w:rPr>
            </w:pPr>
          </w:p>
          <w:p w14:paraId="09837F05">
            <w:pPr>
              <w:pStyle w:val="225"/>
              <w:spacing w:line="360" w:lineRule="auto"/>
              <w:rPr>
                <w:color w:val="000000" w:themeColor="text1"/>
                <w:kern w:val="0"/>
                <w:sz w:val="21"/>
                <w:szCs w:val="21"/>
                <w:u w:val="single"/>
                <w14:textFill>
                  <w14:solidFill>
                    <w14:schemeClr w14:val="tx1"/>
                  </w14:solidFill>
                </w14:textFill>
              </w:rPr>
            </w:pPr>
          </w:p>
          <w:p w14:paraId="14AC8AC2">
            <w:pPr>
              <w:pStyle w:val="225"/>
              <w:spacing w:line="360" w:lineRule="auto"/>
              <w:rPr>
                <w:color w:val="000000" w:themeColor="text1"/>
                <w:kern w:val="0"/>
                <w:sz w:val="21"/>
                <w:szCs w:val="21"/>
                <w:u w:val="single"/>
                <w14:textFill>
                  <w14:solidFill>
                    <w14:schemeClr w14:val="tx1"/>
                  </w14:solidFill>
                </w14:textFill>
              </w:rPr>
            </w:pPr>
          </w:p>
          <w:p w14:paraId="3A53E0D6">
            <w:pPr>
              <w:pStyle w:val="225"/>
              <w:spacing w:line="360" w:lineRule="auto"/>
              <w:rPr>
                <w:color w:val="000000" w:themeColor="text1"/>
                <w:kern w:val="0"/>
                <w:sz w:val="21"/>
                <w:szCs w:val="21"/>
                <w:u w:val="single"/>
                <w14:textFill>
                  <w14:solidFill>
                    <w14:schemeClr w14:val="tx1"/>
                  </w14:solidFill>
                </w14:textFill>
              </w:rPr>
            </w:pPr>
          </w:p>
          <w:p w14:paraId="3EE53999">
            <w:pPr>
              <w:pStyle w:val="225"/>
              <w:spacing w:line="360" w:lineRule="auto"/>
              <w:rPr>
                <w:color w:val="000000" w:themeColor="text1"/>
                <w:kern w:val="0"/>
                <w:sz w:val="21"/>
                <w:szCs w:val="21"/>
                <w:u w:val="single"/>
                <w14:textFill>
                  <w14:solidFill>
                    <w14:schemeClr w14:val="tx1"/>
                  </w14:solidFill>
                </w14:textFill>
              </w:rPr>
            </w:pPr>
          </w:p>
          <w:p w14:paraId="7ADF83D6">
            <w:pPr>
              <w:pStyle w:val="225"/>
              <w:spacing w:line="360" w:lineRule="auto"/>
              <w:rPr>
                <w:color w:val="000000" w:themeColor="text1"/>
                <w:kern w:val="0"/>
                <w:sz w:val="21"/>
                <w:szCs w:val="21"/>
                <w:u w:val="single"/>
                <w14:textFill>
                  <w14:solidFill>
                    <w14:schemeClr w14:val="tx1"/>
                  </w14:solidFill>
                </w14:textFill>
              </w:rPr>
            </w:pPr>
          </w:p>
          <w:p w14:paraId="6BD1A01A">
            <w:pPr>
              <w:pStyle w:val="225"/>
              <w:spacing w:line="360" w:lineRule="auto"/>
              <w:rPr>
                <w:color w:val="000000" w:themeColor="text1"/>
                <w:kern w:val="0"/>
                <w:sz w:val="21"/>
                <w:szCs w:val="21"/>
                <w:u w:val="single"/>
                <w14:textFill>
                  <w14:solidFill>
                    <w14:schemeClr w14:val="tx1"/>
                  </w14:solidFill>
                </w14:textFill>
              </w:rPr>
            </w:pPr>
          </w:p>
          <w:p w14:paraId="63F7ECEB">
            <w:pPr>
              <w:pStyle w:val="225"/>
              <w:spacing w:line="360" w:lineRule="auto"/>
              <w:rPr>
                <w:color w:val="000000" w:themeColor="text1"/>
                <w:kern w:val="0"/>
                <w:sz w:val="21"/>
                <w:szCs w:val="21"/>
                <w:u w:val="single"/>
                <w14:textFill>
                  <w14:solidFill>
                    <w14:schemeClr w14:val="tx1"/>
                  </w14:solidFill>
                </w14:textFill>
              </w:rPr>
            </w:pPr>
          </w:p>
          <w:p w14:paraId="3948EDBB">
            <w:pPr>
              <w:pStyle w:val="225"/>
              <w:spacing w:line="360" w:lineRule="auto"/>
              <w:rPr>
                <w:color w:val="000000" w:themeColor="text1"/>
                <w:kern w:val="0"/>
                <w:sz w:val="21"/>
                <w:szCs w:val="21"/>
                <w:u w:val="single"/>
                <w14:textFill>
                  <w14:solidFill>
                    <w14:schemeClr w14:val="tx1"/>
                  </w14:solidFill>
                </w14:textFill>
              </w:rPr>
            </w:pPr>
          </w:p>
          <w:p w14:paraId="3DD4EA29">
            <w:pPr>
              <w:pStyle w:val="225"/>
              <w:spacing w:line="360" w:lineRule="auto"/>
              <w:rPr>
                <w:color w:val="000000" w:themeColor="text1"/>
                <w:kern w:val="0"/>
                <w:sz w:val="21"/>
                <w:szCs w:val="21"/>
                <w:u w:val="single"/>
                <w14:textFill>
                  <w14:solidFill>
                    <w14:schemeClr w14:val="tx1"/>
                  </w14:solidFill>
                </w14:textFill>
              </w:rPr>
            </w:pPr>
          </w:p>
          <w:p w14:paraId="2C280ED2">
            <w:pPr>
              <w:pStyle w:val="225"/>
              <w:spacing w:line="360" w:lineRule="auto"/>
              <w:rPr>
                <w:color w:val="000000" w:themeColor="text1"/>
                <w:kern w:val="0"/>
                <w:sz w:val="21"/>
                <w:szCs w:val="21"/>
                <w:u w:val="single"/>
                <w14:textFill>
                  <w14:solidFill>
                    <w14:schemeClr w14:val="tx1"/>
                  </w14:solidFill>
                </w14:textFill>
              </w:rPr>
            </w:pPr>
          </w:p>
          <w:p w14:paraId="17CD65A9">
            <w:pPr>
              <w:pStyle w:val="225"/>
              <w:spacing w:line="360" w:lineRule="auto"/>
              <w:rPr>
                <w:color w:val="000000" w:themeColor="text1"/>
                <w:kern w:val="0"/>
                <w:sz w:val="21"/>
                <w:szCs w:val="21"/>
                <w:u w:val="single"/>
                <w14:textFill>
                  <w14:solidFill>
                    <w14:schemeClr w14:val="tx1"/>
                  </w14:solidFill>
                </w14:textFill>
              </w:rPr>
            </w:pPr>
          </w:p>
          <w:p w14:paraId="4A870564">
            <w:pPr>
              <w:pStyle w:val="225"/>
              <w:spacing w:line="360" w:lineRule="auto"/>
              <w:rPr>
                <w:color w:val="000000" w:themeColor="text1"/>
                <w:kern w:val="0"/>
                <w:sz w:val="21"/>
                <w:szCs w:val="21"/>
                <w:u w:val="single"/>
                <w14:textFill>
                  <w14:solidFill>
                    <w14:schemeClr w14:val="tx1"/>
                  </w14:solidFill>
                </w14:textFill>
              </w:rPr>
            </w:pPr>
          </w:p>
          <w:p w14:paraId="113CF7A5">
            <w:pPr>
              <w:pStyle w:val="225"/>
              <w:spacing w:line="360" w:lineRule="auto"/>
              <w:rPr>
                <w:color w:val="000000" w:themeColor="text1"/>
                <w:kern w:val="0"/>
                <w:sz w:val="21"/>
                <w:szCs w:val="21"/>
                <w:u w:val="single"/>
                <w14:textFill>
                  <w14:solidFill>
                    <w14:schemeClr w14:val="tx1"/>
                  </w14:solidFill>
                </w14:textFill>
              </w:rPr>
            </w:pPr>
          </w:p>
          <w:p w14:paraId="6AF53E5E">
            <w:pPr>
              <w:pStyle w:val="225"/>
              <w:spacing w:line="360" w:lineRule="auto"/>
              <w:rPr>
                <w:color w:val="000000" w:themeColor="text1"/>
                <w14:textFill>
                  <w14:solidFill>
                    <w14:schemeClr w14:val="tx1"/>
                  </w14:solidFill>
                </w14:textFill>
              </w:rPr>
            </w:pPr>
          </w:p>
        </w:tc>
      </w:tr>
    </w:tbl>
    <w:p w14:paraId="449479ED">
      <w:pPr>
        <w:pStyle w:val="219"/>
        <w:rPr>
          <w:rFonts w:cs="Times New Roman"/>
          <w:snapToGrid w:val="0"/>
          <w:color w:val="000000" w:themeColor="text1"/>
          <w14:textFill>
            <w14:solidFill>
              <w14:schemeClr w14:val="tx1"/>
            </w14:solidFill>
          </w14:textFill>
        </w:rPr>
        <w:sectPr>
          <w:pgSz w:w="11906" w:h="16838"/>
          <w:pgMar w:top="1440" w:right="1080" w:bottom="1440" w:left="1080" w:header="851" w:footer="851" w:gutter="0"/>
          <w:cols w:space="720" w:num="1"/>
          <w:docGrid w:linePitch="312" w:charSpace="0"/>
        </w:sectPr>
      </w:pPr>
    </w:p>
    <w:p w14:paraId="0F1648F9">
      <w:pPr>
        <w:pStyle w:val="40"/>
        <w:jc w:val="left"/>
        <w:rPr>
          <w:rFonts w:eastAsia="宋体"/>
          <w:snapToGrid w:val="0"/>
          <w:color w:val="000000" w:themeColor="text1"/>
          <w:sz w:val="24"/>
          <w:szCs w:val="24"/>
          <w14:textFill>
            <w14:solidFill>
              <w14:schemeClr w14:val="tx1"/>
            </w14:solidFill>
          </w14:textFill>
        </w:rPr>
      </w:pPr>
      <w:bookmarkStart w:id="12" w:name="_Toc72221290"/>
      <w:bookmarkStart w:id="13" w:name="_Toc141283725"/>
      <w:bookmarkStart w:id="14" w:name="_Toc198560480"/>
      <w:r>
        <w:rPr>
          <w:rFonts w:eastAsia="宋体"/>
          <w:snapToGrid w:val="0"/>
          <w:color w:val="000000" w:themeColor="text1"/>
          <w:sz w:val="24"/>
          <w:szCs w:val="24"/>
          <w14:textFill>
            <w14:solidFill>
              <w14:schemeClr w14:val="tx1"/>
            </w14:solidFill>
          </w14:textFill>
        </w:rPr>
        <w:t>附表一</w:t>
      </w:r>
      <w:r>
        <w:rPr>
          <w:rFonts w:eastAsia="宋体"/>
          <w:snapToGrid w:val="0"/>
          <w:color w:val="000000" w:themeColor="text1"/>
          <w:sz w:val="24"/>
          <w:szCs w:val="24"/>
          <w:lang w:val="en-US"/>
          <w14:textFill>
            <w14:solidFill>
              <w14:schemeClr w14:val="tx1"/>
            </w14:solidFill>
          </w14:textFill>
        </w:rPr>
        <w:t xml:space="preserve">  </w:t>
      </w:r>
      <w:r>
        <w:rPr>
          <w:rFonts w:eastAsia="宋体"/>
          <w:snapToGrid w:val="0"/>
          <w:color w:val="000000" w:themeColor="text1"/>
          <w:sz w:val="24"/>
          <w:szCs w:val="24"/>
          <w14:textFill>
            <w14:solidFill>
              <w14:schemeClr w14:val="tx1"/>
            </w14:solidFill>
          </w14:textFill>
        </w:rPr>
        <w:t>建设项目污染物排放量汇总表</w:t>
      </w:r>
      <w:bookmarkEnd w:id="12"/>
      <w:bookmarkEnd w:id="13"/>
      <w:bookmarkEnd w:id="14"/>
    </w:p>
    <w:p w14:paraId="64FA440F">
      <w:pPr>
        <w:pStyle w:val="159"/>
        <w:jc w:val="center"/>
      </w:pPr>
      <w:r>
        <w:t>建设项目污染物排放量汇总表</w:t>
      </w:r>
    </w:p>
    <w:tbl>
      <w:tblPr>
        <w:tblStyle w:val="43"/>
        <w:tblpPr w:leftFromText="180" w:rightFromText="180" w:vertAnchor="text" w:tblpXSpec="center" w:tblpY="1"/>
        <w:tblOverlap w:val="never"/>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701"/>
        <w:gridCol w:w="1560"/>
        <w:gridCol w:w="1559"/>
        <w:gridCol w:w="1701"/>
        <w:gridCol w:w="1559"/>
        <w:gridCol w:w="1761"/>
        <w:gridCol w:w="1959"/>
        <w:gridCol w:w="1667"/>
      </w:tblGrid>
      <w:tr w14:paraId="2BD2C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tcBorders>
              <w:top w:val="single" w:color="auto" w:sz="8" w:space="0"/>
              <w:bottom w:val="single" w:color="auto" w:sz="4" w:space="0"/>
              <w:tl2br w:val="single" w:color="auto" w:sz="4" w:space="0"/>
            </w:tcBorders>
            <w:tcMar>
              <w:left w:w="28" w:type="dxa"/>
              <w:right w:w="28" w:type="dxa"/>
            </w:tcMar>
            <w:vAlign w:val="bottom"/>
          </w:tcPr>
          <w:p w14:paraId="5A07F2C6">
            <w:pPr>
              <w:pStyle w:val="165"/>
              <w:framePr w:hSpace="0" w:wrap="auto" w:vAnchor="margin" w:hAnchor="text" w:xAlign="left" w:yAlign="inline"/>
              <w:jc w:val="right"/>
              <w:rPr>
                <w:color w:val="000000" w:themeColor="text1"/>
                <w14:textFill>
                  <w14:solidFill>
                    <w14:schemeClr w14:val="tx1"/>
                  </w14:solidFill>
                </w14:textFill>
              </w:rPr>
            </w:pPr>
            <w:r>
              <w:rPr>
                <w:color w:val="000000" w:themeColor="text1"/>
                <w14:textFill>
                  <w14:solidFill>
                    <w14:schemeClr w14:val="tx1"/>
                  </w14:solidFill>
                </w14:textFill>
              </w:rPr>
              <w:t>项目</w:t>
            </w:r>
          </w:p>
          <w:p w14:paraId="2A80356B">
            <w:pPr>
              <w:rPr>
                <w:color w:val="000000" w:themeColor="text1"/>
                <w14:textFill>
                  <w14:solidFill>
                    <w14:schemeClr w14:val="tx1"/>
                  </w14:solidFill>
                </w14:textFill>
              </w:rPr>
            </w:pPr>
          </w:p>
          <w:p w14:paraId="7792AF51">
            <w:pPr>
              <w:pStyle w:val="165"/>
              <w:framePr w:hSpace="0" w:wrap="auto" w:vAnchor="margin" w:hAnchor="text" w:xAlign="left" w:yAlign="inline"/>
              <w:jc w:val="both"/>
              <w:rPr>
                <w:color w:val="000000" w:themeColor="text1"/>
                <w14:textFill>
                  <w14:solidFill>
                    <w14:schemeClr w14:val="tx1"/>
                  </w14:solidFill>
                </w14:textFill>
              </w:rPr>
            </w:pPr>
            <w:r>
              <w:rPr>
                <w:color w:val="000000" w:themeColor="text1"/>
                <w14:textFill>
                  <w14:solidFill>
                    <w14:schemeClr w14:val="tx1"/>
                  </w14:solidFill>
                </w14:textFill>
              </w:rPr>
              <w:t>分类</w:t>
            </w:r>
          </w:p>
        </w:tc>
        <w:tc>
          <w:tcPr>
            <w:tcW w:w="1701" w:type="dxa"/>
            <w:tcBorders>
              <w:top w:val="single" w:color="auto" w:sz="8" w:space="0"/>
              <w:bottom w:val="single" w:color="auto" w:sz="4" w:space="0"/>
            </w:tcBorders>
            <w:tcMar>
              <w:left w:w="28" w:type="dxa"/>
              <w:right w:w="28" w:type="dxa"/>
            </w:tcMar>
            <w:vAlign w:val="center"/>
          </w:tcPr>
          <w:p w14:paraId="515CB0A2">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污染物名称</w:t>
            </w:r>
          </w:p>
        </w:tc>
        <w:tc>
          <w:tcPr>
            <w:tcW w:w="1560" w:type="dxa"/>
            <w:tcBorders>
              <w:top w:val="single" w:color="auto" w:sz="8" w:space="0"/>
              <w:bottom w:val="single" w:color="auto" w:sz="4" w:space="0"/>
            </w:tcBorders>
            <w:tcMar>
              <w:left w:w="28" w:type="dxa"/>
              <w:right w:w="28" w:type="dxa"/>
            </w:tcMar>
            <w:vAlign w:val="center"/>
          </w:tcPr>
          <w:p w14:paraId="6BF11A94">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现有工程排放量（固体废物产生量）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①</w:t>
            </w:r>
            <w:r>
              <w:rPr>
                <w:color w:val="000000" w:themeColor="text1"/>
                <w14:textFill>
                  <w14:solidFill>
                    <w14:schemeClr w14:val="tx1"/>
                  </w14:solidFill>
                </w14:textFill>
              </w:rPr>
              <w:fldChar w:fldCharType="end"/>
            </w:r>
          </w:p>
        </w:tc>
        <w:tc>
          <w:tcPr>
            <w:tcW w:w="1559" w:type="dxa"/>
            <w:tcBorders>
              <w:top w:val="single" w:color="auto" w:sz="8" w:space="0"/>
              <w:bottom w:val="single" w:color="auto" w:sz="4" w:space="0"/>
            </w:tcBorders>
            <w:tcMar>
              <w:left w:w="28" w:type="dxa"/>
              <w:right w:w="28" w:type="dxa"/>
            </w:tcMar>
            <w:vAlign w:val="center"/>
          </w:tcPr>
          <w:p w14:paraId="1B9596E7">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现有工程许可排放量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2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14:textFill>
                  <w14:solidFill>
                    <w14:schemeClr w14:val="tx1"/>
                  </w14:solidFill>
                </w14:textFill>
              </w:rPr>
              <w:t>②</w:t>
            </w:r>
            <w:r>
              <w:rPr>
                <w:color w:val="000000" w:themeColor="text1"/>
                <w14:textFill>
                  <w14:solidFill>
                    <w14:schemeClr w14:val="tx1"/>
                  </w14:solidFill>
                </w14:textFill>
              </w:rPr>
              <w:fldChar w:fldCharType="end"/>
            </w:r>
          </w:p>
        </w:tc>
        <w:tc>
          <w:tcPr>
            <w:tcW w:w="1701" w:type="dxa"/>
            <w:tcBorders>
              <w:top w:val="single" w:color="auto" w:sz="8" w:space="0"/>
              <w:bottom w:val="single" w:color="auto" w:sz="4" w:space="0"/>
            </w:tcBorders>
            <w:tcMar>
              <w:left w:w="28" w:type="dxa"/>
              <w:right w:w="28" w:type="dxa"/>
            </w:tcMar>
            <w:vAlign w:val="center"/>
          </w:tcPr>
          <w:p w14:paraId="54CAEE90">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在建工程排放量（固体废物产生量）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3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③</w:t>
            </w:r>
            <w:r>
              <w:rPr>
                <w:color w:val="000000" w:themeColor="text1"/>
                <w14:textFill>
                  <w14:solidFill>
                    <w14:schemeClr w14:val="tx1"/>
                  </w14:solidFill>
                </w14:textFill>
              </w:rPr>
              <w:fldChar w:fldCharType="end"/>
            </w:r>
          </w:p>
        </w:tc>
        <w:tc>
          <w:tcPr>
            <w:tcW w:w="1559" w:type="dxa"/>
            <w:tcBorders>
              <w:top w:val="single" w:color="auto" w:sz="8" w:space="0"/>
              <w:bottom w:val="single" w:color="auto" w:sz="4" w:space="0"/>
            </w:tcBorders>
            <w:tcMar>
              <w:left w:w="28" w:type="dxa"/>
              <w:right w:w="28" w:type="dxa"/>
            </w:tcMar>
            <w:vAlign w:val="center"/>
          </w:tcPr>
          <w:p w14:paraId="082EF191">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本项目排放量（固体废物产生量）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4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④</w:t>
            </w:r>
            <w:r>
              <w:rPr>
                <w:color w:val="000000" w:themeColor="text1"/>
                <w14:textFill>
                  <w14:solidFill>
                    <w14:schemeClr w14:val="tx1"/>
                  </w14:solidFill>
                </w14:textFill>
              </w:rPr>
              <w:fldChar w:fldCharType="end"/>
            </w:r>
          </w:p>
        </w:tc>
        <w:tc>
          <w:tcPr>
            <w:tcW w:w="1761" w:type="dxa"/>
            <w:tcBorders>
              <w:top w:val="single" w:color="auto" w:sz="8" w:space="0"/>
              <w:bottom w:val="single" w:color="auto" w:sz="4" w:space="0"/>
            </w:tcBorders>
            <w:tcMar>
              <w:left w:w="28" w:type="dxa"/>
              <w:right w:w="28" w:type="dxa"/>
            </w:tcMar>
            <w:vAlign w:val="center"/>
          </w:tcPr>
          <w:p w14:paraId="0BF606B2">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以新带老削减量</w:t>
            </w:r>
          </w:p>
          <w:p w14:paraId="786B84EC">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（新建项目不填）</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5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⑤</w:t>
            </w:r>
            <w:r>
              <w:rPr>
                <w:color w:val="000000" w:themeColor="text1"/>
                <w14:textFill>
                  <w14:solidFill>
                    <w14:schemeClr w14:val="tx1"/>
                  </w14:solidFill>
                </w14:textFill>
              </w:rPr>
              <w:fldChar w:fldCharType="end"/>
            </w:r>
          </w:p>
        </w:tc>
        <w:tc>
          <w:tcPr>
            <w:tcW w:w="1959" w:type="dxa"/>
            <w:tcBorders>
              <w:top w:val="single" w:color="auto" w:sz="8" w:space="0"/>
              <w:bottom w:val="single" w:color="auto" w:sz="4" w:space="0"/>
            </w:tcBorders>
            <w:tcMar>
              <w:left w:w="28" w:type="dxa"/>
              <w:right w:w="28" w:type="dxa"/>
            </w:tcMar>
            <w:vAlign w:val="center"/>
          </w:tcPr>
          <w:p w14:paraId="4FD73CA8">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本项目建成后</w:t>
            </w:r>
          </w:p>
          <w:p w14:paraId="0F3EDAAB">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全厂排放量（固体废物产生量）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6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⑥</w:t>
            </w:r>
            <w:r>
              <w:rPr>
                <w:color w:val="000000" w:themeColor="text1"/>
                <w14:textFill>
                  <w14:solidFill>
                    <w14:schemeClr w14:val="tx1"/>
                  </w14:solidFill>
                </w14:textFill>
              </w:rPr>
              <w:fldChar w:fldCharType="end"/>
            </w:r>
          </w:p>
        </w:tc>
        <w:tc>
          <w:tcPr>
            <w:tcW w:w="1667" w:type="dxa"/>
            <w:tcBorders>
              <w:top w:val="single" w:color="auto" w:sz="8" w:space="0"/>
              <w:bottom w:val="single" w:color="auto" w:sz="4" w:space="0"/>
            </w:tcBorders>
            <w:tcMar>
              <w:left w:w="28" w:type="dxa"/>
              <w:right w:w="28" w:type="dxa"/>
            </w:tcMar>
            <w:vAlign w:val="center"/>
          </w:tcPr>
          <w:p w14:paraId="7957793B">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变化量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7 \* GB3 \* MERGEFORMAT </w:instrText>
            </w:r>
            <w:r>
              <w:rPr>
                <w:color w:val="000000" w:themeColor="text1"/>
                <w14:textFill>
                  <w14:solidFill>
                    <w14:schemeClr w14:val="tx1"/>
                  </w14:solidFill>
                </w14:textFill>
              </w:rPr>
              <w:fldChar w:fldCharType="separate"/>
            </w:r>
            <w:r>
              <w:rPr>
                <w:rFonts w:ascii="Cambria Math" w:hAnsi="Cambria Math" w:cs="Cambria Math"/>
                <w:color w:val="000000" w:themeColor="text1"/>
                <w:kern w:val="2"/>
                <w14:textFill>
                  <w14:solidFill>
                    <w14:schemeClr w14:val="tx1"/>
                  </w14:solidFill>
                </w14:textFill>
              </w:rPr>
              <w:t>⑦</w:t>
            </w:r>
            <w:r>
              <w:rPr>
                <w:color w:val="000000" w:themeColor="text1"/>
                <w14:textFill>
                  <w14:solidFill>
                    <w14:schemeClr w14:val="tx1"/>
                  </w14:solidFill>
                </w14:textFill>
              </w:rPr>
              <w:fldChar w:fldCharType="end"/>
            </w:r>
          </w:p>
        </w:tc>
      </w:tr>
      <w:tr w14:paraId="39C1E7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restart"/>
            <w:tcBorders>
              <w:top w:val="single" w:color="auto" w:sz="4" w:space="0"/>
              <w:bottom w:val="single" w:color="auto" w:sz="4" w:space="0"/>
            </w:tcBorders>
            <w:vAlign w:val="center"/>
          </w:tcPr>
          <w:p w14:paraId="4FF3271E">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1701" w:type="dxa"/>
            <w:tcBorders>
              <w:top w:val="single" w:color="auto" w:sz="4" w:space="0"/>
              <w:bottom w:val="single" w:color="auto" w:sz="4" w:space="0"/>
            </w:tcBorders>
            <w:vAlign w:val="center"/>
          </w:tcPr>
          <w:p w14:paraId="3E308E01">
            <w:pPr>
              <w:jc w:val="center"/>
              <w:rPr>
                <w:color w:val="000000" w:themeColor="text1"/>
                <w:kern w:val="0"/>
                <w:szCs w:val="21"/>
                <w14:textFill>
                  <w14:solidFill>
                    <w14:schemeClr w14:val="tx1"/>
                  </w14:solidFill>
                </w14:textFill>
              </w:rPr>
            </w:pPr>
            <w:r>
              <w:rPr>
                <w:rFonts w:eastAsiaTheme="minorEastAsia"/>
                <w:color w:val="000000" w:themeColor="text1"/>
                <w:szCs w:val="21"/>
                <w14:textFill>
                  <w14:solidFill>
                    <w14:schemeClr w14:val="tx1"/>
                  </w14:solidFill>
                </w14:textFill>
              </w:rPr>
              <w:t>颗粒物</w:t>
            </w:r>
          </w:p>
        </w:tc>
        <w:tc>
          <w:tcPr>
            <w:tcW w:w="1560" w:type="dxa"/>
            <w:tcBorders>
              <w:top w:val="single" w:color="auto" w:sz="4" w:space="0"/>
              <w:bottom w:val="single" w:color="auto" w:sz="4" w:space="0"/>
            </w:tcBorders>
            <w:vAlign w:val="center"/>
          </w:tcPr>
          <w:p w14:paraId="67C4899D">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79E03049">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28A96213">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052428A1">
            <w:pPr>
              <w:pStyle w:val="187"/>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094</w:t>
            </w:r>
            <w:r>
              <w:rPr>
                <w:color w:val="000000" w:themeColor="text1"/>
                <w14:textFill>
                  <w14:solidFill>
                    <w14:schemeClr w14:val="tx1"/>
                  </w14:solidFill>
                </w14:textFill>
              </w:rPr>
              <w:t>t/a</w:t>
            </w:r>
          </w:p>
        </w:tc>
        <w:tc>
          <w:tcPr>
            <w:tcW w:w="1761" w:type="dxa"/>
            <w:tcBorders>
              <w:top w:val="single" w:color="auto" w:sz="4" w:space="0"/>
              <w:bottom w:val="single" w:color="auto" w:sz="4" w:space="0"/>
            </w:tcBorders>
            <w:vAlign w:val="center"/>
          </w:tcPr>
          <w:p w14:paraId="57376507">
            <w:pPr>
              <w:pStyle w:val="187"/>
              <w:rPr>
                <w:color w:val="000000" w:themeColor="text1"/>
                <w14:textFill>
                  <w14:solidFill>
                    <w14:schemeClr w14:val="tx1"/>
                  </w14:solidFill>
                </w14:textFill>
              </w:rPr>
            </w:pPr>
            <w:r>
              <w:rPr>
                <w:color w:val="000000" w:themeColor="text1"/>
                <w14:textFill>
                  <w14:solidFill>
                    <w14:schemeClr w14:val="tx1"/>
                  </w14:solidFill>
                </w14:textFill>
              </w:rPr>
              <w:t>/</w:t>
            </w:r>
          </w:p>
        </w:tc>
        <w:tc>
          <w:tcPr>
            <w:tcW w:w="1959" w:type="dxa"/>
            <w:tcBorders>
              <w:top w:val="single" w:color="auto" w:sz="4" w:space="0"/>
              <w:bottom w:val="single" w:color="auto" w:sz="4" w:space="0"/>
            </w:tcBorders>
            <w:vAlign w:val="center"/>
          </w:tcPr>
          <w:p w14:paraId="032BB4C2">
            <w:pPr>
              <w:pStyle w:val="187"/>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094</w:t>
            </w:r>
            <w:r>
              <w:rPr>
                <w:color w:val="000000" w:themeColor="text1"/>
                <w14:textFill>
                  <w14:solidFill>
                    <w14:schemeClr w14:val="tx1"/>
                  </w14:solidFill>
                </w14:textFill>
              </w:rPr>
              <w:t>t/a</w:t>
            </w:r>
          </w:p>
        </w:tc>
        <w:tc>
          <w:tcPr>
            <w:tcW w:w="1667" w:type="dxa"/>
            <w:tcBorders>
              <w:top w:val="single" w:color="auto" w:sz="4" w:space="0"/>
              <w:bottom w:val="single" w:color="auto" w:sz="4" w:space="0"/>
            </w:tcBorders>
            <w:vAlign w:val="center"/>
          </w:tcPr>
          <w:p w14:paraId="3EC22994">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094</w:t>
            </w:r>
            <w:r>
              <w:rPr>
                <w:color w:val="000000" w:themeColor="text1"/>
                <w14:textFill>
                  <w14:solidFill>
                    <w14:schemeClr w14:val="tx1"/>
                  </w14:solidFill>
                </w14:textFill>
              </w:rPr>
              <w:t>t/a</w:t>
            </w:r>
          </w:p>
        </w:tc>
      </w:tr>
      <w:tr w14:paraId="6BF31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5EECA700">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37CF94A6">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非甲烷总烃</w:t>
            </w:r>
          </w:p>
        </w:tc>
        <w:tc>
          <w:tcPr>
            <w:tcW w:w="1560" w:type="dxa"/>
            <w:tcBorders>
              <w:top w:val="single" w:color="auto" w:sz="4" w:space="0"/>
              <w:bottom w:val="single" w:color="auto" w:sz="4" w:space="0"/>
            </w:tcBorders>
            <w:vAlign w:val="center"/>
          </w:tcPr>
          <w:p w14:paraId="3186827E">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1048DB9E">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61DE695">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5423C615">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1.127</w:t>
            </w:r>
            <w:r>
              <w:rPr>
                <w:color w:val="000000" w:themeColor="text1"/>
                <w14:textFill>
                  <w14:solidFill>
                    <w14:schemeClr w14:val="tx1"/>
                  </w14:solidFill>
                </w14:textFill>
              </w:rPr>
              <w:t>t/a</w:t>
            </w:r>
          </w:p>
        </w:tc>
        <w:tc>
          <w:tcPr>
            <w:tcW w:w="1761" w:type="dxa"/>
            <w:tcBorders>
              <w:top w:val="single" w:color="auto" w:sz="4" w:space="0"/>
              <w:bottom w:val="single" w:color="auto" w:sz="4" w:space="0"/>
            </w:tcBorders>
            <w:vAlign w:val="center"/>
          </w:tcPr>
          <w:p w14:paraId="7B72F94E">
            <w:pPr>
              <w:pStyle w:val="187"/>
              <w:rPr>
                <w:color w:val="000000" w:themeColor="text1"/>
                <w14:textFill>
                  <w14:solidFill>
                    <w14:schemeClr w14:val="tx1"/>
                  </w14:solidFill>
                </w14:textFill>
              </w:rPr>
            </w:pPr>
            <w:r>
              <w:rPr>
                <w:color w:val="000000" w:themeColor="text1"/>
                <w14:textFill>
                  <w14:solidFill>
                    <w14:schemeClr w14:val="tx1"/>
                  </w14:solidFill>
                </w14:textFill>
              </w:rPr>
              <w:t>/</w:t>
            </w:r>
          </w:p>
        </w:tc>
        <w:tc>
          <w:tcPr>
            <w:tcW w:w="1959" w:type="dxa"/>
            <w:tcBorders>
              <w:top w:val="single" w:color="auto" w:sz="4" w:space="0"/>
              <w:bottom w:val="single" w:color="auto" w:sz="4" w:space="0"/>
            </w:tcBorders>
            <w:vAlign w:val="center"/>
          </w:tcPr>
          <w:p w14:paraId="04D311D6">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1.127</w:t>
            </w:r>
            <w:r>
              <w:rPr>
                <w:color w:val="000000" w:themeColor="text1"/>
                <w14:textFill>
                  <w14:solidFill>
                    <w14:schemeClr w14:val="tx1"/>
                  </w14:solidFill>
                </w14:textFill>
              </w:rPr>
              <w:t>t/a</w:t>
            </w:r>
          </w:p>
        </w:tc>
        <w:tc>
          <w:tcPr>
            <w:tcW w:w="1667" w:type="dxa"/>
            <w:tcBorders>
              <w:top w:val="single" w:color="auto" w:sz="4" w:space="0"/>
              <w:bottom w:val="single" w:color="auto" w:sz="4" w:space="0"/>
            </w:tcBorders>
            <w:vAlign w:val="center"/>
          </w:tcPr>
          <w:p w14:paraId="305FF2D2">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+1.127</w:t>
            </w:r>
            <w:r>
              <w:rPr>
                <w:color w:val="000000" w:themeColor="text1"/>
                <w14:textFill>
                  <w14:solidFill>
                    <w14:schemeClr w14:val="tx1"/>
                  </w14:solidFill>
                </w14:textFill>
              </w:rPr>
              <w:t>t/a</w:t>
            </w:r>
          </w:p>
        </w:tc>
      </w:tr>
      <w:tr w14:paraId="5768E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68F861F7">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1BD33865">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二甲苯</w:t>
            </w:r>
          </w:p>
        </w:tc>
        <w:tc>
          <w:tcPr>
            <w:tcW w:w="1560" w:type="dxa"/>
            <w:tcBorders>
              <w:top w:val="single" w:color="auto" w:sz="4" w:space="0"/>
              <w:bottom w:val="single" w:color="auto" w:sz="4" w:space="0"/>
            </w:tcBorders>
            <w:vAlign w:val="center"/>
          </w:tcPr>
          <w:p w14:paraId="1127313E">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798D3FE">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2D098127">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60AC92C0">
            <w:pPr>
              <w:pStyle w:val="187"/>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149</w:t>
            </w:r>
            <w:r>
              <w:rPr>
                <w:color w:val="000000" w:themeColor="text1"/>
                <w14:textFill>
                  <w14:solidFill>
                    <w14:schemeClr w14:val="tx1"/>
                  </w14:solidFill>
                </w14:textFill>
              </w:rPr>
              <w:t>t/a</w:t>
            </w:r>
          </w:p>
        </w:tc>
        <w:tc>
          <w:tcPr>
            <w:tcW w:w="1761" w:type="dxa"/>
            <w:tcBorders>
              <w:top w:val="single" w:color="auto" w:sz="4" w:space="0"/>
              <w:bottom w:val="single" w:color="auto" w:sz="4" w:space="0"/>
            </w:tcBorders>
            <w:vAlign w:val="center"/>
          </w:tcPr>
          <w:p w14:paraId="5786CAEE">
            <w:pPr>
              <w:pStyle w:val="187"/>
              <w:rPr>
                <w:color w:val="000000" w:themeColor="text1"/>
                <w14:textFill>
                  <w14:solidFill>
                    <w14:schemeClr w14:val="tx1"/>
                  </w14:solidFill>
                </w14:textFill>
              </w:rPr>
            </w:pPr>
            <w:r>
              <w:rPr>
                <w:snapToGrid w:val="0"/>
                <w:color w:val="000000" w:themeColor="text1"/>
                <w:kern w:val="21"/>
                <w14:textFill>
                  <w14:solidFill>
                    <w14:schemeClr w14:val="tx1"/>
                  </w14:solidFill>
                </w14:textFill>
              </w:rPr>
              <w:t>/</w:t>
            </w:r>
          </w:p>
        </w:tc>
        <w:tc>
          <w:tcPr>
            <w:tcW w:w="1959" w:type="dxa"/>
            <w:tcBorders>
              <w:top w:val="single" w:color="auto" w:sz="4" w:space="0"/>
              <w:bottom w:val="single" w:color="auto" w:sz="4" w:space="0"/>
            </w:tcBorders>
            <w:vAlign w:val="center"/>
          </w:tcPr>
          <w:p w14:paraId="6923FDFA">
            <w:pPr>
              <w:pStyle w:val="187"/>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149</w:t>
            </w:r>
            <w:r>
              <w:rPr>
                <w:color w:val="000000" w:themeColor="text1"/>
                <w14:textFill>
                  <w14:solidFill>
                    <w14:schemeClr w14:val="tx1"/>
                  </w14:solidFill>
                </w14:textFill>
              </w:rPr>
              <w:t>t/a</w:t>
            </w:r>
          </w:p>
        </w:tc>
        <w:tc>
          <w:tcPr>
            <w:tcW w:w="1667" w:type="dxa"/>
            <w:tcBorders>
              <w:top w:val="single" w:color="auto" w:sz="4" w:space="0"/>
              <w:bottom w:val="single" w:color="auto" w:sz="4" w:space="0"/>
            </w:tcBorders>
            <w:vAlign w:val="center"/>
          </w:tcPr>
          <w:p w14:paraId="24D340C8">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149</w:t>
            </w:r>
            <w:r>
              <w:rPr>
                <w:color w:val="000000" w:themeColor="text1"/>
                <w14:textFill>
                  <w14:solidFill>
                    <w14:schemeClr w14:val="tx1"/>
                  </w14:solidFill>
                </w14:textFill>
              </w:rPr>
              <w:t>t/a</w:t>
            </w:r>
          </w:p>
        </w:tc>
      </w:tr>
      <w:tr w14:paraId="2B74BD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restart"/>
            <w:tcBorders>
              <w:top w:val="single" w:color="auto" w:sz="4" w:space="0"/>
              <w:bottom w:val="single" w:color="auto" w:sz="4" w:space="0"/>
            </w:tcBorders>
            <w:vAlign w:val="center"/>
          </w:tcPr>
          <w:p w14:paraId="3EF6272A">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一般固体废物</w:t>
            </w:r>
          </w:p>
        </w:tc>
        <w:tc>
          <w:tcPr>
            <w:tcW w:w="1701" w:type="dxa"/>
            <w:tcBorders>
              <w:top w:val="single" w:color="auto" w:sz="4" w:space="0"/>
              <w:bottom w:val="single" w:color="auto" w:sz="4" w:space="0"/>
            </w:tcBorders>
            <w:vAlign w:val="center"/>
          </w:tcPr>
          <w:p w14:paraId="04494CCE">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金属边角料</w:t>
            </w:r>
          </w:p>
        </w:tc>
        <w:tc>
          <w:tcPr>
            <w:tcW w:w="1560" w:type="dxa"/>
            <w:tcBorders>
              <w:top w:val="single" w:color="auto" w:sz="4" w:space="0"/>
              <w:bottom w:val="single" w:color="auto" w:sz="4" w:space="0"/>
            </w:tcBorders>
            <w:vAlign w:val="center"/>
          </w:tcPr>
          <w:p w14:paraId="0B142673">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1F13B25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1AC8B2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6363BDDF">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1t/a</w:t>
            </w:r>
          </w:p>
        </w:tc>
        <w:tc>
          <w:tcPr>
            <w:tcW w:w="1761" w:type="dxa"/>
            <w:tcBorders>
              <w:top w:val="single" w:color="auto" w:sz="4" w:space="0"/>
              <w:bottom w:val="single" w:color="auto" w:sz="4" w:space="0"/>
            </w:tcBorders>
            <w:vAlign w:val="center"/>
          </w:tcPr>
          <w:p w14:paraId="0477F845">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097C23E5">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1t/a</w:t>
            </w:r>
          </w:p>
        </w:tc>
        <w:tc>
          <w:tcPr>
            <w:tcW w:w="1667" w:type="dxa"/>
            <w:tcBorders>
              <w:top w:val="single" w:color="auto" w:sz="4" w:space="0"/>
              <w:bottom w:val="single" w:color="auto" w:sz="4" w:space="0"/>
            </w:tcBorders>
            <w:vAlign w:val="center"/>
          </w:tcPr>
          <w:p w14:paraId="7A79BDD6">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+1t/a</w:t>
            </w:r>
          </w:p>
        </w:tc>
      </w:tr>
      <w:tr w14:paraId="5667A0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3885240A">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66C473B0">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废包装材料</w:t>
            </w:r>
          </w:p>
        </w:tc>
        <w:tc>
          <w:tcPr>
            <w:tcW w:w="1560" w:type="dxa"/>
            <w:tcBorders>
              <w:top w:val="single" w:color="auto" w:sz="4" w:space="0"/>
              <w:bottom w:val="single" w:color="auto" w:sz="4" w:space="0"/>
            </w:tcBorders>
            <w:vAlign w:val="center"/>
          </w:tcPr>
          <w:p w14:paraId="199721E6">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55FC2ACD">
            <w:pPr>
              <w:jc w:val="center"/>
              <w:rPr>
                <w:color w:val="000000" w:themeColor="text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4602E7CB">
            <w:pPr>
              <w:jc w:val="center"/>
              <w:rPr>
                <w:color w:val="000000" w:themeColor="text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7883311B">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0.5t/a</w:t>
            </w:r>
          </w:p>
        </w:tc>
        <w:tc>
          <w:tcPr>
            <w:tcW w:w="1761" w:type="dxa"/>
            <w:tcBorders>
              <w:top w:val="single" w:color="auto" w:sz="4" w:space="0"/>
              <w:bottom w:val="single" w:color="auto" w:sz="4" w:space="0"/>
            </w:tcBorders>
            <w:vAlign w:val="center"/>
          </w:tcPr>
          <w:p w14:paraId="5BFFDB42">
            <w:pPr>
              <w:jc w:val="center"/>
              <w:rPr>
                <w:color w:val="000000" w:themeColor="text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018B55F6">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0.5t/a</w:t>
            </w:r>
          </w:p>
        </w:tc>
        <w:tc>
          <w:tcPr>
            <w:tcW w:w="1667" w:type="dxa"/>
            <w:tcBorders>
              <w:top w:val="single" w:color="auto" w:sz="4" w:space="0"/>
              <w:bottom w:val="single" w:color="auto" w:sz="4" w:space="0"/>
            </w:tcBorders>
            <w:vAlign w:val="center"/>
          </w:tcPr>
          <w:p w14:paraId="596D6FD2">
            <w:pPr>
              <w:pStyle w:val="187"/>
              <w:rPr>
                <w:color w:val="000000" w:themeColor="text1"/>
                <w:kern w:val="0"/>
                <w14:textFill>
                  <w14:solidFill>
                    <w14:schemeClr w14:val="tx1"/>
                  </w14:solidFill>
                </w14:textFill>
              </w:rPr>
            </w:pPr>
            <w:r>
              <w:rPr>
                <w:color w:val="000000" w:themeColor="text1"/>
                <w:kern w:val="0"/>
                <w14:textFill>
                  <w14:solidFill>
                    <w14:schemeClr w14:val="tx1"/>
                  </w14:solidFill>
                </w14:textFill>
              </w:rPr>
              <w:t>+0.5t/a</w:t>
            </w:r>
          </w:p>
        </w:tc>
      </w:tr>
      <w:tr w14:paraId="0FD0B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608A47E2">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33F48B8F">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生活垃圾</w:t>
            </w:r>
          </w:p>
        </w:tc>
        <w:tc>
          <w:tcPr>
            <w:tcW w:w="1560" w:type="dxa"/>
            <w:tcBorders>
              <w:top w:val="single" w:color="auto" w:sz="4" w:space="0"/>
              <w:bottom w:val="single" w:color="auto" w:sz="4" w:space="0"/>
            </w:tcBorders>
            <w:vAlign w:val="center"/>
          </w:tcPr>
          <w:p w14:paraId="479ABA5A">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15EBDA87">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142B19A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5482EBE3">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2.25</w:t>
            </w:r>
            <w:r>
              <w:rPr>
                <w:color w:val="000000" w:themeColor="text1"/>
                <w14:textFill>
                  <w14:solidFill>
                    <w14:schemeClr w14:val="tx1"/>
                  </w14:solidFill>
                </w14:textFill>
              </w:rPr>
              <w:t>t/a</w:t>
            </w:r>
          </w:p>
        </w:tc>
        <w:tc>
          <w:tcPr>
            <w:tcW w:w="1761" w:type="dxa"/>
            <w:tcBorders>
              <w:top w:val="single" w:color="auto" w:sz="4" w:space="0"/>
              <w:bottom w:val="single" w:color="auto" w:sz="4" w:space="0"/>
            </w:tcBorders>
            <w:vAlign w:val="center"/>
          </w:tcPr>
          <w:p w14:paraId="3DA0385C">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w:t>
            </w:r>
          </w:p>
        </w:tc>
        <w:tc>
          <w:tcPr>
            <w:tcW w:w="1959" w:type="dxa"/>
            <w:tcBorders>
              <w:top w:val="single" w:color="auto" w:sz="4" w:space="0"/>
              <w:bottom w:val="single" w:color="auto" w:sz="4" w:space="0"/>
            </w:tcBorders>
            <w:vAlign w:val="center"/>
          </w:tcPr>
          <w:p w14:paraId="469EF38B">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2.25</w:t>
            </w:r>
            <w:r>
              <w:rPr>
                <w:color w:val="000000" w:themeColor="text1"/>
                <w14:textFill>
                  <w14:solidFill>
                    <w14:schemeClr w14:val="tx1"/>
                  </w14:solidFill>
                </w14:textFill>
              </w:rPr>
              <w:t>t/a</w:t>
            </w:r>
          </w:p>
        </w:tc>
        <w:tc>
          <w:tcPr>
            <w:tcW w:w="1667" w:type="dxa"/>
            <w:tcBorders>
              <w:top w:val="single" w:color="auto" w:sz="4" w:space="0"/>
              <w:bottom w:val="single" w:color="auto" w:sz="4" w:space="0"/>
            </w:tcBorders>
            <w:vAlign w:val="center"/>
          </w:tcPr>
          <w:p w14:paraId="5AF1F855">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+2.25</w:t>
            </w:r>
            <w:r>
              <w:rPr>
                <w:color w:val="000000" w:themeColor="text1"/>
                <w14:textFill>
                  <w14:solidFill>
                    <w14:schemeClr w14:val="tx1"/>
                  </w14:solidFill>
                </w14:textFill>
              </w:rPr>
              <w:t>t/a</w:t>
            </w:r>
          </w:p>
        </w:tc>
      </w:tr>
      <w:tr w14:paraId="56BDF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restart"/>
            <w:tcBorders>
              <w:top w:val="single" w:color="auto" w:sz="4" w:space="0"/>
              <w:bottom w:val="single" w:color="auto" w:sz="4" w:space="0"/>
            </w:tcBorders>
            <w:vAlign w:val="center"/>
          </w:tcPr>
          <w:p w14:paraId="54193706">
            <w:pPr>
              <w:pStyle w:val="165"/>
              <w:framePr w:hSpace="0" w:wrap="auto" w:vAnchor="margin" w:hAnchor="text" w:xAlign="left" w:yAlign="inline"/>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1701" w:type="dxa"/>
            <w:tcBorders>
              <w:top w:val="single" w:color="auto" w:sz="4" w:space="0"/>
              <w:bottom w:val="single" w:color="auto" w:sz="4" w:space="0"/>
            </w:tcBorders>
            <w:vAlign w:val="center"/>
          </w:tcPr>
          <w:p w14:paraId="6660BE63">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废活性炭</w:t>
            </w:r>
          </w:p>
        </w:tc>
        <w:tc>
          <w:tcPr>
            <w:tcW w:w="1560" w:type="dxa"/>
            <w:tcBorders>
              <w:top w:val="single" w:color="auto" w:sz="4" w:space="0"/>
              <w:bottom w:val="single" w:color="auto" w:sz="4" w:space="0"/>
            </w:tcBorders>
            <w:vAlign w:val="center"/>
          </w:tcPr>
          <w:p w14:paraId="2874DAAC">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5F5B1E2">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DB5E3D2">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5F1DC63">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0.5</w:t>
            </w:r>
            <w:r>
              <w:rPr>
                <w:bCs/>
                <w:color w:val="000000" w:themeColor="text1"/>
                <w:kern w:val="2"/>
                <w:lang w:bidi="ar"/>
                <w14:textFill>
                  <w14:solidFill>
                    <w14:schemeClr w14:val="tx1"/>
                  </w14:solidFill>
                </w14:textFill>
              </w:rPr>
              <w:t>t/a</w:t>
            </w:r>
          </w:p>
        </w:tc>
        <w:tc>
          <w:tcPr>
            <w:tcW w:w="1761" w:type="dxa"/>
            <w:tcBorders>
              <w:top w:val="single" w:color="auto" w:sz="4" w:space="0"/>
              <w:bottom w:val="single" w:color="auto" w:sz="4" w:space="0"/>
            </w:tcBorders>
            <w:vAlign w:val="center"/>
          </w:tcPr>
          <w:p w14:paraId="4AA0876C">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0B7822B0">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0.5</w:t>
            </w:r>
            <w:r>
              <w:rPr>
                <w:bCs/>
                <w:color w:val="000000" w:themeColor="text1"/>
                <w:kern w:val="2"/>
                <w:lang w:bidi="ar"/>
                <w14:textFill>
                  <w14:solidFill>
                    <w14:schemeClr w14:val="tx1"/>
                  </w14:solidFill>
                </w14:textFill>
              </w:rPr>
              <w:t>t/a</w:t>
            </w:r>
          </w:p>
        </w:tc>
        <w:tc>
          <w:tcPr>
            <w:tcW w:w="1667" w:type="dxa"/>
            <w:tcBorders>
              <w:top w:val="single" w:color="auto" w:sz="4" w:space="0"/>
              <w:bottom w:val="single" w:color="auto" w:sz="4" w:space="0"/>
            </w:tcBorders>
            <w:vAlign w:val="center"/>
          </w:tcPr>
          <w:p w14:paraId="1AD7755C">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+0.5</w:t>
            </w:r>
            <w:r>
              <w:rPr>
                <w:bCs/>
                <w:color w:val="000000" w:themeColor="text1"/>
                <w:kern w:val="2"/>
                <w:lang w:bidi="ar"/>
                <w14:textFill>
                  <w14:solidFill>
                    <w14:schemeClr w14:val="tx1"/>
                  </w14:solidFill>
                </w14:textFill>
              </w:rPr>
              <w:t>t/a</w:t>
            </w:r>
          </w:p>
        </w:tc>
      </w:tr>
      <w:tr w14:paraId="2A580D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51FE8F83">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2DD4642A">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废过滤棉</w:t>
            </w:r>
          </w:p>
        </w:tc>
        <w:tc>
          <w:tcPr>
            <w:tcW w:w="1560" w:type="dxa"/>
            <w:tcBorders>
              <w:top w:val="single" w:color="auto" w:sz="4" w:space="0"/>
              <w:bottom w:val="single" w:color="auto" w:sz="4" w:space="0"/>
            </w:tcBorders>
            <w:vAlign w:val="center"/>
          </w:tcPr>
          <w:p w14:paraId="4813755A">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D89CC39">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1A6C67F9">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4BDD76F3">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0.446</w:t>
            </w:r>
            <w:r>
              <w:rPr>
                <w:bCs/>
                <w:color w:val="000000" w:themeColor="text1"/>
                <w:kern w:val="2"/>
                <w:lang w:bidi="ar"/>
                <w14:textFill>
                  <w14:solidFill>
                    <w14:schemeClr w14:val="tx1"/>
                  </w14:solidFill>
                </w14:textFill>
              </w:rPr>
              <w:t>t/a</w:t>
            </w:r>
          </w:p>
        </w:tc>
        <w:tc>
          <w:tcPr>
            <w:tcW w:w="1761" w:type="dxa"/>
            <w:tcBorders>
              <w:top w:val="single" w:color="auto" w:sz="4" w:space="0"/>
              <w:bottom w:val="single" w:color="auto" w:sz="4" w:space="0"/>
            </w:tcBorders>
            <w:vAlign w:val="center"/>
          </w:tcPr>
          <w:p w14:paraId="0A292AA9">
            <w:pPr>
              <w:jc w:val="center"/>
              <w:rPr>
                <w:color w:val="000000" w:themeColor="text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68565BD3">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0.446</w:t>
            </w:r>
            <w:r>
              <w:rPr>
                <w:bCs/>
                <w:color w:val="000000" w:themeColor="text1"/>
                <w:kern w:val="2"/>
                <w:lang w:bidi="ar"/>
                <w14:textFill>
                  <w14:solidFill>
                    <w14:schemeClr w14:val="tx1"/>
                  </w14:solidFill>
                </w14:textFill>
              </w:rPr>
              <w:t>t/a</w:t>
            </w:r>
          </w:p>
        </w:tc>
        <w:tc>
          <w:tcPr>
            <w:tcW w:w="1667" w:type="dxa"/>
            <w:tcBorders>
              <w:top w:val="single" w:color="auto" w:sz="4" w:space="0"/>
              <w:bottom w:val="single" w:color="auto" w:sz="4" w:space="0"/>
            </w:tcBorders>
            <w:vAlign w:val="center"/>
          </w:tcPr>
          <w:p w14:paraId="540DA3F7">
            <w:pPr>
              <w:pStyle w:val="187"/>
              <w:rPr>
                <w:color w:val="000000" w:themeColor="text1"/>
                <w14:textFill>
                  <w14:solidFill>
                    <w14:schemeClr w14:val="tx1"/>
                  </w14:solidFill>
                </w14:textFill>
              </w:rPr>
            </w:pPr>
            <w:r>
              <w:rPr>
                <w:rFonts w:hint="eastAsia"/>
                <w:bCs/>
                <w:color w:val="000000" w:themeColor="text1"/>
                <w:kern w:val="2"/>
                <w:lang w:bidi="ar"/>
                <w14:textFill>
                  <w14:solidFill>
                    <w14:schemeClr w14:val="tx1"/>
                  </w14:solidFill>
                </w14:textFill>
              </w:rPr>
              <w:t>+0.446</w:t>
            </w:r>
            <w:r>
              <w:rPr>
                <w:bCs/>
                <w:color w:val="000000" w:themeColor="text1"/>
                <w:kern w:val="2"/>
                <w:lang w:bidi="ar"/>
                <w14:textFill>
                  <w14:solidFill>
                    <w14:schemeClr w14:val="tx1"/>
                  </w14:solidFill>
                </w14:textFill>
              </w:rPr>
              <w:t>t/a</w:t>
            </w:r>
          </w:p>
        </w:tc>
      </w:tr>
      <w:tr w14:paraId="2B7B4D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2EB75EB8">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4BB99814">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废催化剂</w:t>
            </w:r>
          </w:p>
        </w:tc>
        <w:tc>
          <w:tcPr>
            <w:tcW w:w="1560" w:type="dxa"/>
            <w:tcBorders>
              <w:top w:val="single" w:color="auto" w:sz="4" w:space="0"/>
              <w:bottom w:val="single" w:color="auto" w:sz="4" w:space="0"/>
            </w:tcBorders>
            <w:vAlign w:val="center"/>
          </w:tcPr>
          <w:p w14:paraId="2A0C0BF0">
            <w:pPr>
              <w:jc w:val="center"/>
              <w:rPr>
                <w:snapToGrid w:val="0"/>
                <w:color w:val="000000" w:themeColor="text1"/>
                <w:kern w:val="21"/>
                <w:szCs w:val="21"/>
                <w14:textFill>
                  <w14:solidFill>
                    <w14:schemeClr w14:val="tx1"/>
                  </w14:solidFill>
                </w14:textFill>
              </w:rPr>
            </w:pPr>
            <w:r>
              <w:rPr>
                <w:rFonts w:hint="eastAsia"/>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B32B368">
            <w:pPr>
              <w:jc w:val="center"/>
              <w:rPr>
                <w:snapToGrid w:val="0"/>
                <w:color w:val="000000" w:themeColor="text1"/>
                <w:kern w:val="21"/>
                <w:szCs w:val="21"/>
                <w14:textFill>
                  <w14:solidFill>
                    <w14:schemeClr w14:val="tx1"/>
                  </w14:solidFill>
                </w14:textFill>
              </w:rPr>
            </w:pPr>
            <w:r>
              <w:rPr>
                <w:rFonts w:hint="eastAsia"/>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3195F9E">
            <w:pPr>
              <w:jc w:val="center"/>
              <w:rPr>
                <w:snapToGrid w:val="0"/>
                <w:color w:val="000000" w:themeColor="text1"/>
                <w:kern w:val="21"/>
                <w:szCs w:val="21"/>
                <w14:textFill>
                  <w14:solidFill>
                    <w14:schemeClr w14:val="tx1"/>
                  </w14:solidFill>
                </w14:textFill>
              </w:rPr>
            </w:pPr>
            <w:r>
              <w:rPr>
                <w:rFonts w:hint="eastAsia"/>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0F760B24">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0.1t/a</w:t>
            </w:r>
          </w:p>
        </w:tc>
        <w:tc>
          <w:tcPr>
            <w:tcW w:w="1761" w:type="dxa"/>
            <w:tcBorders>
              <w:top w:val="single" w:color="auto" w:sz="4" w:space="0"/>
              <w:bottom w:val="single" w:color="auto" w:sz="4" w:space="0"/>
            </w:tcBorders>
            <w:vAlign w:val="center"/>
          </w:tcPr>
          <w:p w14:paraId="3E961648">
            <w:pPr>
              <w:jc w:val="center"/>
              <w:rPr>
                <w:snapToGrid w:val="0"/>
                <w:color w:val="000000" w:themeColor="text1"/>
                <w:kern w:val="21"/>
                <w:szCs w:val="21"/>
                <w14:textFill>
                  <w14:solidFill>
                    <w14:schemeClr w14:val="tx1"/>
                  </w14:solidFill>
                </w14:textFill>
              </w:rPr>
            </w:pPr>
            <w:r>
              <w:rPr>
                <w:rFonts w:hint="eastAsia"/>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1EE19675">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0.1t/a</w:t>
            </w:r>
          </w:p>
        </w:tc>
        <w:tc>
          <w:tcPr>
            <w:tcW w:w="1667" w:type="dxa"/>
            <w:tcBorders>
              <w:top w:val="single" w:color="auto" w:sz="4" w:space="0"/>
              <w:bottom w:val="single" w:color="auto" w:sz="4" w:space="0"/>
            </w:tcBorders>
            <w:vAlign w:val="center"/>
          </w:tcPr>
          <w:p w14:paraId="4F55D939">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+0.1t/a</w:t>
            </w:r>
          </w:p>
        </w:tc>
      </w:tr>
      <w:tr w14:paraId="613C0D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14CDC703">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3558741D">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漆渣</w:t>
            </w:r>
          </w:p>
        </w:tc>
        <w:tc>
          <w:tcPr>
            <w:tcW w:w="1560" w:type="dxa"/>
            <w:tcBorders>
              <w:top w:val="single" w:color="auto" w:sz="4" w:space="0"/>
              <w:bottom w:val="single" w:color="auto" w:sz="4" w:space="0"/>
            </w:tcBorders>
            <w:vAlign w:val="center"/>
          </w:tcPr>
          <w:p w14:paraId="1D6B54F4">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39A6D50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0466253">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3736F7A0">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0.543t/a</w:t>
            </w:r>
          </w:p>
        </w:tc>
        <w:tc>
          <w:tcPr>
            <w:tcW w:w="1761" w:type="dxa"/>
            <w:tcBorders>
              <w:top w:val="single" w:color="auto" w:sz="4" w:space="0"/>
              <w:bottom w:val="single" w:color="auto" w:sz="4" w:space="0"/>
            </w:tcBorders>
            <w:vAlign w:val="center"/>
          </w:tcPr>
          <w:p w14:paraId="52C67710">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22D274A9">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0.543t/a</w:t>
            </w:r>
          </w:p>
        </w:tc>
        <w:tc>
          <w:tcPr>
            <w:tcW w:w="1667" w:type="dxa"/>
            <w:tcBorders>
              <w:top w:val="single" w:color="auto" w:sz="4" w:space="0"/>
              <w:bottom w:val="single" w:color="auto" w:sz="4" w:space="0"/>
            </w:tcBorders>
            <w:vAlign w:val="center"/>
          </w:tcPr>
          <w:p w14:paraId="7ED234AF">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+0.543t/a</w:t>
            </w:r>
          </w:p>
        </w:tc>
      </w:tr>
      <w:tr w14:paraId="2DAA9F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624ECDB2">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0436044D">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水帘废水</w:t>
            </w:r>
          </w:p>
        </w:tc>
        <w:tc>
          <w:tcPr>
            <w:tcW w:w="1560" w:type="dxa"/>
            <w:tcBorders>
              <w:top w:val="single" w:color="auto" w:sz="4" w:space="0"/>
              <w:bottom w:val="single" w:color="auto" w:sz="4" w:space="0"/>
            </w:tcBorders>
            <w:vAlign w:val="center"/>
          </w:tcPr>
          <w:p w14:paraId="274FC143">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39B5DF2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113F0E1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3B0CA5A1">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3.2t/a</w:t>
            </w:r>
          </w:p>
        </w:tc>
        <w:tc>
          <w:tcPr>
            <w:tcW w:w="1761" w:type="dxa"/>
            <w:tcBorders>
              <w:top w:val="single" w:color="auto" w:sz="4" w:space="0"/>
              <w:bottom w:val="single" w:color="auto" w:sz="4" w:space="0"/>
            </w:tcBorders>
            <w:vAlign w:val="center"/>
          </w:tcPr>
          <w:p w14:paraId="6F3AF57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43E6D5BB">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3.2t/a</w:t>
            </w:r>
          </w:p>
        </w:tc>
        <w:tc>
          <w:tcPr>
            <w:tcW w:w="1667" w:type="dxa"/>
            <w:tcBorders>
              <w:top w:val="single" w:color="auto" w:sz="4" w:space="0"/>
              <w:bottom w:val="single" w:color="auto" w:sz="4" w:space="0"/>
            </w:tcBorders>
            <w:vAlign w:val="center"/>
          </w:tcPr>
          <w:p w14:paraId="09A22D25">
            <w:pPr>
              <w:pStyle w:val="187"/>
              <w:rPr>
                <w:bCs/>
                <w:color w:val="000000" w:themeColor="text1"/>
                <w:kern w:val="2"/>
                <w:lang w:bidi="ar"/>
                <w14:textFill>
                  <w14:solidFill>
                    <w14:schemeClr w14:val="tx1"/>
                  </w14:solidFill>
                </w14:textFill>
              </w:rPr>
            </w:pPr>
            <w:r>
              <w:rPr>
                <w:rFonts w:hint="eastAsia"/>
                <w:bCs/>
                <w:color w:val="000000" w:themeColor="text1"/>
                <w:kern w:val="2"/>
                <w:lang w:bidi="ar"/>
                <w14:textFill>
                  <w14:solidFill>
                    <w14:schemeClr w14:val="tx1"/>
                  </w14:solidFill>
                </w14:textFill>
              </w:rPr>
              <w:t>+3.2t/a</w:t>
            </w:r>
          </w:p>
        </w:tc>
      </w:tr>
      <w:tr w14:paraId="10859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0F032342">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066C5E1E">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废包装桶</w:t>
            </w:r>
          </w:p>
        </w:tc>
        <w:tc>
          <w:tcPr>
            <w:tcW w:w="1560" w:type="dxa"/>
            <w:tcBorders>
              <w:top w:val="single" w:color="auto" w:sz="4" w:space="0"/>
              <w:bottom w:val="single" w:color="auto" w:sz="4" w:space="0"/>
            </w:tcBorders>
            <w:vAlign w:val="center"/>
          </w:tcPr>
          <w:p w14:paraId="06634EC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2AD23D1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5E7EDE3E">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4420DB85">
            <w:pPr>
              <w:pStyle w:val="187"/>
              <w:rPr>
                <w:color w:val="000000" w:themeColor="text1"/>
                <w14:textFill>
                  <w14:solidFill>
                    <w14:schemeClr w14:val="tx1"/>
                  </w14:solidFill>
                </w14:textFill>
              </w:rPr>
            </w:pPr>
            <w:r>
              <w:rPr>
                <w:color w:val="000000" w:themeColor="text1"/>
                <w14:textFill>
                  <w14:solidFill>
                    <w14:schemeClr w14:val="tx1"/>
                  </w14:solidFill>
                </w14:textFill>
              </w:rPr>
              <w:t>0.1t/a</w:t>
            </w:r>
          </w:p>
        </w:tc>
        <w:tc>
          <w:tcPr>
            <w:tcW w:w="1761" w:type="dxa"/>
            <w:tcBorders>
              <w:top w:val="single" w:color="auto" w:sz="4" w:space="0"/>
              <w:bottom w:val="single" w:color="auto" w:sz="4" w:space="0"/>
            </w:tcBorders>
            <w:vAlign w:val="center"/>
          </w:tcPr>
          <w:p w14:paraId="3B9265D8">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7A59D1DA">
            <w:pPr>
              <w:pStyle w:val="187"/>
              <w:rPr>
                <w:color w:val="000000" w:themeColor="text1"/>
                <w14:textFill>
                  <w14:solidFill>
                    <w14:schemeClr w14:val="tx1"/>
                  </w14:solidFill>
                </w14:textFill>
              </w:rPr>
            </w:pPr>
            <w:r>
              <w:rPr>
                <w:color w:val="000000" w:themeColor="text1"/>
                <w14:textFill>
                  <w14:solidFill>
                    <w14:schemeClr w14:val="tx1"/>
                  </w14:solidFill>
                </w14:textFill>
              </w:rPr>
              <w:t>0.1t/a</w:t>
            </w:r>
          </w:p>
        </w:tc>
        <w:tc>
          <w:tcPr>
            <w:tcW w:w="1667" w:type="dxa"/>
            <w:tcBorders>
              <w:top w:val="single" w:color="auto" w:sz="4" w:space="0"/>
              <w:bottom w:val="single" w:color="auto" w:sz="4" w:space="0"/>
            </w:tcBorders>
            <w:vAlign w:val="center"/>
          </w:tcPr>
          <w:p w14:paraId="62D495D9">
            <w:pPr>
              <w:pStyle w:val="187"/>
              <w:rPr>
                <w:color w:val="000000" w:themeColor="text1"/>
                <w14:textFill>
                  <w14:solidFill>
                    <w14:schemeClr w14:val="tx1"/>
                  </w14:solidFill>
                </w14:textFill>
              </w:rPr>
            </w:pPr>
            <w:r>
              <w:rPr>
                <w:color w:val="000000" w:themeColor="text1"/>
                <w14:textFill>
                  <w14:solidFill>
                    <w14:schemeClr w14:val="tx1"/>
                  </w14:solidFill>
                </w14:textFill>
              </w:rPr>
              <w:t>+0.1t/a</w:t>
            </w:r>
          </w:p>
        </w:tc>
      </w:tr>
      <w:tr w14:paraId="7DBFC5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7006528C">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3D99A897">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废机油</w:t>
            </w:r>
          </w:p>
        </w:tc>
        <w:tc>
          <w:tcPr>
            <w:tcW w:w="1560" w:type="dxa"/>
            <w:tcBorders>
              <w:top w:val="single" w:color="auto" w:sz="4" w:space="0"/>
              <w:bottom w:val="single" w:color="auto" w:sz="4" w:space="0"/>
            </w:tcBorders>
            <w:vAlign w:val="center"/>
          </w:tcPr>
          <w:p w14:paraId="4AE579B4">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607AC7D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6151F1C0">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1FB440BF">
            <w:pPr>
              <w:pStyle w:val="187"/>
              <w:rPr>
                <w:color w:val="000000" w:themeColor="text1"/>
                <w14:textFill>
                  <w14:solidFill>
                    <w14:schemeClr w14:val="tx1"/>
                  </w14:solidFill>
                </w14:textFill>
              </w:rPr>
            </w:pPr>
            <w:r>
              <w:rPr>
                <w:color w:val="000000" w:themeColor="text1"/>
                <w14:textFill>
                  <w14:solidFill>
                    <w14:schemeClr w14:val="tx1"/>
                  </w14:solidFill>
                </w14:textFill>
              </w:rPr>
              <w:t>0.009t/a</w:t>
            </w:r>
          </w:p>
        </w:tc>
        <w:tc>
          <w:tcPr>
            <w:tcW w:w="1761" w:type="dxa"/>
            <w:tcBorders>
              <w:top w:val="single" w:color="auto" w:sz="4" w:space="0"/>
              <w:bottom w:val="single" w:color="auto" w:sz="4" w:space="0"/>
            </w:tcBorders>
            <w:vAlign w:val="center"/>
          </w:tcPr>
          <w:p w14:paraId="6124ABBD">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56DD4F05">
            <w:pPr>
              <w:pStyle w:val="187"/>
              <w:rPr>
                <w:color w:val="000000" w:themeColor="text1"/>
                <w14:textFill>
                  <w14:solidFill>
                    <w14:schemeClr w14:val="tx1"/>
                  </w14:solidFill>
                </w14:textFill>
              </w:rPr>
            </w:pPr>
            <w:r>
              <w:rPr>
                <w:color w:val="000000" w:themeColor="text1"/>
                <w14:textFill>
                  <w14:solidFill>
                    <w14:schemeClr w14:val="tx1"/>
                  </w14:solidFill>
                </w14:textFill>
              </w:rPr>
              <w:t>0.009t/a</w:t>
            </w:r>
          </w:p>
        </w:tc>
        <w:tc>
          <w:tcPr>
            <w:tcW w:w="1667" w:type="dxa"/>
            <w:tcBorders>
              <w:top w:val="single" w:color="auto" w:sz="4" w:space="0"/>
              <w:bottom w:val="single" w:color="auto" w:sz="4" w:space="0"/>
            </w:tcBorders>
            <w:vAlign w:val="center"/>
          </w:tcPr>
          <w:p w14:paraId="032D5919">
            <w:pPr>
              <w:pStyle w:val="187"/>
              <w:rPr>
                <w:color w:val="000000" w:themeColor="text1"/>
                <w14:textFill>
                  <w14:solidFill>
                    <w14:schemeClr w14:val="tx1"/>
                  </w14:solidFill>
                </w14:textFill>
              </w:rPr>
            </w:pPr>
            <w:r>
              <w:rPr>
                <w:color w:val="000000" w:themeColor="text1"/>
                <w14:textFill>
                  <w14:solidFill>
                    <w14:schemeClr w14:val="tx1"/>
                  </w14:solidFill>
                </w14:textFill>
              </w:rPr>
              <w:t>+0.009t/a</w:t>
            </w:r>
          </w:p>
        </w:tc>
      </w:tr>
      <w:tr w14:paraId="5F7D5B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4" w:space="0"/>
            </w:tcBorders>
            <w:vAlign w:val="center"/>
          </w:tcPr>
          <w:p w14:paraId="40FE6EA2">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4" w:space="0"/>
            </w:tcBorders>
            <w:vAlign w:val="center"/>
          </w:tcPr>
          <w:p w14:paraId="7BE7138A">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机油桶</w:t>
            </w:r>
          </w:p>
        </w:tc>
        <w:tc>
          <w:tcPr>
            <w:tcW w:w="1560" w:type="dxa"/>
            <w:tcBorders>
              <w:top w:val="single" w:color="auto" w:sz="4" w:space="0"/>
              <w:bottom w:val="single" w:color="auto" w:sz="4" w:space="0"/>
            </w:tcBorders>
            <w:vAlign w:val="center"/>
          </w:tcPr>
          <w:p w14:paraId="6AE59B67">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0587AB7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4" w:space="0"/>
            </w:tcBorders>
            <w:vAlign w:val="center"/>
          </w:tcPr>
          <w:p w14:paraId="40C8CC9E">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4" w:space="0"/>
            </w:tcBorders>
            <w:vAlign w:val="center"/>
          </w:tcPr>
          <w:p w14:paraId="725E9692">
            <w:pPr>
              <w:pStyle w:val="187"/>
              <w:rPr>
                <w:color w:val="000000" w:themeColor="text1"/>
                <w14:textFill>
                  <w14:solidFill>
                    <w14:schemeClr w14:val="tx1"/>
                  </w14:solidFill>
                </w14:textFill>
              </w:rPr>
            </w:pPr>
            <w:r>
              <w:rPr>
                <w:color w:val="000000" w:themeColor="text1"/>
                <w14:textFill>
                  <w14:solidFill>
                    <w14:schemeClr w14:val="tx1"/>
                  </w14:solidFill>
                </w14:textFill>
              </w:rPr>
              <w:t>0.002t/a</w:t>
            </w:r>
          </w:p>
        </w:tc>
        <w:tc>
          <w:tcPr>
            <w:tcW w:w="1761" w:type="dxa"/>
            <w:tcBorders>
              <w:top w:val="single" w:color="auto" w:sz="4" w:space="0"/>
              <w:bottom w:val="single" w:color="auto" w:sz="4" w:space="0"/>
            </w:tcBorders>
            <w:vAlign w:val="center"/>
          </w:tcPr>
          <w:p w14:paraId="31C362B0">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4" w:space="0"/>
            </w:tcBorders>
            <w:vAlign w:val="center"/>
          </w:tcPr>
          <w:p w14:paraId="2FADD953">
            <w:pPr>
              <w:pStyle w:val="187"/>
              <w:rPr>
                <w:color w:val="000000" w:themeColor="text1"/>
                <w14:textFill>
                  <w14:solidFill>
                    <w14:schemeClr w14:val="tx1"/>
                  </w14:solidFill>
                </w14:textFill>
              </w:rPr>
            </w:pPr>
            <w:r>
              <w:rPr>
                <w:color w:val="000000" w:themeColor="text1"/>
                <w14:textFill>
                  <w14:solidFill>
                    <w14:schemeClr w14:val="tx1"/>
                  </w14:solidFill>
                </w14:textFill>
              </w:rPr>
              <w:t>0.002t/a</w:t>
            </w:r>
          </w:p>
        </w:tc>
        <w:tc>
          <w:tcPr>
            <w:tcW w:w="1667" w:type="dxa"/>
            <w:tcBorders>
              <w:top w:val="single" w:color="auto" w:sz="4" w:space="0"/>
              <w:bottom w:val="single" w:color="auto" w:sz="4" w:space="0"/>
            </w:tcBorders>
            <w:vAlign w:val="center"/>
          </w:tcPr>
          <w:p w14:paraId="3B770165">
            <w:pPr>
              <w:pStyle w:val="187"/>
              <w:rPr>
                <w:color w:val="000000" w:themeColor="text1"/>
                <w14:textFill>
                  <w14:solidFill>
                    <w14:schemeClr w14:val="tx1"/>
                  </w14:solidFill>
                </w14:textFill>
              </w:rPr>
            </w:pPr>
            <w:r>
              <w:rPr>
                <w:color w:val="000000" w:themeColor="text1"/>
                <w14:textFill>
                  <w14:solidFill>
                    <w14:schemeClr w14:val="tx1"/>
                  </w14:solidFill>
                </w14:textFill>
              </w:rPr>
              <w:t>+0.002t/a</w:t>
            </w:r>
          </w:p>
        </w:tc>
      </w:tr>
      <w:tr w14:paraId="73CC0F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vMerge w:val="continue"/>
            <w:tcBorders>
              <w:top w:val="single" w:color="auto" w:sz="4" w:space="0"/>
              <w:bottom w:val="single" w:color="auto" w:sz="8" w:space="0"/>
            </w:tcBorders>
            <w:vAlign w:val="center"/>
          </w:tcPr>
          <w:p w14:paraId="671A057D">
            <w:pPr>
              <w:pStyle w:val="165"/>
              <w:framePr w:hSpace="0" w:wrap="auto" w:vAnchor="margin" w:hAnchor="text" w:xAlign="left" w:yAlign="inline"/>
              <w:rPr>
                <w:color w:val="000000" w:themeColor="text1"/>
                <w14:textFill>
                  <w14:solidFill>
                    <w14:schemeClr w14:val="tx1"/>
                  </w14:solidFill>
                </w14:textFill>
              </w:rPr>
            </w:pPr>
          </w:p>
        </w:tc>
        <w:tc>
          <w:tcPr>
            <w:tcW w:w="1701" w:type="dxa"/>
            <w:tcBorders>
              <w:top w:val="single" w:color="auto" w:sz="4" w:space="0"/>
              <w:bottom w:val="single" w:color="auto" w:sz="8" w:space="0"/>
            </w:tcBorders>
            <w:vAlign w:val="center"/>
          </w:tcPr>
          <w:p w14:paraId="6C518677">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含油</w:t>
            </w:r>
            <w:r>
              <w:rPr>
                <w:rFonts w:hint="eastAsia"/>
                <w:color w:val="000000" w:themeColor="text1"/>
                <w14:textFill>
                  <w14:solidFill>
                    <w14:schemeClr w14:val="tx1"/>
                  </w14:solidFill>
                </w14:textFill>
              </w:rPr>
              <w:t>或油漆</w:t>
            </w:r>
            <w:r>
              <w:rPr>
                <w:color w:val="000000" w:themeColor="text1"/>
                <w14:textFill>
                  <w14:solidFill>
                    <w14:schemeClr w14:val="tx1"/>
                  </w14:solidFill>
                </w14:textFill>
              </w:rPr>
              <w:t>废抹布及劳保用品</w:t>
            </w:r>
          </w:p>
        </w:tc>
        <w:tc>
          <w:tcPr>
            <w:tcW w:w="1560" w:type="dxa"/>
            <w:tcBorders>
              <w:top w:val="single" w:color="auto" w:sz="4" w:space="0"/>
              <w:bottom w:val="single" w:color="auto" w:sz="8" w:space="0"/>
            </w:tcBorders>
            <w:vAlign w:val="center"/>
          </w:tcPr>
          <w:p w14:paraId="0EA07F51">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8" w:space="0"/>
            </w:tcBorders>
            <w:vAlign w:val="center"/>
          </w:tcPr>
          <w:p w14:paraId="3E40F21C">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701" w:type="dxa"/>
            <w:tcBorders>
              <w:top w:val="single" w:color="auto" w:sz="4" w:space="0"/>
              <w:bottom w:val="single" w:color="auto" w:sz="8" w:space="0"/>
            </w:tcBorders>
            <w:vAlign w:val="center"/>
          </w:tcPr>
          <w:p w14:paraId="5C94F20A">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559" w:type="dxa"/>
            <w:tcBorders>
              <w:top w:val="single" w:color="auto" w:sz="4" w:space="0"/>
              <w:bottom w:val="single" w:color="auto" w:sz="8" w:space="0"/>
            </w:tcBorders>
            <w:vAlign w:val="center"/>
          </w:tcPr>
          <w:p w14:paraId="5916499D">
            <w:pPr>
              <w:pStyle w:val="187"/>
              <w:rPr>
                <w:color w:val="000000" w:themeColor="text1"/>
                <w14:textFill>
                  <w14:solidFill>
                    <w14:schemeClr w14:val="tx1"/>
                  </w14:solidFill>
                </w14:textFill>
              </w:rPr>
            </w:pPr>
            <w:r>
              <w:rPr>
                <w:color w:val="000000" w:themeColor="text1"/>
                <w14:textFill>
                  <w14:solidFill>
                    <w14:schemeClr w14:val="tx1"/>
                  </w14:solidFill>
                </w14:textFill>
              </w:rPr>
              <w:t>0.01t/a</w:t>
            </w:r>
          </w:p>
        </w:tc>
        <w:tc>
          <w:tcPr>
            <w:tcW w:w="1761" w:type="dxa"/>
            <w:tcBorders>
              <w:top w:val="single" w:color="auto" w:sz="4" w:space="0"/>
              <w:bottom w:val="single" w:color="auto" w:sz="8" w:space="0"/>
            </w:tcBorders>
            <w:vAlign w:val="center"/>
          </w:tcPr>
          <w:p w14:paraId="47130006">
            <w:pPr>
              <w:jc w:val="center"/>
              <w:rPr>
                <w:snapToGrid w:val="0"/>
                <w:color w:val="000000" w:themeColor="text1"/>
                <w:kern w:val="21"/>
                <w:szCs w:val="21"/>
                <w14:textFill>
                  <w14:solidFill>
                    <w14:schemeClr w14:val="tx1"/>
                  </w14:solidFill>
                </w14:textFill>
              </w:rPr>
            </w:pPr>
            <w:r>
              <w:rPr>
                <w:snapToGrid w:val="0"/>
                <w:color w:val="000000" w:themeColor="text1"/>
                <w:kern w:val="21"/>
                <w:szCs w:val="21"/>
                <w14:textFill>
                  <w14:solidFill>
                    <w14:schemeClr w14:val="tx1"/>
                  </w14:solidFill>
                </w14:textFill>
              </w:rPr>
              <w:t>/</w:t>
            </w:r>
          </w:p>
        </w:tc>
        <w:tc>
          <w:tcPr>
            <w:tcW w:w="1959" w:type="dxa"/>
            <w:tcBorders>
              <w:top w:val="single" w:color="auto" w:sz="4" w:space="0"/>
              <w:bottom w:val="single" w:color="auto" w:sz="8" w:space="0"/>
            </w:tcBorders>
            <w:vAlign w:val="center"/>
          </w:tcPr>
          <w:p w14:paraId="3EF4C6EA">
            <w:pPr>
              <w:pStyle w:val="187"/>
              <w:rPr>
                <w:color w:val="000000" w:themeColor="text1"/>
                <w14:textFill>
                  <w14:solidFill>
                    <w14:schemeClr w14:val="tx1"/>
                  </w14:solidFill>
                </w14:textFill>
              </w:rPr>
            </w:pPr>
            <w:r>
              <w:rPr>
                <w:color w:val="000000" w:themeColor="text1"/>
                <w14:textFill>
                  <w14:solidFill>
                    <w14:schemeClr w14:val="tx1"/>
                  </w14:solidFill>
                </w14:textFill>
              </w:rPr>
              <w:t>0.01t/a</w:t>
            </w:r>
          </w:p>
        </w:tc>
        <w:tc>
          <w:tcPr>
            <w:tcW w:w="1667" w:type="dxa"/>
            <w:tcBorders>
              <w:top w:val="single" w:color="auto" w:sz="4" w:space="0"/>
              <w:bottom w:val="single" w:color="auto" w:sz="8" w:space="0"/>
            </w:tcBorders>
            <w:vAlign w:val="center"/>
          </w:tcPr>
          <w:p w14:paraId="4F7FC597">
            <w:pPr>
              <w:pStyle w:val="187"/>
              <w:rPr>
                <w:color w:val="000000" w:themeColor="text1"/>
                <w14:textFill>
                  <w14:solidFill>
                    <w14:schemeClr w14:val="tx1"/>
                  </w14:solidFill>
                </w14:textFill>
              </w:rPr>
            </w:pPr>
            <w:r>
              <w:rPr>
                <w:color w:val="000000" w:themeColor="text1"/>
                <w14:textFill>
                  <w14:solidFill>
                    <w14:schemeClr w14:val="tx1"/>
                  </w14:solidFill>
                </w14:textFill>
              </w:rPr>
              <w:t>+0.01t/a</w:t>
            </w:r>
          </w:p>
        </w:tc>
      </w:tr>
    </w:tbl>
    <w:p w14:paraId="7684B659">
      <w:pPr>
        <w:pStyle w:val="219"/>
        <w:rPr>
          <w:rFonts w:cs="Times New Roman"/>
          <w:snapToGrid w:val="0"/>
          <w:color w:val="000000" w:themeColor="text1"/>
          <w14:textFill>
            <w14:solidFill>
              <w14:schemeClr w14:val="tx1"/>
            </w14:solidFill>
          </w14:textFill>
        </w:rPr>
      </w:pPr>
      <w:r>
        <w:rPr>
          <w:rFonts w:cs="Times New Roman"/>
          <w:snapToGrid w:val="0"/>
          <w:color w:val="000000" w:themeColor="text1"/>
          <w:kern w:val="21"/>
          <w:szCs w:val="21"/>
          <w14:textFill>
            <w14:solidFill>
              <w14:schemeClr w14:val="tx1"/>
            </w14:solidFill>
          </w14:textFill>
        </w:rPr>
        <w:t>注：</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6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⑥</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1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①</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3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③</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4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④</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5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⑤</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7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⑦</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6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⑥</w:t>
      </w:r>
      <w:r>
        <w:rPr>
          <w:rFonts w:cs="Times New Roman"/>
          <w:snapToGrid w:val="0"/>
          <w:color w:val="000000" w:themeColor="text1"/>
          <w:kern w:val="21"/>
          <w:szCs w:val="21"/>
          <w14:textFill>
            <w14:solidFill>
              <w14:schemeClr w14:val="tx1"/>
            </w14:solidFill>
          </w14:textFill>
        </w:rPr>
        <w:fldChar w:fldCharType="end"/>
      </w:r>
      <w:r>
        <w:rPr>
          <w:rFonts w:cs="Times New Roman"/>
          <w:snapToGrid w:val="0"/>
          <w:color w:val="000000" w:themeColor="text1"/>
          <w:kern w:val="21"/>
          <w:szCs w:val="21"/>
          <w14:textFill>
            <w14:solidFill>
              <w14:schemeClr w14:val="tx1"/>
            </w14:solidFill>
          </w14:textFill>
        </w:rPr>
        <w:t>-</w:t>
      </w:r>
      <w:r>
        <w:rPr>
          <w:rFonts w:cs="Times New Roman"/>
          <w:snapToGrid w:val="0"/>
          <w:color w:val="000000" w:themeColor="text1"/>
          <w:kern w:val="21"/>
          <w:szCs w:val="21"/>
          <w14:textFill>
            <w14:solidFill>
              <w14:schemeClr w14:val="tx1"/>
            </w14:solidFill>
          </w14:textFill>
        </w:rPr>
        <w:fldChar w:fldCharType="begin"/>
      </w:r>
      <w:r>
        <w:rPr>
          <w:rFonts w:cs="Times New Roman"/>
          <w:snapToGrid w:val="0"/>
          <w:color w:val="000000" w:themeColor="text1"/>
          <w:kern w:val="21"/>
          <w:szCs w:val="21"/>
          <w14:textFill>
            <w14:solidFill>
              <w14:schemeClr w14:val="tx1"/>
            </w14:solidFill>
          </w14:textFill>
        </w:rPr>
        <w:instrText xml:space="preserve"> = 1 \* GB3 \* MERGEFORMAT </w:instrText>
      </w:r>
      <w:r>
        <w:rPr>
          <w:rFonts w:cs="Times New Roman"/>
          <w:snapToGrid w:val="0"/>
          <w:color w:val="000000" w:themeColor="text1"/>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①</w:t>
      </w:r>
      <w:r>
        <w:rPr>
          <w:rFonts w:cs="Times New Roman"/>
          <w:snapToGrid w:val="0"/>
          <w:color w:val="000000" w:themeColor="text1"/>
          <w:kern w:val="21"/>
          <w:szCs w:val="21"/>
          <w14:textFill>
            <w14:solidFill>
              <w14:schemeClr w14:val="tx1"/>
            </w14:solidFill>
          </w14:textFill>
        </w:rPr>
        <w:fldChar w:fldCharType="end"/>
      </w:r>
    </w:p>
    <w:sectPr>
      <w:pgSz w:w="16838" w:h="11906" w:orient="landscape"/>
      <w:pgMar w:top="1440" w:right="1080" w:bottom="1440" w:left="108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FreeSerif">
    <w:panose1 w:val="02020603050405020304"/>
    <w:charset w:val="00"/>
    <w:family w:val="auto"/>
    <w:pitch w:val="default"/>
    <w:sig w:usb0="E59FAFFF" w:usb1="C200FDFF" w:usb2="43501B29" w:usb3="04000043" w:csb0="600101FF" w:csb1="FFFF0000"/>
  </w:font>
  <w:font w:name="Tms Rmn">
    <w:altName w:val="FreeSerif"/>
    <w:panose1 w:val="02020603040505020304"/>
    <w:charset w:val="00"/>
    <w:family w:val="roman"/>
    <w:pitch w:val="default"/>
    <w:sig w:usb0="00000000" w:usb1="00000000" w:usb2="00000000" w:usb3="00000000" w:csb0="00000001"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PMingLiU">
    <w:altName w:val="Droid Sans Fallback"/>
    <w:panose1 w:val="02010601000101010101"/>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Impact">
    <w:altName w:val="Ubuntu Condensed"/>
    <w:panose1 w:val="020B0806030902050204"/>
    <w:charset w:val="00"/>
    <w:family w:val="swiss"/>
    <w:pitch w:val="default"/>
    <w:sig w:usb0="00000000" w:usb1="00000000" w:usb2="00000000" w:usb3="00000000" w:csb0="0000009F" w:csb1="00000000"/>
  </w:font>
  <w:font w:name="Ubuntu Condensed">
    <w:panose1 w:val="020B0506030602030204"/>
    <w:charset w:val="00"/>
    <w:family w:val="auto"/>
    <w:pitch w:val="default"/>
    <w:sig w:usb0="E00002FF" w:usb1="5000205B" w:usb2="00000000" w:usb3="00000000" w:csb0="2000009F" w:csb1="56010000"/>
  </w:font>
  <w:font w:name="Calibri Light">
    <w:altName w:val="DejaVu Sans"/>
    <w:panose1 w:val="020F0302020204030204"/>
    <w:charset w:val="00"/>
    <w:family w:val="swiss"/>
    <w:pitch w:val="default"/>
    <w:sig w:usb0="00000000" w:usb1="00000000" w:usb2="00000009" w:usb3="00000000" w:csb0="000001FF" w:csb1="00000000"/>
  </w:font>
  <w:font w:name="楷体_GB2312">
    <w:altName w:val="方正楷体_GBK"/>
    <w:panose1 w:val="00000000000000000000"/>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体">
    <w:altName w:val="方正仿宋_GBK"/>
    <w:panose1 w:val="00000000000000000000"/>
    <w:charset w:val="86"/>
    <w:family w:val="roman"/>
    <w:pitch w:val="default"/>
    <w:sig w:usb0="00000000" w:usb1="00000000" w:usb2="00000010" w:usb3="00000000" w:csb0="00040000" w:csb1="00000000"/>
  </w:font>
  <w:font w:name="华康简宋">
    <w:altName w:val="方正书宋_GBK"/>
    <w:panose1 w:val="00000000000000000000"/>
    <w:charset w:val="86"/>
    <w:family w:val="modern"/>
    <w:pitch w:val="default"/>
    <w:sig w:usb0="00000000" w:usb1="00000000" w:usb2="00000010" w:usb3="00000000" w:csb0="00040000" w:csb1="00000000"/>
  </w:font>
  <w:font w:name="TimesNewRomanPSMT">
    <w:altName w:val="DejaVu Sans"/>
    <w:panose1 w:val="00000000000000000000"/>
    <w:charset w:val="00"/>
    <w:family w:val="auto"/>
    <w:pitch w:val="default"/>
    <w:sig w:usb0="00000000" w:usb1="00000000" w:usb2="00000000"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Cambria Math">
    <w:altName w:val="DejaVu Math TeX Gyre"/>
    <w:panose1 w:val="02040503050406030204"/>
    <w:charset w:val="00"/>
    <w:family w:val="roman"/>
    <w:pitch w:val="default"/>
    <w:sig w:usb0="00000000" w:usb1="00000000" w:usb2="02000000" w:usb3="00000000" w:csb0="0000019F" w:csb1="00000000"/>
  </w:font>
  <w:font w:name="DejaVu Math TeX Gyre">
    <w:panose1 w:val="02000503000000000000"/>
    <w:charset w:val="00"/>
    <w:family w:val="auto"/>
    <w:pitch w:val="default"/>
    <w:sig w:usb0="A10000EF" w:usb1="4201F9EE" w:usb2="02000000" w:usb3="00000000" w:csb0="60000193" w:csb1="0DD40000"/>
  </w:font>
  <w:font w:name="Liberation Serif">
    <w:panose1 w:val="02020603050405020304"/>
    <w:charset w:val="00"/>
    <w:family w:val="auto"/>
    <w:pitch w:val="default"/>
    <w:sig w:usb0="A00002AF" w:usb1="500078FB" w:usb2="00000000" w:usb3="00000000" w:csb0="6000009F" w:csb1="DFD7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5D7E9">
    <w:pPr>
      <w:pStyle w:val="27"/>
      <w:jc w:val="center"/>
    </w:pPr>
    <w:sdt>
      <w:sdtPr>
        <w:id w:val="1054657366"/>
      </w:sdtP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6446873"/>
      <w:docPartObj>
        <w:docPartGallery w:val="autotext"/>
      </w:docPartObj>
    </w:sdtPr>
    <w:sdtContent>
      <w:p w14:paraId="342546AC">
        <w:pPr>
          <w:pStyle w:val="27"/>
          <w:jc w:val="center"/>
        </w:pPr>
        <w:r>
          <w:fldChar w:fldCharType="begin"/>
        </w:r>
        <w:r>
          <w:instrText xml:space="preserve">PAGE   \* MERGEFORMAT</w:instrText>
        </w:r>
        <w:r>
          <w:fldChar w:fldCharType="separate"/>
        </w:r>
        <w:r>
          <w:t>60</w:t>
        </w:r>
        <w:r>
          <w:fldChar w:fldCharType="end"/>
        </w:r>
      </w:p>
    </w:sdtContent>
  </w:sdt>
  <w:p w14:paraId="17CA88B4">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0A35E">
    <w:pPr>
      <w:pStyle w:val="27"/>
      <w:jc w:val="center"/>
    </w:pPr>
    <w:r>
      <w:rPr>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64F142">
                          <w:pPr>
                            <w:pStyle w:val="27"/>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564F142">
                    <w:pPr>
                      <w:pStyle w:val="27"/>
                    </w:pPr>
                    <w:r>
                      <w:fldChar w:fldCharType="begin"/>
                    </w:r>
                    <w:r>
                      <w:instrText xml:space="preserve"> PAGE  \* MERGEFORMAT </w:instrText>
                    </w:r>
                    <w:r>
                      <w:fldChar w:fldCharType="separate"/>
                    </w:r>
                    <w:r>
                      <w:t>63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74DEB">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C47125"/>
    <w:multiLevelType w:val="multilevel"/>
    <w:tmpl w:val="C3C47125"/>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255"/>
      <w:isLgl/>
      <w:suff w:val="space"/>
      <w:lvlText w:val="表%1-%6"/>
      <w:lvlJc w:val="center"/>
      <w:pPr>
        <w:tabs>
          <w:tab w:val="left" w:pos="0"/>
        </w:tabs>
        <w:ind w:left="0" w:firstLine="0"/>
      </w:pPr>
      <w:rPr>
        <w:rFonts w:hint="eastAsia" w:ascii="宋体" w:hAnsi="宋体" w:eastAsia="宋体" w:cs="宋体"/>
        <w:b/>
        <w:bCs w:val="0"/>
        <w:i w:val="0"/>
        <w:iCs w:val="0"/>
        <w:caps w:val="0"/>
        <w:smallCaps w:val="0"/>
        <w:strike w:val="0"/>
        <w:dstrike w:val="0"/>
        <w:vanish w:val="0"/>
        <w:color w:val="000000"/>
        <w:spacing w:val="0"/>
        <w:position w:val="0"/>
        <w:sz w:val="24"/>
        <w:szCs w:val="24"/>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1">
    <w:nsid w:val="08C46D79"/>
    <w:multiLevelType w:val="multilevel"/>
    <w:tmpl w:val="08C46D79"/>
    <w:lvl w:ilvl="0" w:tentative="0">
      <w:start w:val="1"/>
      <w:numFmt w:val="decimal"/>
      <w:pStyle w:val="11"/>
      <w:lvlText w:val="表%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6060BEA"/>
    <w:multiLevelType w:val="multilevel"/>
    <w:tmpl w:val="16060BEA"/>
    <w:lvl w:ilvl="0" w:tentative="0">
      <w:start w:val="1"/>
      <w:numFmt w:val="decimal"/>
      <w:pStyle w:val="239"/>
      <w:suff w:val="nothing"/>
      <w:lvlText w:val="（%1）"/>
      <w:lvlJc w:val="left"/>
      <w:pPr>
        <w:ind w:left="0" w:firstLine="40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21531895"/>
    <w:multiLevelType w:val="multilevel"/>
    <w:tmpl w:val="21531895"/>
    <w:lvl w:ilvl="0" w:tentative="0">
      <w:start w:val="1"/>
      <w:numFmt w:val="chineseCountingThousand"/>
      <w:suff w:val="nothing"/>
      <w:lvlText w:val="%1、"/>
      <w:lvlJc w:val="left"/>
      <w:pPr>
        <w:ind w:left="57" w:hanging="57"/>
      </w:pPr>
      <w:rPr>
        <w:rFonts w:hint="eastAsia"/>
      </w:rPr>
    </w:lvl>
    <w:lvl w:ilvl="1" w:tentative="0">
      <w:start w:val="1"/>
      <w:numFmt w:val="chineseCountingThousand"/>
      <w:lvlRestart w:val="0"/>
      <w:suff w:val="nothing"/>
      <w:lvlText w:val="%2、"/>
      <w:lvlJc w:val="left"/>
      <w:pPr>
        <w:ind w:left="114" w:hanging="57"/>
      </w:pPr>
      <w:rPr>
        <w:rFonts w:hint="eastAsia"/>
      </w:rPr>
    </w:lvl>
    <w:lvl w:ilvl="2" w:tentative="0">
      <w:start w:val="1"/>
      <w:numFmt w:val="lowerRoman"/>
      <w:lvlText w:val="%3."/>
      <w:lvlJc w:val="right"/>
      <w:pPr>
        <w:ind w:left="171" w:hanging="57"/>
      </w:pPr>
      <w:rPr>
        <w:rFonts w:hint="eastAsia"/>
      </w:rPr>
    </w:lvl>
    <w:lvl w:ilvl="3" w:tentative="0">
      <w:start w:val="1"/>
      <w:numFmt w:val="decimal"/>
      <w:lvlText w:val="%4."/>
      <w:lvlJc w:val="left"/>
      <w:pPr>
        <w:ind w:left="228" w:hanging="57"/>
      </w:pPr>
      <w:rPr>
        <w:rFonts w:hint="eastAsia"/>
      </w:rPr>
    </w:lvl>
    <w:lvl w:ilvl="4" w:tentative="0">
      <w:start w:val="1"/>
      <w:numFmt w:val="lowerLetter"/>
      <w:lvlText w:val="%5)"/>
      <w:lvlJc w:val="left"/>
      <w:pPr>
        <w:ind w:left="285" w:hanging="57"/>
      </w:pPr>
      <w:rPr>
        <w:rFonts w:hint="eastAsia"/>
      </w:rPr>
    </w:lvl>
    <w:lvl w:ilvl="5" w:tentative="0">
      <w:start w:val="1"/>
      <w:numFmt w:val="lowerRoman"/>
      <w:lvlText w:val="%6."/>
      <w:lvlJc w:val="right"/>
      <w:pPr>
        <w:ind w:left="342" w:hanging="57"/>
      </w:pPr>
      <w:rPr>
        <w:rFonts w:hint="eastAsia"/>
      </w:rPr>
    </w:lvl>
    <w:lvl w:ilvl="6" w:tentative="0">
      <w:start w:val="1"/>
      <w:numFmt w:val="decimal"/>
      <w:lvlText w:val="%7."/>
      <w:lvlJc w:val="left"/>
      <w:pPr>
        <w:ind w:left="399" w:hanging="57"/>
      </w:pPr>
      <w:rPr>
        <w:rFonts w:hint="eastAsia"/>
      </w:rPr>
    </w:lvl>
    <w:lvl w:ilvl="7" w:tentative="0">
      <w:start w:val="1"/>
      <w:numFmt w:val="lowerLetter"/>
      <w:lvlText w:val="%8)"/>
      <w:lvlJc w:val="left"/>
      <w:pPr>
        <w:ind w:left="456" w:hanging="57"/>
      </w:pPr>
      <w:rPr>
        <w:rFonts w:hint="eastAsia"/>
      </w:rPr>
    </w:lvl>
    <w:lvl w:ilvl="8" w:tentative="0">
      <w:start w:val="1"/>
      <w:numFmt w:val="lowerRoman"/>
      <w:lvlText w:val="%9."/>
      <w:lvlJc w:val="right"/>
      <w:pPr>
        <w:ind w:left="513" w:hanging="57"/>
      </w:pPr>
      <w:rPr>
        <w:rFonts w:hint="eastAsia"/>
      </w:rPr>
    </w:lvl>
  </w:abstractNum>
  <w:abstractNum w:abstractNumId="4">
    <w:nsid w:val="2B9E0E3A"/>
    <w:multiLevelType w:val="multilevel"/>
    <w:tmpl w:val="2B9E0E3A"/>
    <w:lvl w:ilvl="0" w:tentative="0">
      <w:start w:val="4"/>
      <w:numFmt w:val="decimal"/>
      <w:lvlText w:val="%1、"/>
      <w:lvlJc w:val="left"/>
      <w:pPr>
        <w:ind w:left="857" w:hanging="375"/>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5">
    <w:nsid w:val="2E773E30"/>
    <w:multiLevelType w:val="multilevel"/>
    <w:tmpl w:val="2E773E30"/>
    <w:lvl w:ilvl="0" w:tentative="0">
      <w:start w:val="1"/>
      <w:numFmt w:val="chineseCountingThousand"/>
      <w:suff w:val="nothing"/>
      <w:lvlText w:val="%1、"/>
      <w:lvlJc w:val="left"/>
      <w:pPr>
        <w:ind w:left="930" w:hanging="51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537617AF"/>
    <w:multiLevelType w:val="multilevel"/>
    <w:tmpl w:val="537617AF"/>
    <w:lvl w:ilvl="0" w:tentative="0">
      <w:start w:val="1"/>
      <w:numFmt w:val="chineseCountingThousand"/>
      <w:pStyle w:val="230"/>
      <w:suff w:val="space"/>
      <w:lvlText w:val="专项%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5FB4B96"/>
    <w:multiLevelType w:val="multilevel"/>
    <w:tmpl w:val="55FB4B96"/>
    <w:lvl w:ilvl="0" w:tentative="0">
      <w:start w:val="1"/>
      <w:numFmt w:val="chineseCountingThousand"/>
      <w:suff w:val="nothing"/>
      <w:lvlText w:val="%1、"/>
      <w:lvlJc w:val="left"/>
      <w:pPr>
        <w:ind w:left="420" w:hanging="420"/>
      </w:pPr>
      <w:rPr>
        <w:rFonts w:hint="eastAsia"/>
      </w:rPr>
    </w:lvl>
    <w:lvl w:ilvl="1" w:tentative="0">
      <w:start w:val="1"/>
      <w:numFmt w:val="chineseCountingThousand"/>
      <w:suff w:val="nothing"/>
      <w:lvlText w:val="%2、"/>
      <w:lvlJc w:val="left"/>
      <w:pPr>
        <w:ind w:left="930" w:hanging="51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574D35F9"/>
    <w:multiLevelType w:val="singleLevel"/>
    <w:tmpl w:val="574D35F9"/>
    <w:lvl w:ilvl="0" w:tentative="0">
      <w:start w:val="3"/>
      <w:numFmt w:val="decimal"/>
      <w:pStyle w:val="152"/>
      <w:suff w:val="nothing"/>
      <w:lvlText w:val="%1、"/>
      <w:lvlJc w:val="left"/>
    </w:lvl>
  </w:abstractNum>
  <w:abstractNum w:abstractNumId="9">
    <w:nsid w:val="644D3847"/>
    <w:multiLevelType w:val="multilevel"/>
    <w:tmpl w:val="644D3847"/>
    <w:lvl w:ilvl="0" w:tentative="0">
      <w:start w:val="1"/>
      <w:numFmt w:val="none"/>
      <w:pStyle w:val="210"/>
      <w:suff w:val="nothing"/>
      <w:lvlText w:val="%1"/>
      <w:lvlJc w:val="left"/>
      <w:pPr>
        <w:ind w:left="0" w:firstLine="0"/>
      </w:pPr>
      <w:rPr>
        <w:rFonts w:hint="eastAsia"/>
      </w:rPr>
    </w:lvl>
    <w:lvl w:ilvl="1" w:tentative="0">
      <w:start w:val="1"/>
      <w:numFmt w:val="chineseCountingThousand"/>
      <w:pStyle w:val="211"/>
      <w:suff w:val="nothing"/>
      <w:lvlText w:val="%2、"/>
      <w:lvlJc w:val="left"/>
      <w:pPr>
        <w:ind w:left="0" w:firstLine="0"/>
      </w:pPr>
      <w:rPr>
        <w:rFonts w:hint="eastAsia"/>
      </w:rPr>
    </w:lvl>
    <w:lvl w:ilvl="2" w:tentative="0">
      <w:start w:val="1"/>
      <w:numFmt w:val="decimal"/>
      <w:pStyle w:val="212"/>
      <w:suff w:val="nothing"/>
      <w:lvlText w:val="%3、"/>
      <w:lvlJc w:val="left"/>
      <w:pPr>
        <w:ind w:left="0" w:firstLine="0"/>
      </w:pPr>
      <w:rPr>
        <w:rFonts w:hint="eastAsia"/>
        <w:b w:val="0"/>
      </w:rPr>
    </w:lvl>
    <w:lvl w:ilvl="3" w:tentative="0">
      <w:start w:val="1"/>
      <w:numFmt w:val="decimal"/>
      <w:pStyle w:val="213"/>
      <w:suff w:val="space"/>
      <w:lvlText w:val="%3.%4"/>
      <w:lvlJc w:val="left"/>
      <w:pPr>
        <w:ind w:left="0" w:firstLine="0"/>
      </w:pPr>
      <w:rPr>
        <w:rFonts w:hint="eastAsia"/>
      </w:rPr>
    </w:lvl>
    <w:lvl w:ilvl="4" w:tentative="0">
      <w:start w:val="1"/>
      <w:numFmt w:val="decimal"/>
      <w:pStyle w:val="214"/>
      <w:suff w:val="space"/>
      <w:lvlText w:val="%3.%4.%5"/>
      <w:lvlJc w:val="left"/>
      <w:pPr>
        <w:ind w:left="0" w:firstLine="0"/>
      </w:pPr>
      <w:rPr>
        <w:rFonts w:hint="eastAsia"/>
      </w:rPr>
    </w:lvl>
    <w:lvl w:ilvl="5" w:tentative="0">
      <w:start w:val="1"/>
      <w:numFmt w:val="decimal"/>
      <w:lvlRestart w:val="0"/>
      <w:pStyle w:val="215"/>
      <w:suff w:val="space"/>
      <w:lvlText w:val="表%6"/>
      <w:lvlJc w:val="center"/>
      <w:pPr>
        <w:ind w:left="0" w:firstLine="0"/>
      </w:pPr>
      <w:rPr>
        <w:rFonts w:hint="eastAsia"/>
        <w:b w:val="0"/>
        <w:sz w:val="22"/>
        <w:szCs w:val="22"/>
      </w:rPr>
    </w:lvl>
    <w:lvl w:ilvl="6" w:tentative="0">
      <w:start w:val="1"/>
      <w:numFmt w:val="decimal"/>
      <w:lvlRestart w:val="0"/>
      <w:pStyle w:val="216"/>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10">
    <w:nsid w:val="68D167E9"/>
    <w:multiLevelType w:val="multilevel"/>
    <w:tmpl w:val="68D167E9"/>
    <w:lvl w:ilvl="0" w:tentative="0">
      <w:start w:val="1"/>
      <w:numFmt w:val="decimal"/>
      <w:pStyle w:val="232"/>
      <w:suff w:val="space"/>
      <w:lvlText w:val="专项%1"/>
      <w:lvlJc w:val="left"/>
      <w:pPr>
        <w:ind w:left="0" w:firstLine="0"/>
      </w:pPr>
      <w:rPr>
        <w:rFonts w:hint="eastAsia"/>
      </w:rPr>
    </w:lvl>
    <w:lvl w:ilvl="1" w:tentative="0">
      <w:start w:val="1"/>
      <w:numFmt w:val="decimal"/>
      <w:pStyle w:val="233"/>
      <w:suff w:val="space"/>
      <w:lvlText w:val="%1.%2"/>
      <w:lvlJc w:val="left"/>
      <w:pPr>
        <w:ind w:left="0" w:firstLine="0"/>
      </w:pPr>
      <w:rPr>
        <w:rFonts w:hint="eastAsia"/>
        <w:b w:val="0"/>
        <w:bCs/>
      </w:rPr>
    </w:lvl>
    <w:lvl w:ilvl="2" w:tentative="0">
      <w:start w:val="1"/>
      <w:numFmt w:val="decimal"/>
      <w:pStyle w:val="234"/>
      <w:suff w:val="space"/>
      <w:lvlText w:val="%1.%2.%3"/>
      <w:lvlJc w:val="left"/>
      <w:pPr>
        <w:ind w:left="0" w:firstLine="0"/>
      </w:pPr>
      <w:rPr>
        <w:rFonts w:hint="eastAsia"/>
      </w:rPr>
    </w:lvl>
    <w:lvl w:ilvl="3" w:tentative="0">
      <w:start w:val="1"/>
      <w:numFmt w:val="decimal"/>
      <w:pStyle w:val="235"/>
      <w:suff w:val="space"/>
      <w:lvlText w:val="%1.%2.%3.%4"/>
      <w:lvlJc w:val="left"/>
      <w:pPr>
        <w:ind w:left="0" w:firstLine="0"/>
      </w:pPr>
      <w:rPr>
        <w:rFonts w:hint="eastAsia"/>
      </w:rPr>
    </w:lvl>
    <w:lvl w:ilvl="4" w:tentative="0">
      <w:start w:val="1"/>
      <w:numFmt w:val="decimal"/>
      <w:pStyle w:val="236"/>
      <w:suff w:val="space"/>
      <w:lvlText w:val="%1.%2.%3.%4.%5"/>
      <w:lvlJc w:val="left"/>
      <w:pPr>
        <w:ind w:left="0" w:firstLine="0"/>
      </w:pPr>
      <w:rPr>
        <w:rFonts w:hint="eastAsia"/>
      </w:rPr>
    </w:lvl>
    <w:lvl w:ilvl="5" w:tentative="0">
      <w:start w:val="1"/>
      <w:numFmt w:val="decimal"/>
      <w:lvlRestart w:val="2"/>
      <w:pStyle w:val="237"/>
      <w:suff w:val="space"/>
      <w:lvlText w:val="表%1.%2-%6"/>
      <w:lvlJc w:val="center"/>
      <w:pPr>
        <w:ind w:left="0" w:firstLine="0"/>
      </w:pPr>
      <w:rPr>
        <w:rFonts w:hint="eastAsia"/>
      </w:rPr>
    </w:lvl>
    <w:lvl w:ilvl="6" w:tentative="0">
      <w:start w:val="1"/>
      <w:numFmt w:val="decimal"/>
      <w:lvlRestart w:val="2"/>
      <w:pStyle w:val="238"/>
      <w:suff w:val="space"/>
      <w:lvlText w:val="图%1.%2-%7"/>
      <w:lvlJc w:val="center"/>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6E2C4E6E"/>
    <w:multiLevelType w:val="multilevel"/>
    <w:tmpl w:val="6E2C4E6E"/>
    <w:lvl w:ilvl="0" w:tentative="0">
      <w:start w:val="1"/>
      <w:numFmt w:val="decimal"/>
      <w:pStyle w:val="240"/>
      <w:suff w:val="nothing"/>
      <w:lvlText w:val="%1"/>
      <w:lvlJc w:val="center"/>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4F1060D"/>
    <w:multiLevelType w:val="multilevel"/>
    <w:tmpl w:val="74F1060D"/>
    <w:lvl w:ilvl="0" w:tentative="0">
      <w:start w:val="1"/>
      <w:numFmt w:val="decimal"/>
      <w:pStyle w:val="161"/>
      <w:lvlText w:val="图%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8"/>
  </w:num>
  <w:num w:numId="3">
    <w:abstractNumId w:val="12"/>
  </w:num>
  <w:num w:numId="4">
    <w:abstractNumId w:val="9"/>
  </w:num>
  <w:num w:numId="5">
    <w:abstractNumId w:val="6"/>
  </w:num>
  <w:num w:numId="6">
    <w:abstractNumId w:val="10"/>
  </w:num>
  <w:num w:numId="7">
    <w:abstractNumId w:val="2"/>
  </w:num>
  <w:num w:numId="8">
    <w:abstractNumId w:val="11"/>
  </w:num>
  <w:num w:numId="9">
    <w:abstractNumId w:val="0"/>
  </w:num>
  <w:num w:numId="10">
    <w:abstractNumId w:val="3"/>
  </w:num>
  <w:num w:numId="11">
    <w:abstractNumId w:val="4"/>
  </w:num>
  <w:num w:numId="12">
    <w:abstractNumId w:val="7"/>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jYjllNWYwOTc0NGFlNGM5MGM2MmJlNzM1YjhiYzkifQ=="/>
  </w:docVars>
  <w:rsids>
    <w:rsidRoot w:val="00172A27"/>
    <w:rsid w:val="00000D91"/>
    <w:rsid w:val="00000F16"/>
    <w:rsid w:val="00001686"/>
    <w:rsid w:val="00001DAF"/>
    <w:rsid w:val="00001FD0"/>
    <w:rsid w:val="000027F8"/>
    <w:rsid w:val="00002AA6"/>
    <w:rsid w:val="00002AF4"/>
    <w:rsid w:val="00002DC5"/>
    <w:rsid w:val="00003037"/>
    <w:rsid w:val="00003AAC"/>
    <w:rsid w:val="000047A2"/>
    <w:rsid w:val="00004BFE"/>
    <w:rsid w:val="00004BFF"/>
    <w:rsid w:val="0000540E"/>
    <w:rsid w:val="00005A72"/>
    <w:rsid w:val="00005D24"/>
    <w:rsid w:val="00006F9E"/>
    <w:rsid w:val="0000712B"/>
    <w:rsid w:val="00007FD3"/>
    <w:rsid w:val="00010279"/>
    <w:rsid w:val="0001034C"/>
    <w:rsid w:val="00010AC0"/>
    <w:rsid w:val="0001164F"/>
    <w:rsid w:val="000127AC"/>
    <w:rsid w:val="00012DF2"/>
    <w:rsid w:val="00012EFB"/>
    <w:rsid w:val="00014725"/>
    <w:rsid w:val="00014D01"/>
    <w:rsid w:val="00015974"/>
    <w:rsid w:val="000159E1"/>
    <w:rsid w:val="00015C49"/>
    <w:rsid w:val="00016D43"/>
    <w:rsid w:val="0001711F"/>
    <w:rsid w:val="00017373"/>
    <w:rsid w:val="00017412"/>
    <w:rsid w:val="0001785B"/>
    <w:rsid w:val="00017C96"/>
    <w:rsid w:val="00017EC9"/>
    <w:rsid w:val="0002099D"/>
    <w:rsid w:val="000215B1"/>
    <w:rsid w:val="000221F3"/>
    <w:rsid w:val="0002223A"/>
    <w:rsid w:val="00022460"/>
    <w:rsid w:val="00022837"/>
    <w:rsid w:val="00023472"/>
    <w:rsid w:val="00024C2C"/>
    <w:rsid w:val="00024D94"/>
    <w:rsid w:val="0002511F"/>
    <w:rsid w:val="00026836"/>
    <w:rsid w:val="00027550"/>
    <w:rsid w:val="00027964"/>
    <w:rsid w:val="00030FF9"/>
    <w:rsid w:val="00031321"/>
    <w:rsid w:val="000319CC"/>
    <w:rsid w:val="00031C9D"/>
    <w:rsid w:val="00031E2E"/>
    <w:rsid w:val="00032502"/>
    <w:rsid w:val="00032F84"/>
    <w:rsid w:val="00033573"/>
    <w:rsid w:val="00034810"/>
    <w:rsid w:val="00035183"/>
    <w:rsid w:val="00035517"/>
    <w:rsid w:val="0003597F"/>
    <w:rsid w:val="00036B2C"/>
    <w:rsid w:val="000376BD"/>
    <w:rsid w:val="00037C40"/>
    <w:rsid w:val="00037F72"/>
    <w:rsid w:val="0004016D"/>
    <w:rsid w:val="000408C0"/>
    <w:rsid w:val="00040C37"/>
    <w:rsid w:val="0004155A"/>
    <w:rsid w:val="00041FE6"/>
    <w:rsid w:val="000434D5"/>
    <w:rsid w:val="000447B0"/>
    <w:rsid w:val="00044839"/>
    <w:rsid w:val="00044AC7"/>
    <w:rsid w:val="000469D0"/>
    <w:rsid w:val="00047170"/>
    <w:rsid w:val="00047889"/>
    <w:rsid w:val="000511D5"/>
    <w:rsid w:val="0005167B"/>
    <w:rsid w:val="00051FC6"/>
    <w:rsid w:val="00052EAB"/>
    <w:rsid w:val="000540DE"/>
    <w:rsid w:val="000548EF"/>
    <w:rsid w:val="00054AA2"/>
    <w:rsid w:val="00054EBB"/>
    <w:rsid w:val="00055FDB"/>
    <w:rsid w:val="000560F4"/>
    <w:rsid w:val="00056309"/>
    <w:rsid w:val="000563BB"/>
    <w:rsid w:val="000567E5"/>
    <w:rsid w:val="00057A9F"/>
    <w:rsid w:val="00061009"/>
    <w:rsid w:val="000618ED"/>
    <w:rsid w:val="00062E0B"/>
    <w:rsid w:val="00063BD2"/>
    <w:rsid w:val="00064607"/>
    <w:rsid w:val="0006477D"/>
    <w:rsid w:val="00064AC3"/>
    <w:rsid w:val="00064DD3"/>
    <w:rsid w:val="00064F30"/>
    <w:rsid w:val="00065BFF"/>
    <w:rsid w:val="0006778E"/>
    <w:rsid w:val="000707FF"/>
    <w:rsid w:val="0007242F"/>
    <w:rsid w:val="0007244D"/>
    <w:rsid w:val="0007256C"/>
    <w:rsid w:val="00072F63"/>
    <w:rsid w:val="000744CA"/>
    <w:rsid w:val="00074C5D"/>
    <w:rsid w:val="00074DDE"/>
    <w:rsid w:val="00074F5B"/>
    <w:rsid w:val="00075494"/>
    <w:rsid w:val="0007578A"/>
    <w:rsid w:val="00075BD5"/>
    <w:rsid w:val="00075C47"/>
    <w:rsid w:val="000765B7"/>
    <w:rsid w:val="00076DDA"/>
    <w:rsid w:val="00077932"/>
    <w:rsid w:val="00077A2F"/>
    <w:rsid w:val="00077B2E"/>
    <w:rsid w:val="000808CC"/>
    <w:rsid w:val="00080B97"/>
    <w:rsid w:val="00080F7C"/>
    <w:rsid w:val="00081AEB"/>
    <w:rsid w:val="00082491"/>
    <w:rsid w:val="00082873"/>
    <w:rsid w:val="00082F21"/>
    <w:rsid w:val="0008420E"/>
    <w:rsid w:val="0008463D"/>
    <w:rsid w:val="00084756"/>
    <w:rsid w:val="0008698C"/>
    <w:rsid w:val="000869ED"/>
    <w:rsid w:val="00087061"/>
    <w:rsid w:val="000870FF"/>
    <w:rsid w:val="00090818"/>
    <w:rsid w:val="00090A01"/>
    <w:rsid w:val="00090CCD"/>
    <w:rsid w:val="00091197"/>
    <w:rsid w:val="0009128A"/>
    <w:rsid w:val="00091A10"/>
    <w:rsid w:val="000923F9"/>
    <w:rsid w:val="00092C6D"/>
    <w:rsid w:val="00092E79"/>
    <w:rsid w:val="00092F50"/>
    <w:rsid w:val="00093D8D"/>
    <w:rsid w:val="00093DDC"/>
    <w:rsid w:val="000941B6"/>
    <w:rsid w:val="00094695"/>
    <w:rsid w:val="00094DBC"/>
    <w:rsid w:val="00096FBC"/>
    <w:rsid w:val="00097C6F"/>
    <w:rsid w:val="000A00FD"/>
    <w:rsid w:val="000A077B"/>
    <w:rsid w:val="000A1040"/>
    <w:rsid w:val="000A171F"/>
    <w:rsid w:val="000A1D25"/>
    <w:rsid w:val="000A2209"/>
    <w:rsid w:val="000A231E"/>
    <w:rsid w:val="000A27FB"/>
    <w:rsid w:val="000A3C9D"/>
    <w:rsid w:val="000A5286"/>
    <w:rsid w:val="000A7139"/>
    <w:rsid w:val="000A714D"/>
    <w:rsid w:val="000B00A8"/>
    <w:rsid w:val="000B029A"/>
    <w:rsid w:val="000B0788"/>
    <w:rsid w:val="000B0B1E"/>
    <w:rsid w:val="000B0D2A"/>
    <w:rsid w:val="000B155B"/>
    <w:rsid w:val="000B2AE9"/>
    <w:rsid w:val="000B3085"/>
    <w:rsid w:val="000B31A2"/>
    <w:rsid w:val="000B3384"/>
    <w:rsid w:val="000B379E"/>
    <w:rsid w:val="000B47E4"/>
    <w:rsid w:val="000B4C7D"/>
    <w:rsid w:val="000B514D"/>
    <w:rsid w:val="000B582C"/>
    <w:rsid w:val="000B592F"/>
    <w:rsid w:val="000B5E9D"/>
    <w:rsid w:val="000B6252"/>
    <w:rsid w:val="000B67AF"/>
    <w:rsid w:val="000B6C1E"/>
    <w:rsid w:val="000B78E6"/>
    <w:rsid w:val="000B7DA8"/>
    <w:rsid w:val="000C0BD8"/>
    <w:rsid w:val="000C15D3"/>
    <w:rsid w:val="000C19B3"/>
    <w:rsid w:val="000C1DB2"/>
    <w:rsid w:val="000C26D1"/>
    <w:rsid w:val="000C3455"/>
    <w:rsid w:val="000C3A29"/>
    <w:rsid w:val="000C3D62"/>
    <w:rsid w:val="000C3EA3"/>
    <w:rsid w:val="000C4017"/>
    <w:rsid w:val="000C4668"/>
    <w:rsid w:val="000C5E9D"/>
    <w:rsid w:val="000C5F01"/>
    <w:rsid w:val="000C6CEE"/>
    <w:rsid w:val="000C7170"/>
    <w:rsid w:val="000C7210"/>
    <w:rsid w:val="000C77A1"/>
    <w:rsid w:val="000D04FC"/>
    <w:rsid w:val="000D0908"/>
    <w:rsid w:val="000D2A39"/>
    <w:rsid w:val="000D2E84"/>
    <w:rsid w:val="000D2EE7"/>
    <w:rsid w:val="000D446D"/>
    <w:rsid w:val="000D4E30"/>
    <w:rsid w:val="000D56C7"/>
    <w:rsid w:val="000D5B12"/>
    <w:rsid w:val="000D6326"/>
    <w:rsid w:val="000D6C69"/>
    <w:rsid w:val="000E07E0"/>
    <w:rsid w:val="000E0DDC"/>
    <w:rsid w:val="000E137D"/>
    <w:rsid w:val="000E1712"/>
    <w:rsid w:val="000E17CD"/>
    <w:rsid w:val="000E1B4D"/>
    <w:rsid w:val="000E2388"/>
    <w:rsid w:val="000E262D"/>
    <w:rsid w:val="000E3365"/>
    <w:rsid w:val="000E589A"/>
    <w:rsid w:val="000E6822"/>
    <w:rsid w:val="000E7113"/>
    <w:rsid w:val="000E7932"/>
    <w:rsid w:val="000E7DC7"/>
    <w:rsid w:val="000E7EC4"/>
    <w:rsid w:val="000F0A25"/>
    <w:rsid w:val="000F0C5D"/>
    <w:rsid w:val="000F2015"/>
    <w:rsid w:val="000F2536"/>
    <w:rsid w:val="000F27F8"/>
    <w:rsid w:val="000F2972"/>
    <w:rsid w:val="000F30D2"/>
    <w:rsid w:val="000F506A"/>
    <w:rsid w:val="000F5A40"/>
    <w:rsid w:val="000F71A1"/>
    <w:rsid w:val="000F720C"/>
    <w:rsid w:val="000F757A"/>
    <w:rsid w:val="000F76E8"/>
    <w:rsid w:val="000F77E2"/>
    <w:rsid w:val="000F7CF7"/>
    <w:rsid w:val="001008D8"/>
    <w:rsid w:val="001009D0"/>
    <w:rsid w:val="00100DAB"/>
    <w:rsid w:val="00102306"/>
    <w:rsid w:val="001035D1"/>
    <w:rsid w:val="001036F9"/>
    <w:rsid w:val="001039A5"/>
    <w:rsid w:val="00103E10"/>
    <w:rsid w:val="00104663"/>
    <w:rsid w:val="0010495A"/>
    <w:rsid w:val="00104B70"/>
    <w:rsid w:val="00104E13"/>
    <w:rsid w:val="00105552"/>
    <w:rsid w:val="001058E0"/>
    <w:rsid w:val="00105941"/>
    <w:rsid w:val="00105D64"/>
    <w:rsid w:val="00105F3D"/>
    <w:rsid w:val="00106257"/>
    <w:rsid w:val="00106651"/>
    <w:rsid w:val="001069A0"/>
    <w:rsid w:val="00106FB0"/>
    <w:rsid w:val="00107019"/>
    <w:rsid w:val="001071AA"/>
    <w:rsid w:val="00107986"/>
    <w:rsid w:val="00107DBE"/>
    <w:rsid w:val="00107EA9"/>
    <w:rsid w:val="0011010F"/>
    <w:rsid w:val="00110D8B"/>
    <w:rsid w:val="001114B0"/>
    <w:rsid w:val="001119C0"/>
    <w:rsid w:val="00111AE4"/>
    <w:rsid w:val="00113015"/>
    <w:rsid w:val="00113980"/>
    <w:rsid w:val="00113DBD"/>
    <w:rsid w:val="00114513"/>
    <w:rsid w:val="001145A6"/>
    <w:rsid w:val="00114939"/>
    <w:rsid w:val="00114BAF"/>
    <w:rsid w:val="00115565"/>
    <w:rsid w:val="00116613"/>
    <w:rsid w:val="001170C4"/>
    <w:rsid w:val="0011732E"/>
    <w:rsid w:val="00117B2C"/>
    <w:rsid w:val="00120778"/>
    <w:rsid w:val="00121577"/>
    <w:rsid w:val="00121606"/>
    <w:rsid w:val="00121AFA"/>
    <w:rsid w:val="00122821"/>
    <w:rsid w:val="00122A82"/>
    <w:rsid w:val="00122B7A"/>
    <w:rsid w:val="0012306E"/>
    <w:rsid w:val="00123843"/>
    <w:rsid w:val="00124018"/>
    <w:rsid w:val="0012406F"/>
    <w:rsid w:val="001243F7"/>
    <w:rsid w:val="0012453C"/>
    <w:rsid w:val="00124919"/>
    <w:rsid w:val="00125554"/>
    <w:rsid w:val="00125F59"/>
    <w:rsid w:val="001260C9"/>
    <w:rsid w:val="001265F7"/>
    <w:rsid w:val="0012660C"/>
    <w:rsid w:val="0012662D"/>
    <w:rsid w:val="0012663E"/>
    <w:rsid w:val="00126721"/>
    <w:rsid w:val="00126807"/>
    <w:rsid w:val="00126CF6"/>
    <w:rsid w:val="0012714E"/>
    <w:rsid w:val="001276AE"/>
    <w:rsid w:val="00127819"/>
    <w:rsid w:val="001278AD"/>
    <w:rsid w:val="001279A0"/>
    <w:rsid w:val="00127DD1"/>
    <w:rsid w:val="0013019D"/>
    <w:rsid w:val="00130472"/>
    <w:rsid w:val="00130982"/>
    <w:rsid w:val="00130B94"/>
    <w:rsid w:val="00131513"/>
    <w:rsid w:val="001315EF"/>
    <w:rsid w:val="0013171D"/>
    <w:rsid w:val="00131C18"/>
    <w:rsid w:val="00132132"/>
    <w:rsid w:val="001321E7"/>
    <w:rsid w:val="00132910"/>
    <w:rsid w:val="00132E27"/>
    <w:rsid w:val="001339C3"/>
    <w:rsid w:val="00133EA1"/>
    <w:rsid w:val="0013463D"/>
    <w:rsid w:val="0013519F"/>
    <w:rsid w:val="001359CD"/>
    <w:rsid w:val="00135B26"/>
    <w:rsid w:val="00135EB0"/>
    <w:rsid w:val="00136858"/>
    <w:rsid w:val="00136CB4"/>
    <w:rsid w:val="001370E2"/>
    <w:rsid w:val="001374A8"/>
    <w:rsid w:val="00137675"/>
    <w:rsid w:val="001379DE"/>
    <w:rsid w:val="00137CF9"/>
    <w:rsid w:val="001405E1"/>
    <w:rsid w:val="0014101F"/>
    <w:rsid w:val="00141938"/>
    <w:rsid w:val="0014215D"/>
    <w:rsid w:val="00142AD0"/>
    <w:rsid w:val="00142DA2"/>
    <w:rsid w:val="00142DF6"/>
    <w:rsid w:val="001434A8"/>
    <w:rsid w:val="00143D88"/>
    <w:rsid w:val="00143FD7"/>
    <w:rsid w:val="0014495B"/>
    <w:rsid w:val="0014532F"/>
    <w:rsid w:val="00145BF6"/>
    <w:rsid w:val="00146CCC"/>
    <w:rsid w:val="0014715D"/>
    <w:rsid w:val="00147622"/>
    <w:rsid w:val="001501A6"/>
    <w:rsid w:val="001509DB"/>
    <w:rsid w:val="00151359"/>
    <w:rsid w:val="0015224C"/>
    <w:rsid w:val="00152374"/>
    <w:rsid w:val="00153E7C"/>
    <w:rsid w:val="00153FAB"/>
    <w:rsid w:val="001540B2"/>
    <w:rsid w:val="0015417D"/>
    <w:rsid w:val="00154D4F"/>
    <w:rsid w:val="00155110"/>
    <w:rsid w:val="00155550"/>
    <w:rsid w:val="00155BD4"/>
    <w:rsid w:val="001561A8"/>
    <w:rsid w:val="00156212"/>
    <w:rsid w:val="00156500"/>
    <w:rsid w:val="00156804"/>
    <w:rsid w:val="001577A1"/>
    <w:rsid w:val="0015791B"/>
    <w:rsid w:val="001605B1"/>
    <w:rsid w:val="001607F4"/>
    <w:rsid w:val="00160CE7"/>
    <w:rsid w:val="00161021"/>
    <w:rsid w:val="00161050"/>
    <w:rsid w:val="00161221"/>
    <w:rsid w:val="00161561"/>
    <w:rsid w:val="0016245D"/>
    <w:rsid w:val="00163153"/>
    <w:rsid w:val="001636A8"/>
    <w:rsid w:val="00163FAC"/>
    <w:rsid w:val="00164176"/>
    <w:rsid w:val="00165340"/>
    <w:rsid w:val="0016540F"/>
    <w:rsid w:val="0016577A"/>
    <w:rsid w:val="00165CD7"/>
    <w:rsid w:val="00166731"/>
    <w:rsid w:val="00166890"/>
    <w:rsid w:val="00166DAB"/>
    <w:rsid w:val="00167C5C"/>
    <w:rsid w:val="00170EAC"/>
    <w:rsid w:val="001712E8"/>
    <w:rsid w:val="00171B7A"/>
    <w:rsid w:val="0017228C"/>
    <w:rsid w:val="001729E4"/>
    <w:rsid w:val="00172A27"/>
    <w:rsid w:val="00172E1C"/>
    <w:rsid w:val="0017356A"/>
    <w:rsid w:val="00173F0B"/>
    <w:rsid w:val="00174ABE"/>
    <w:rsid w:val="00174D72"/>
    <w:rsid w:val="00174FE0"/>
    <w:rsid w:val="00175138"/>
    <w:rsid w:val="00175718"/>
    <w:rsid w:val="0017586D"/>
    <w:rsid w:val="00175BB1"/>
    <w:rsid w:val="0017676F"/>
    <w:rsid w:val="0017678C"/>
    <w:rsid w:val="00176BEC"/>
    <w:rsid w:val="00177637"/>
    <w:rsid w:val="0017772F"/>
    <w:rsid w:val="001777E3"/>
    <w:rsid w:val="00177994"/>
    <w:rsid w:val="0018020F"/>
    <w:rsid w:val="00180937"/>
    <w:rsid w:val="00180BAB"/>
    <w:rsid w:val="00180BDB"/>
    <w:rsid w:val="00180D4B"/>
    <w:rsid w:val="00180F35"/>
    <w:rsid w:val="00181127"/>
    <w:rsid w:val="001812FA"/>
    <w:rsid w:val="001824ED"/>
    <w:rsid w:val="00182E2B"/>
    <w:rsid w:val="001845A7"/>
    <w:rsid w:val="00184EB0"/>
    <w:rsid w:val="0018508D"/>
    <w:rsid w:val="0018541E"/>
    <w:rsid w:val="0018551B"/>
    <w:rsid w:val="001857E6"/>
    <w:rsid w:val="00186AC8"/>
    <w:rsid w:val="00186B2B"/>
    <w:rsid w:val="0018755E"/>
    <w:rsid w:val="00187941"/>
    <w:rsid w:val="00187EB0"/>
    <w:rsid w:val="00187F35"/>
    <w:rsid w:val="00190068"/>
    <w:rsid w:val="001900DD"/>
    <w:rsid w:val="00190608"/>
    <w:rsid w:val="00192430"/>
    <w:rsid w:val="00193266"/>
    <w:rsid w:val="00193709"/>
    <w:rsid w:val="00193C3D"/>
    <w:rsid w:val="00195225"/>
    <w:rsid w:val="00195254"/>
    <w:rsid w:val="001953AC"/>
    <w:rsid w:val="001977DE"/>
    <w:rsid w:val="00197B4E"/>
    <w:rsid w:val="001A02FB"/>
    <w:rsid w:val="001A061F"/>
    <w:rsid w:val="001A0971"/>
    <w:rsid w:val="001A0D75"/>
    <w:rsid w:val="001A114C"/>
    <w:rsid w:val="001A1643"/>
    <w:rsid w:val="001A1F78"/>
    <w:rsid w:val="001A203B"/>
    <w:rsid w:val="001A204E"/>
    <w:rsid w:val="001A2322"/>
    <w:rsid w:val="001A306C"/>
    <w:rsid w:val="001A3119"/>
    <w:rsid w:val="001A35AD"/>
    <w:rsid w:val="001A36A5"/>
    <w:rsid w:val="001A3C83"/>
    <w:rsid w:val="001A3DAB"/>
    <w:rsid w:val="001A4BC2"/>
    <w:rsid w:val="001A5ADF"/>
    <w:rsid w:val="001A5DCD"/>
    <w:rsid w:val="001A5E9F"/>
    <w:rsid w:val="001A62FE"/>
    <w:rsid w:val="001A6401"/>
    <w:rsid w:val="001A646B"/>
    <w:rsid w:val="001A726D"/>
    <w:rsid w:val="001A7724"/>
    <w:rsid w:val="001B0738"/>
    <w:rsid w:val="001B07A7"/>
    <w:rsid w:val="001B0822"/>
    <w:rsid w:val="001B1D09"/>
    <w:rsid w:val="001B223E"/>
    <w:rsid w:val="001B23CD"/>
    <w:rsid w:val="001B2507"/>
    <w:rsid w:val="001B2C22"/>
    <w:rsid w:val="001B2DB3"/>
    <w:rsid w:val="001B35CB"/>
    <w:rsid w:val="001B3E23"/>
    <w:rsid w:val="001B4578"/>
    <w:rsid w:val="001B4D75"/>
    <w:rsid w:val="001B541E"/>
    <w:rsid w:val="001B5A86"/>
    <w:rsid w:val="001B6190"/>
    <w:rsid w:val="001C0666"/>
    <w:rsid w:val="001C0895"/>
    <w:rsid w:val="001C1315"/>
    <w:rsid w:val="001C22D1"/>
    <w:rsid w:val="001C2691"/>
    <w:rsid w:val="001C27EF"/>
    <w:rsid w:val="001C2E75"/>
    <w:rsid w:val="001C3DDC"/>
    <w:rsid w:val="001C3F64"/>
    <w:rsid w:val="001C42CF"/>
    <w:rsid w:val="001C44CF"/>
    <w:rsid w:val="001C4A47"/>
    <w:rsid w:val="001C504A"/>
    <w:rsid w:val="001C57C2"/>
    <w:rsid w:val="001C5D79"/>
    <w:rsid w:val="001C64D6"/>
    <w:rsid w:val="001C753E"/>
    <w:rsid w:val="001C7928"/>
    <w:rsid w:val="001D0040"/>
    <w:rsid w:val="001D03BE"/>
    <w:rsid w:val="001D04B7"/>
    <w:rsid w:val="001D0BC9"/>
    <w:rsid w:val="001D0F08"/>
    <w:rsid w:val="001D14DD"/>
    <w:rsid w:val="001D2B00"/>
    <w:rsid w:val="001D30CA"/>
    <w:rsid w:val="001D352E"/>
    <w:rsid w:val="001D3916"/>
    <w:rsid w:val="001D4171"/>
    <w:rsid w:val="001D47C1"/>
    <w:rsid w:val="001D519E"/>
    <w:rsid w:val="001D7448"/>
    <w:rsid w:val="001D748E"/>
    <w:rsid w:val="001D76E0"/>
    <w:rsid w:val="001D7C2B"/>
    <w:rsid w:val="001E007D"/>
    <w:rsid w:val="001E0BDC"/>
    <w:rsid w:val="001E1163"/>
    <w:rsid w:val="001E12DD"/>
    <w:rsid w:val="001E1389"/>
    <w:rsid w:val="001E1650"/>
    <w:rsid w:val="001E1894"/>
    <w:rsid w:val="001E1B95"/>
    <w:rsid w:val="001E2AB7"/>
    <w:rsid w:val="001E2BBD"/>
    <w:rsid w:val="001E2C95"/>
    <w:rsid w:val="001E30FA"/>
    <w:rsid w:val="001E31E8"/>
    <w:rsid w:val="001E345F"/>
    <w:rsid w:val="001E3B55"/>
    <w:rsid w:val="001E5569"/>
    <w:rsid w:val="001E5D56"/>
    <w:rsid w:val="001E62A0"/>
    <w:rsid w:val="001F0500"/>
    <w:rsid w:val="001F0635"/>
    <w:rsid w:val="001F1CF5"/>
    <w:rsid w:val="001F3434"/>
    <w:rsid w:val="001F3BBB"/>
    <w:rsid w:val="001F3D14"/>
    <w:rsid w:val="001F3E21"/>
    <w:rsid w:val="001F3EC3"/>
    <w:rsid w:val="001F40F1"/>
    <w:rsid w:val="001F44F9"/>
    <w:rsid w:val="001F4CA2"/>
    <w:rsid w:val="001F4EE4"/>
    <w:rsid w:val="001F5932"/>
    <w:rsid w:val="001F5C72"/>
    <w:rsid w:val="001F637D"/>
    <w:rsid w:val="001F64A7"/>
    <w:rsid w:val="001F6762"/>
    <w:rsid w:val="001F6C83"/>
    <w:rsid w:val="001F7140"/>
    <w:rsid w:val="001F7611"/>
    <w:rsid w:val="001F7AFB"/>
    <w:rsid w:val="001F7E5A"/>
    <w:rsid w:val="00200281"/>
    <w:rsid w:val="0020136A"/>
    <w:rsid w:val="00201A99"/>
    <w:rsid w:val="00202170"/>
    <w:rsid w:val="002027CA"/>
    <w:rsid w:val="00202AE5"/>
    <w:rsid w:val="00202CC8"/>
    <w:rsid w:val="002031E5"/>
    <w:rsid w:val="0020648B"/>
    <w:rsid w:val="002064A0"/>
    <w:rsid w:val="00206C8B"/>
    <w:rsid w:val="00206DEC"/>
    <w:rsid w:val="002102A1"/>
    <w:rsid w:val="002114E8"/>
    <w:rsid w:val="00211834"/>
    <w:rsid w:val="002128A2"/>
    <w:rsid w:val="00212CAA"/>
    <w:rsid w:val="0021386E"/>
    <w:rsid w:val="002144D8"/>
    <w:rsid w:val="00214610"/>
    <w:rsid w:val="00214684"/>
    <w:rsid w:val="00214A5E"/>
    <w:rsid w:val="00215390"/>
    <w:rsid w:val="002156BC"/>
    <w:rsid w:val="00215F86"/>
    <w:rsid w:val="002164F3"/>
    <w:rsid w:val="002173E6"/>
    <w:rsid w:val="00217A87"/>
    <w:rsid w:val="00217A8D"/>
    <w:rsid w:val="00220FED"/>
    <w:rsid w:val="0022144F"/>
    <w:rsid w:val="00221941"/>
    <w:rsid w:val="00221E91"/>
    <w:rsid w:val="00221F26"/>
    <w:rsid w:val="00222701"/>
    <w:rsid w:val="0022341C"/>
    <w:rsid w:val="00223A6E"/>
    <w:rsid w:val="00223BA5"/>
    <w:rsid w:val="00224B6B"/>
    <w:rsid w:val="00225116"/>
    <w:rsid w:val="00225161"/>
    <w:rsid w:val="002254A7"/>
    <w:rsid w:val="002254BE"/>
    <w:rsid w:val="00225CE8"/>
    <w:rsid w:val="002261F0"/>
    <w:rsid w:val="00227617"/>
    <w:rsid w:val="002278B7"/>
    <w:rsid w:val="002278DB"/>
    <w:rsid w:val="002302B3"/>
    <w:rsid w:val="00231ABB"/>
    <w:rsid w:val="00231D4B"/>
    <w:rsid w:val="00232145"/>
    <w:rsid w:val="002329DB"/>
    <w:rsid w:val="0023303F"/>
    <w:rsid w:val="00233B07"/>
    <w:rsid w:val="00234307"/>
    <w:rsid w:val="00234DEF"/>
    <w:rsid w:val="00235B2D"/>
    <w:rsid w:val="00236248"/>
    <w:rsid w:val="002368C8"/>
    <w:rsid w:val="00236A4A"/>
    <w:rsid w:val="00236DA7"/>
    <w:rsid w:val="00237150"/>
    <w:rsid w:val="00237BA1"/>
    <w:rsid w:val="002400E2"/>
    <w:rsid w:val="00240117"/>
    <w:rsid w:val="00240F82"/>
    <w:rsid w:val="0024116F"/>
    <w:rsid w:val="00241EA2"/>
    <w:rsid w:val="00243975"/>
    <w:rsid w:val="00244066"/>
    <w:rsid w:val="002441DB"/>
    <w:rsid w:val="002444E0"/>
    <w:rsid w:val="00244FD2"/>
    <w:rsid w:val="002450F8"/>
    <w:rsid w:val="00245549"/>
    <w:rsid w:val="002462C1"/>
    <w:rsid w:val="002470D7"/>
    <w:rsid w:val="00250C0D"/>
    <w:rsid w:val="002515A7"/>
    <w:rsid w:val="00252C2D"/>
    <w:rsid w:val="00252E2A"/>
    <w:rsid w:val="0025320C"/>
    <w:rsid w:val="0025335E"/>
    <w:rsid w:val="0025353C"/>
    <w:rsid w:val="00253944"/>
    <w:rsid w:val="00253A1B"/>
    <w:rsid w:val="00253DEA"/>
    <w:rsid w:val="00253FEE"/>
    <w:rsid w:val="002543D5"/>
    <w:rsid w:val="00254978"/>
    <w:rsid w:val="00254D8C"/>
    <w:rsid w:val="00254EFA"/>
    <w:rsid w:val="00255224"/>
    <w:rsid w:val="00255DAC"/>
    <w:rsid w:val="0025609E"/>
    <w:rsid w:val="002570CA"/>
    <w:rsid w:val="002575AC"/>
    <w:rsid w:val="0025798E"/>
    <w:rsid w:val="00257C6B"/>
    <w:rsid w:val="00257F6F"/>
    <w:rsid w:val="0026037D"/>
    <w:rsid w:val="002605DE"/>
    <w:rsid w:val="002605E8"/>
    <w:rsid w:val="002607E9"/>
    <w:rsid w:val="00262372"/>
    <w:rsid w:val="00263717"/>
    <w:rsid w:val="00263F7C"/>
    <w:rsid w:val="00264C46"/>
    <w:rsid w:val="002660FE"/>
    <w:rsid w:val="00266378"/>
    <w:rsid w:val="00266B2F"/>
    <w:rsid w:val="00266BF9"/>
    <w:rsid w:val="00266D64"/>
    <w:rsid w:val="002674AB"/>
    <w:rsid w:val="00267BBB"/>
    <w:rsid w:val="00267CF9"/>
    <w:rsid w:val="00271B44"/>
    <w:rsid w:val="00271D17"/>
    <w:rsid w:val="00272433"/>
    <w:rsid w:val="00272834"/>
    <w:rsid w:val="00272C57"/>
    <w:rsid w:val="00272F81"/>
    <w:rsid w:val="00274FCD"/>
    <w:rsid w:val="00275B59"/>
    <w:rsid w:val="002771E7"/>
    <w:rsid w:val="00277A7B"/>
    <w:rsid w:val="002802AA"/>
    <w:rsid w:val="00280BFD"/>
    <w:rsid w:val="00280E01"/>
    <w:rsid w:val="00281053"/>
    <w:rsid w:val="002822A8"/>
    <w:rsid w:val="00282B0A"/>
    <w:rsid w:val="00282BA1"/>
    <w:rsid w:val="00283DAB"/>
    <w:rsid w:val="00284209"/>
    <w:rsid w:val="00285163"/>
    <w:rsid w:val="002867C9"/>
    <w:rsid w:val="00287805"/>
    <w:rsid w:val="00290B8D"/>
    <w:rsid w:val="00292593"/>
    <w:rsid w:val="00293573"/>
    <w:rsid w:val="00294277"/>
    <w:rsid w:val="00294357"/>
    <w:rsid w:val="0029682E"/>
    <w:rsid w:val="002979C1"/>
    <w:rsid w:val="002A0162"/>
    <w:rsid w:val="002A0A92"/>
    <w:rsid w:val="002A190D"/>
    <w:rsid w:val="002A1EB3"/>
    <w:rsid w:val="002A2F45"/>
    <w:rsid w:val="002A2F6C"/>
    <w:rsid w:val="002A337F"/>
    <w:rsid w:val="002A761B"/>
    <w:rsid w:val="002B0672"/>
    <w:rsid w:val="002B08B7"/>
    <w:rsid w:val="002B0B6B"/>
    <w:rsid w:val="002B0DF5"/>
    <w:rsid w:val="002B1291"/>
    <w:rsid w:val="002B1B90"/>
    <w:rsid w:val="002B299A"/>
    <w:rsid w:val="002B2CD9"/>
    <w:rsid w:val="002B2D43"/>
    <w:rsid w:val="002B38A5"/>
    <w:rsid w:val="002B38F1"/>
    <w:rsid w:val="002B3A63"/>
    <w:rsid w:val="002B3B37"/>
    <w:rsid w:val="002B3DED"/>
    <w:rsid w:val="002B4D3A"/>
    <w:rsid w:val="002B4FD4"/>
    <w:rsid w:val="002B55C5"/>
    <w:rsid w:val="002B5D37"/>
    <w:rsid w:val="002B64F4"/>
    <w:rsid w:val="002B6B4C"/>
    <w:rsid w:val="002B7136"/>
    <w:rsid w:val="002C0A90"/>
    <w:rsid w:val="002C14A3"/>
    <w:rsid w:val="002C14DA"/>
    <w:rsid w:val="002C2898"/>
    <w:rsid w:val="002C301E"/>
    <w:rsid w:val="002C44A3"/>
    <w:rsid w:val="002C468B"/>
    <w:rsid w:val="002C4A72"/>
    <w:rsid w:val="002C4E7A"/>
    <w:rsid w:val="002C5A0B"/>
    <w:rsid w:val="002C5A8F"/>
    <w:rsid w:val="002C6795"/>
    <w:rsid w:val="002C68C3"/>
    <w:rsid w:val="002C76A5"/>
    <w:rsid w:val="002C7A94"/>
    <w:rsid w:val="002C7C62"/>
    <w:rsid w:val="002D0423"/>
    <w:rsid w:val="002D1A07"/>
    <w:rsid w:val="002D22F7"/>
    <w:rsid w:val="002D2347"/>
    <w:rsid w:val="002D34C3"/>
    <w:rsid w:val="002D3D2E"/>
    <w:rsid w:val="002D3F2E"/>
    <w:rsid w:val="002D44A9"/>
    <w:rsid w:val="002D458A"/>
    <w:rsid w:val="002D45A9"/>
    <w:rsid w:val="002D65CC"/>
    <w:rsid w:val="002D7327"/>
    <w:rsid w:val="002D75A1"/>
    <w:rsid w:val="002D7A1F"/>
    <w:rsid w:val="002D7B0C"/>
    <w:rsid w:val="002E0486"/>
    <w:rsid w:val="002E0DB6"/>
    <w:rsid w:val="002E1905"/>
    <w:rsid w:val="002E2147"/>
    <w:rsid w:val="002E269F"/>
    <w:rsid w:val="002E2B7F"/>
    <w:rsid w:val="002E3427"/>
    <w:rsid w:val="002E37A3"/>
    <w:rsid w:val="002E3DAA"/>
    <w:rsid w:val="002E3F55"/>
    <w:rsid w:val="002E433B"/>
    <w:rsid w:val="002E52EF"/>
    <w:rsid w:val="002E719A"/>
    <w:rsid w:val="002E74A7"/>
    <w:rsid w:val="002E7728"/>
    <w:rsid w:val="002E78FA"/>
    <w:rsid w:val="002F01E7"/>
    <w:rsid w:val="002F01F0"/>
    <w:rsid w:val="002F0638"/>
    <w:rsid w:val="002F0884"/>
    <w:rsid w:val="002F0987"/>
    <w:rsid w:val="002F0BCA"/>
    <w:rsid w:val="002F0FFC"/>
    <w:rsid w:val="002F154C"/>
    <w:rsid w:val="002F3E18"/>
    <w:rsid w:val="002F43F1"/>
    <w:rsid w:val="002F499F"/>
    <w:rsid w:val="002F6394"/>
    <w:rsid w:val="002F71C8"/>
    <w:rsid w:val="002F78D4"/>
    <w:rsid w:val="002F7CFA"/>
    <w:rsid w:val="00300A02"/>
    <w:rsid w:val="00300E81"/>
    <w:rsid w:val="0030117C"/>
    <w:rsid w:val="003011C2"/>
    <w:rsid w:val="00302353"/>
    <w:rsid w:val="003023D3"/>
    <w:rsid w:val="00302876"/>
    <w:rsid w:val="00302CD1"/>
    <w:rsid w:val="00302DDA"/>
    <w:rsid w:val="00303142"/>
    <w:rsid w:val="00303486"/>
    <w:rsid w:val="0030373F"/>
    <w:rsid w:val="00303B00"/>
    <w:rsid w:val="00303E2B"/>
    <w:rsid w:val="00303F1C"/>
    <w:rsid w:val="00305721"/>
    <w:rsid w:val="0030619B"/>
    <w:rsid w:val="00306CC6"/>
    <w:rsid w:val="003071EF"/>
    <w:rsid w:val="00307638"/>
    <w:rsid w:val="00307715"/>
    <w:rsid w:val="00307E2D"/>
    <w:rsid w:val="00310157"/>
    <w:rsid w:val="003103D2"/>
    <w:rsid w:val="0031040B"/>
    <w:rsid w:val="00310BB9"/>
    <w:rsid w:val="003114E1"/>
    <w:rsid w:val="00311681"/>
    <w:rsid w:val="00311815"/>
    <w:rsid w:val="0031208E"/>
    <w:rsid w:val="003124B0"/>
    <w:rsid w:val="003128BA"/>
    <w:rsid w:val="0031356A"/>
    <w:rsid w:val="00313DFE"/>
    <w:rsid w:val="003140CA"/>
    <w:rsid w:val="00314A34"/>
    <w:rsid w:val="0031503A"/>
    <w:rsid w:val="00315539"/>
    <w:rsid w:val="00315F9B"/>
    <w:rsid w:val="0031707F"/>
    <w:rsid w:val="00317B47"/>
    <w:rsid w:val="00317D8B"/>
    <w:rsid w:val="003205B2"/>
    <w:rsid w:val="00320D48"/>
    <w:rsid w:val="00320EE1"/>
    <w:rsid w:val="00321366"/>
    <w:rsid w:val="00321402"/>
    <w:rsid w:val="00322C77"/>
    <w:rsid w:val="003236FF"/>
    <w:rsid w:val="00323B20"/>
    <w:rsid w:val="00323D4F"/>
    <w:rsid w:val="00323D9F"/>
    <w:rsid w:val="00324C83"/>
    <w:rsid w:val="00326C7F"/>
    <w:rsid w:val="00327F50"/>
    <w:rsid w:val="0033071B"/>
    <w:rsid w:val="00331046"/>
    <w:rsid w:val="00331CA8"/>
    <w:rsid w:val="003328AC"/>
    <w:rsid w:val="00332CBE"/>
    <w:rsid w:val="00332DA4"/>
    <w:rsid w:val="00332ED3"/>
    <w:rsid w:val="00333299"/>
    <w:rsid w:val="003335B1"/>
    <w:rsid w:val="00333B73"/>
    <w:rsid w:val="00334591"/>
    <w:rsid w:val="003345D5"/>
    <w:rsid w:val="00334E92"/>
    <w:rsid w:val="003351CB"/>
    <w:rsid w:val="003351EF"/>
    <w:rsid w:val="003356CC"/>
    <w:rsid w:val="0033646C"/>
    <w:rsid w:val="0033748A"/>
    <w:rsid w:val="003377DD"/>
    <w:rsid w:val="003403A9"/>
    <w:rsid w:val="00340615"/>
    <w:rsid w:val="0034083B"/>
    <w:rsid w:val="003411A2"/>
    <w:rsid w:val="0034129A"/>
    <w:rsid w:val="00342645"/>
    <w:rsid w:val="00342676"/>
    <w:rsid w:val="003431A5"/>
    <w:rsid w:val="0034337E"/>
    <w:rsid w:val="00343445"/>
    <w:rsid w:val="00343956"/>
    <w:rsid w:val="003440B1"/>
    <w:rsid w:val="00344942"/>
    <w:rsid w:val="003457C1"/>
    <w:rsid w:val="00346910"/>
    <w:rsid w:val="0034721E"/>
    <w:rsid w:val="00347941"/>
    <w:rsid w:val="00347D63"/>
    <w:rsid w:val="00350405"/>
    <w:rsid w:val="00350C04"/>
    <w:rsid w:val="00350ECE"/>
    <w:rsid w:val="00351635"/>
    <w:rsid w:val="00351655"/>
    <w:rsid w:val="003517F6"/>
    <w:rsid w:val="00351E1B"/>
    <w:rsid w:val="0035377D"/>
    <w:rsid w:val="00354B9F"/>
    <w:rsid w:val="00356084"/>
    <w:rsid w:val="00356764"/>
    <w:rsid w:val="003569C7"/>
    <w:rsid w:val="00356A36"/>
    <w:rsid w:val="00356DDB"/>
    <w:rsid w:val="0035710E"/>
    <w:rsid w:val="003571DE"/>
    <w:rsid w:val="003579FB"/>
    <w:rsid w:val="0036039F"/>
    <w:rsid w:val="003608B5"/>
    <w:rsid w:val="00360C0F"/>
    <w:rsid w:val="00361014"/>
    <w:rsid w:val="00361862"/>
    <w:rsid w:val="00361C6E"/>
    <w:rsid w:val="003643A3"/>
    <w:rsid w:val="003643E0"/>
    <w:rsid w:val="0036551B"/>
    <w:rsid w:val="0036594F"/>
    <w:rsid w:val="003661DF"/>
    <w:rsid w:val="00366989"/>
    <w:rsid w:val="003675D4"/>
    <w:rsid w:val="003679CD"/>
    <w:rsid w:val="00370986"/>
    <w:rsid w:val="00371117"/>
    <w:rsid w:val="00372079"/>
    <w:rsid w:val="00372AD0"/>
    <w:rsid w:val="00373496"/>
    <w:rsid w:val="00373499"/>
    <w:rsid w:val="00374E1E"/>
    <w:rsid w:val="00374ECC"/>
    <w:rsid w:val="0037595F"/>
    <w:rsid w:val="00375B6E"/>
    <w:rsid w:val="003761FD"/>
    <w:rsid w:val="003772A6"/>
    <w:rsid w:val="0038086E"/>
    <w:rsid w:val="00380E74"/>
    <w:rsid w:val="00382771"/>
    <w:rsid w:val="00382CE2"/>
    <w:rsid w:val="00383364"/>
    <w:rsid w:val="003834E7"/>
    <w:rsid w:val="003837C4"/>
    <w:rsid w:val="00383A48"/>
    <w:rsid w:val="003840C5"/>
    <w:rsid w:val="00384106"/>
    <w:rsid w:val="00384308"/>
    <w:rsid w:val="003857BA"/>
    <w:rsid w:val="00385907"/>
    <w:rsid w:val="00385E1A"/>
    <w:rsid w:val="0038642F"/>
    <w:rsid w:val="00387190"/>
    <w:rsid w:val="00390611"/>
    <w:rsid w:val="0039113F"/>
    <w:rsid w:val="0039136A"/>
    <w:rsid w:val="003916F9"/>
    <w:rsid w:val="00391C5C"/>
    <w:rsid w:val="00392192"/>
    <w:rsid w:val="00392229"/>
    <w:rsid w:val="00392D02"/>
    <w:rsid w:val="0039362F"/>
    <w:rsid w:val="00393DCE"/>
    <w:rsid w:val="00395766"/>
    <w:rsid w:val="003966A8"/>
    <w:rsid w:val="00396A34"/>
    <w:rsid w:val="00396C38"/>
    <w:rsid w:val="003975F5"/>
    <w:rsid w:val="00397755"/>
    <w:rsid w:val="003A00BD"/>
    <w:rsid w:val="003A06AF"/>
    <w:rsid w:val="003A0D82"/>
    <w:rsid w:val="003A0DE4"/>
    <w:rsid w:val="003A10B0"/>
    <w:rsid w:val="003A1F1E"/>
    <w:rsid w:val="003A22CA"/>
    <w:rsid w:val="003A26C2"/>
    <w:rsid w:val="003A2BB7"/>
    <w:rsid w:val="003A2EF4"/>
    <w:rsid w:val="003A3E5F"/>
    <w:rsid w:val="003A3F91"/>
    <w:rsid w:val="003A495A"/>
    <w:rsid w:val="003A7398"/>
    <w:rsid w:val="003A77F3"/>
    <w:rsid w:val="003A7C5C"/>
    <w:rsid w:val="003B020C"/>
    <w:rsid w:val="003B0C05"/>
    <w:rsid w:val="003B0DFE"/>
    <w:rsid w:val="003B0F49"/>
    <w:rsid w:val="003B1674"/>
    <w:rsid w:val="003B17D0"/>
    <w:rsid w:val="003B1DD8"/>
    <w:rsid w:val="003B253F"/>
    <w:rsid w:val="003B2A23"/>
    <w:rsid w:val="003B30CF"/>
    <w:rsid w:val="003B3194"/>
    <w:rsid w:val="003B3725"/>
    <w:rsid w:val="003B380E"/>
    <w:rsid w:val="003B453B"/>
    <w:rsid w:val="003B4920"/>
    <w:rsid w:val="003B5C3A"/>
    <w:rsid w:val="003B63B4"/>
    <w:rsid w:val="003B642A"/>
    <w:rsid w:val="003B6970"/>
    <w:rsid w:val="003B7499"/>
    <w:rsid w:val="003B7FF8"/>
    <w:rsid w:val="003C0BAA"/>
    <w:rsid w:val="003C0CED"/>
    <w:rsid w:val="003C1370"/>
    <w:rsid w:val="003C1372"/>
    <w:rsid w:val="003C1A03"/>
    <w:rsid w:val="003C1C5B"/>
    <w:rsid w:val="003C25B5"/>
    <w:rsid w:val="003C343A"/>
    <w:rsid w:val="003C35F2"/>
    <w:rsid w:val="003C3BF1"/>
    <w:rsid w:val="003C5F63"/>
    <w:rsid w:val="003C6359"/>
    <w:rsid w:val="003C6585"/>
    <w:rsid w:val="003C65D0"/>
    <w:rsid w:val="003C6E94"/>
    <w:rsid w:val="003D0008"/>
    <w:rsid w:val="003D0218"/>
    <w:rsid w:val="003D0412"/>
    <w:rsid w:val="003D0A09"/>
    <w:rsid w:val="003D0C42"/>
    <w:rsid w:val="003D0CED"/>
    <w:rsid w:val="003D0F99"/>
    <w:rsid w:val="003D0FC2"/>
    <w:rsid w:val="003D1291"/>
    <w:rsid w:val="003D1F3A"/>
    <w:rsid w:val="003D2A94"/>
    <w:rsid w:val="003D2BA4"/>
    <w:rsid w:val="003D2EA0"/>
    <w:rsid w:val="003D37AC"/>
    <w:rsid w:val="003D3EF4"/>
    <w:rsid w:val="003D432A"/>
    <w:rsid w:val="003D462B"/>
    <w:rsid w:val="003D4742"/>
    <w:rsid w:val="003D495E"/>
    <w:rsid w:val="003D511A"/>
    <w:rsid w:val="003D519C"/>
    <w:rsid w:val="003D5709"/>
    <w:rsid w:val="003D63A9"/>
    <w:rsid w:val="003D6FD7"/>
    <w:rsid w:val="003D6FE7"/>
    <w:rsid w:val="003D7625"/>
    <w:rsid w:val="003D7744"/>
    <w:rsid w:val="003D7857"/>
    <w:rsid w:val="003E017D"/>
    <w:rsid w:val="003E0FBF"/>
    <w:rsid w:val="003E2287"/>
    <w:rsid w:val="003E29D3"/>
    <w:rsid w:val="003E3924"/>
    <w:rsid w:val="003E39A3"/>
    <w:rsid w:val="003E3BC0"/>
    <w:rsid w:val="003E3EBC"/>
    <w:rsid w:val="003E4184"/>
    <w:rsid w:val="003E48F4"/>
    <w:rsid w:val="003E4C02"/>
    <w:rsid w:val="003E563F"/>
    <w:rsid w:val="003E6FBD"/>
    <w:rsid w:val="003E7BCE"/>
    <w:rsid w:val="003F0781"/>
    <w:rsid w:val="003F0B94"/>
    <w:rsid w:val="003F0C0E"/>
    <w:rsid w:val="003F0E90"/>
    <w:rsid w:val="003F0FC9"/>
    <w:rsid w:val="003F106A"/>
    <w:rsid w:val="003F172C"/>
    <w:rsid w:val="003F1CA7"/>
    <w:rsid w:val="003F2324"/>
    <w:rsid w:val="003F2DF8"/>
    <w:rsid w:val="003F3260"/>
    <w:rsid w:val="003F396A"/>
    <w:rsid w:val="003F3E44"/>
    <w:rsid w:val="003F3F90"/>
    <w:rsid w:val="003F4932"/>
    <w:rsid w:val="003F545B"/>
    <w:rsid w:val="003F549B"/>
    <w:rsid w:val="003F5527"/>
    <w:rsid w:val="003F55B5"/>
    <w:rsid w:val="003F5C11"/>
    <w:rsid w:val="003F5FF8"/>
    <w:rsid w:val="003F6A01"/>
    <w:rsid w:val="003F6AFA"/>
    <w:rsid w:val="003F6F69"/>
    <w:rsid w:val="003F77C2"/>
    <w:rsid w:val="003F7B45"/>
    <w:rsid w:val="003F7ECE"/>
    <w:rsid w:val="00400350"/>
    <w:rsid w:val="00401A6D"/>
    <w:rsid w:val="00401C74"/>
    <w:rsid w:val="00402AE6"/>
    <w:rsid w:val="00402BEE"/>
    <w:rsid w:val="00403B5C"/>
    <w:rsid w:val="00403EBD"/>
    <w:rsid w:val="00404771"/>
    <w:rsid w:val="00404D73"/>
    <w:rsid w:val="00404FA9"/>
    <w:rsid w:val="00405030"/>
    <w:rsid w:val="00405577"/>
    <w:rsid w:val="00405F77"/>
    <w:rsid w:val="00406C4D"/>
    <w:rsid w:val="00406FA1"/>
    <w:rsid w:val="00407050"/>
    <w:rsid w:val="00410517"/>
    <w:rsid w:val="00411037"/>
    <w:rsid w:val="00411421"/>
    <w:rsid w:val="00411574"/>
    <w:rsid w:val="00411641"/>
    <w:rsid w:val="00411B28"/>
    <w:rsid w:val="0041226F"/>
    <w:rsid w:val="004124C6"/>
    <w:rsid w:val="0041267D"/>
    <w:rsid w:val="00412C5A"/>
    <w:rsid w:val="004130A2"/>
    <w:rsid w:val="00413280"/>
    <w:rsid w:val="004134A7"/>
    <w:rsid w:val="004144CA"/>
    <w:rsid w:val="00414736"/>
    <w:rsid w:val="004165F1"/>
    <w:rsid w:val="004168F7"/>
    <w:rsid w:val="00417539"/>
    <w:rsid w:val="0042031D"/>
    <w:rsid w:val="004204DF"/>
    <w:rsid w:val="004209D8"/>
    <w:rsid w:val="00421073"/>
    <w:rsid w:val="0042142B"/>
    <w:rsid w:val="00423FDC"/>
    <w:rsid w:val="004244D8"/>
    <w:rsid w:val="004249A2"/>
    <w:rsid w:val="004249EA"/>
    <w:rsid w:val="0042601A"/>
    <w:rsid w:val="004268B8"/>
    <w:rsid w:val="00427304"/>
    <w:rsid w:val="00427373"/>
    <w:rsid w:val="00427ABD"/>
    <w:rsid w:val="004301E1"/>
    <w:rsid w:val="00430318"/>
    <w:rsid w:val="00430DD6"/>
    <w:rsid w:val="00430E8A"/>
    <w:rsid w:val="00431807"/>
    <w:rsid w:val="00431936"/>
    <w:rsid w:val="00431D10"/>
    <w:rsid w:val="00431E5A"/>
    <w:rsid w:val="004325EA"/>
    <w:rsid w:val="004327D6"/>
    <w:rsid w:val="0043301E"/>
    <w:rsid w:val="0043320C"/>
    <w:rsid w:val="00433445"/>
    <w:rsid w:val="00433576"/>
    <w:rsid w:val="004335E7"/>
    <w:rsid w:val="00433944"/>
    <w:rsid w:val="00433CCD"/>
    <w:rsid w:val="004341E4"/>
    <w:rsid w:val="004354A2"/>
    <w:rsid w:val="00436893"/>
    <w:rsid w:val="00437298"/>
    <w:rsid w:val="004374E1"/>
    <w:rsid w:val="00437605"/>
    <w:rsid w:val="004405CE"/>
    <w:rsid w:val="00440C36"/>
    <w:rsid w:val="00440F7A"/>
    <w:rsid w:val="0044136C"/>
    <w:rsid w:val="00441B51"/>
    <w:rsid w:val="00443923"/>
    <w:rsid w:val="00443E3A"/>
    <w:rsid w:val="00444003"/>
    <w:rsid w:val="004445D6"/>
    <w:rsid w:val="00444C73"/>
    <w:rsid w:val="00444EF4"/>
    <w:rsid w:val="00445349"/>
    <w:rsid w:val="00446258"/>
    <w:rsid w:val="00446667"/>
    <w:rsid w:val="0044690D"/>
    <w:rsid w:val="0044722B"/>
    <w:rsid w:val="00447930"/>
    <w:rsid w:val="00447ED5"/>
    <w:rsid w:val="004502A2"/>
    <w:rsid w:val="00450AB1"/>
    <w:rsid w:val="004510C9"/>
    <w:rsid w:val="004514D4"/>
    <w:rsid w:val="00451D3F"/>
    <w:rsid w:val="00452A50"/>
    <w:rsid w:val="0045410F"/>
    <w:rsid w:val="00454445"/>
    <w:rsid w:val="00454862"/>
    <w:rsid w:val="00454BBB"/>
    <w:rsid w:val="00454F2C"/>
    <w:rsid w:val="00454FB3"/>
    <w:rsid w:val="004554A5"/>
    <w:rsid w:val="0045574E"/>
    <w:rsid w:val="004563CA"/>
    <w:rsid w:val="0045682C"/>
    <w:rsid w:val="00457356"/>
    <w:rsid w:val="00457E0A"/>
    <w:rsid w:val="00457FEA"/>
    <w:rsid w:val="0046023F"/>
    <w:rsid w:val="00460FB0"/>
    <w:rsid w:val="004639B8"/>
    <w:rsid w:val="0046427F"/>
    <w:rsid w:val="00464570"/>
    <w:rsid w:val="004655DF"/>
    <w:rsid w:val="0046587A"/>
    <w:rsid w:val="00465C54"/>
    <w:rsid w:val="004662FC"/>
    <w:rsid w:val="0046676B"/>
    <w:rsid w:val="00466EA3"/>
    <w:rsid w:val="00467361"/>
    <w:rsid w:val="00467561"/>
    <w:rsid w:val="0046787A"/>
    <w:rsid w:val="00467A27"/>
    <w:rsid w:val="00467A6A"/>
    <w:rsid w:val="004702A2"/>
    <w:rsid w:val="0047032A"/>
    <w:rsid w:val="0047089D"/>
    <w:rsid w:val="00471983"/>
    <w:rsid w:val="00471B4F"/>
    <w:rsid w:val="00471C60"/>
    <w:rsid w:val="00471DE4"/>
    <w:rsid w:val="0047293E"/>
    <w:rsid w:val="00472B1B"/>
    <w:rsid w:val="00473588"/>
    <w:rsid w:val="00473863"/>
    <w:rsid w:val="00473933"/>
    <w:rsid w:val="00473AB8"/>
    <w:rsid w:val="00475B17"/>
    <w:rsid w:val="00475FFB"/>
    <w:rsid w:val="00476E06"/>
    <w:rsid w:val="00480BCD"/>
    <w:rsid w:val="00481597"/>
    <w:rsid w:val="00481991"/>
    <w:rsid w:val="00481CF6"/>
    <w:rsid w:val="00483215"/>
    <w:rsid w:val="00483CF0"/>
    <w:rsid w:val="00484196"/>
    <w:rsid w:val="0048530B"/>
    <w:rsid w:val="00485664"/>
    <w:rsid w:val="00485681"/>
    <w:rsid w:val="00485824"/>
    <w:rsid w:val="0048615F"/>
    <w:rsid w:val="0048688C"/>
    <w:rsid w:val="00486AD6"/>
    <w:rsid w:val="00486F08"/>
    <w:rsid w:val="00487F85"/>
    <w:rsid w:val="004916A4"/>
    <w:rsid w:val="00492319"/>
    <w:rsid w:val="00492FBC"/>
    <w:rsid w:val="004938C3"/>
    <w:rsid w:val="00494549"/>
    <w:rsid w:val="00494C4C"/>
    <w:rsid w:val="00495080"/>
    <w:rsid w:val="004953C9"/>
    <w:rsid w:val="0049685F"/>
    <w:rsid w:val="00497110"/>
    <w:rsid w:val="00497769"/>
    <w:rsid w:val="004A0426"/>
    <w:rsid w:val="004A1FC7"/>
    <w:rsid w:val="004A353D"/>
    <w:rsid w:val="004A4761"/>
    <w:rsid w:val="004A4D21"/>
    <w:rsid w:val="004A4D2A"/>
    <w:rsid w:val="004A50B5"/>
    <w:rsid w:val="004A58B3"/>
    <w:rsid w:val="004A59D1"/>
    <w:rsid w:val="004A5BF6"/>
    <w:rsid w:val="004A5DEE"/>
    <w:rsid w:val="004A6F93"/>
    <w:rsid w:val="004A7428"/>
    <w:rsid w:val="004A753E"/>
    <w:rsid w:val="004A75FD"/>
    <w:rsid w:val="004A7C5A"/>
    <w:rsid w:val="004B01AE"/>
    <w:rsid w:val="004B01EE"/>
    <w:rsid w:val="004B04A3"/>
    <w:rsid w:val="004B0622"/>
    <w:rsid w:val="004B09AF"/>
    <w:rsid w:val="004B0F1E"/>
    <w:rsid w:val="004B1617"/>
    <w:rsid w:val="004B1BAB"/>
    <w:rsid w:val="004B285B"/>
    <w:rsid w:val="004B2A35"/>
    <w:rsid w:val="004B378B"/>
    <w:rsid w:val="004B3B9A"/>
    <w:rsid w:val="004B3D59"/>
    <w:rsid w:val="004B4007"/>
    <w:rsid w:val="004B4829"/>
    <w:rsid w:val="004B4E12"/>
    <w:rsid w:val="004B57F9"/>
    <w:rsid w:val="004B5BBC"/>
    <w:rsid w:val="004B6F96"/>
    <w:rsid w:val="004B70EA"/>
    <w:rsid w:val="004B75B6"/>
    <w:rsid w:val="004B7909"/>
    <w:rsid w:val="004C04D8"/>
    <w:rsid w:val="004C0BF1"/>
    <w:rsid w:val="004C0F07"/>
    <w:rsid w:val="004C1355"/>
    <w:rsid w:val="004C16C8"/>
    <w:rsid w:val="004C1CBB"/>
    <w:rsid w:val="004C2124"/>
    <w:rsid w:val="004C238D"/>
    <w:rsid w:val="004C27EC"/>
    <w:rsid w:val="004C286A"/>
    <w:rsid w:val="004C2DE8"/>
    <w:rsid w:val="004C3122"/>
    <w:rsid w:val="004C3AE9"/>
    <w:rsid w:val="004C3C48"/>
    <w:rsid w:val="004C4041"/>
    <w:rsid w:val="004C430E"/>
    <w:rsid w:val="004C49D4"/>
    <w:rsid w:val="004C6034"/>
    <w:rsid w:val="004C609C"/>
    <w:rsid w:val="004C65F2"/>
    <w:rsid w:val="004C7904"/>
    <w:rsid w:val="004C79C1"/>
    <w:rsid w:val="004D0592"/>
    <w:rsid w:val="004D0C85"/>
    <w:rsid w:val="004D1577"/>
    <w:rsid w:val="004D1EE7"/>
    <w:rsid w:val="004D2011"/>
    <w:rsid w:val="004D202D"/>
    <w:rsid w:val="004D269A"/>
    <w:rsid w:val="004D26BC"/>
    <w:rsid w:val="004D2CE6"/>
    <w:rsid w:val="004D2FED"/>
    <w:rsid w:val="004D3286"/>
    <w:rsid w:val="004D33BB"/>
    <w:rsid w:val="004D39D1"/>
    <w:rsid w:val="004D418C"/>
    <w:rsid w:val="004D43FF"/>
    <w:rsid w:val="004D48C3"/>
    <w:rsid w:val="004D4DB0"/>
    <w:rsid w:val="004D597F"/>
    <w:rsid w:val="004D6290"/>
    <w:rsid w:val="004D7176"/>
    <w:rsid w:val="004D7A3B"/>
    <w:rsid w:val="004E010D"/>
    <w:rsid w:val="004E0615"/>
    <w:rsid w:val="004E1B40"/>
    <w:rsid w:val="004E281B"/>
    <w:rsid w:val="004E35DE"/>
    <w:rsid w:val="004E4403"/>
    <w:rsid w:val="004E4A17"/>
    <w:rsid w:val="004E5C7C"/>
    <w:rsid w:val="004E5E98"/>
    <w:rsid w:val="004E6605"/>
    <w:rsid w:val="004E6E03"/>
    <w:rsid w:val="004E72F0"/>
    <w:rsid w:val="004F071C"/>
    <w:rsid w:val="004F09CA"/>
    <w:rsid w:val="004F0C23"/>
    <w:rsid w:val="004F0D76"/>
    <w:rsid w:val="004F0DC9"/>
    <w:rsid w:val="004F1127"/>
    <w:rsid w:val="004F15DF"/>
    <w:rsid w:val="004F184C"/>
    <w:rsid w:val="004F1C51"/>
    <w:rsid w:val="004F224E"/>
    <w:rsid w:val="004F26E1"/>
    <w:rsid w:val="004F292B"/>
    <w:rsid w:val="004F31CD"/>
    <w:rsid w:val="004F3E44"/>
    <w:rsid w:val="004F4AA2"/>
    <w:rsid w:val="004F549B"/>
    <w:rsid w:val="004F58C7"/>
    <w:rsid w:val="004F5F51"/>
    <w:rsid w:val="004F5F90"/>
    <w:rsid w:val="004F6DEA"/>
    <w:rsid w:val="00500697"/>
    <w:rsid w:val="005014BA"/>
    <w:rsid w:val="00501917"/>
    <w:rsid w:val="00501BBC"/>
    <w:rsid w:val="00502772"/>
    <w:rsid w:val="00502C32"/>
    <w:rsid w:val="00502CDD"/>
    <w:rsid w:val="00502DAA"/>
    <w:rsid w:val="005032B2"/>
    <w:rsid w:val="00504EBA"/>
    <w:rsid w:val="00506335"/>
    <w:rsid w:val="00506650"/>
    <w:rsid w:val="00506D72"/>
    <w:rsid w:val="00506F3C"/>
    <w:rsid w:val="0050717C"/>
    <w:rsid w:val="00507533"/>
    <w:rsid w:val="0050761F"/>
    <w:rsid w:val="00507B18"/>
    <w:rsid w:val="00507C7A"/>
    <w:rsid w:val="005107B5"/>
    <w:rsid w:val="005108A8"/>
    <w:rsid w:val="00511297"/>
    <w:rsid w:val="00511C59"/>
    <w:rsid w:val="00511F4A"/>
    <w:rsid w:val="00512031"/>
    <w:rsid w:val="005126E4"/>
    <w:rsid w:val="00512822"/>
    <w:rsid w:val="00512E13"/>
    <w:rsid w:val="0051358C"/>
    <w:rsid w:val="005138C8"/>
    <w:rsid w:val="00513C78"/>
    <w:rsid w:val="00514272"/>
    <w:rsid w:val="005143E5"/>
    <w:rsid w:val="005146AA"/>
    <w:rsid w:val="0051479E"/>
    <w:rsid w:val="005149B8"/>
    <w:rsid w:val="00514A0F"/>
    <w:rsid w:val="0051532D"/>
    <w:rsid w:val="0051550F"/>
    <w:rsid w:val="00515673"/>
    <w:rsid w:val="00515C1A"/>
    <w:rsid w:val="00515EB0"/>
    <w:rsid w:val="00516CF7"/>
    <w:rsid w:val="005171FD"/>
    <w:rsid w:val="005177AF"/>
    <w:rsid w:val="005179BA"/>
    <w:rsid w:val="005200E2"/>
    <w:rsid w:val="00520B5A"/>
    <w:rsid w:val="0052120C"/>
    <w:rsid w:val="00521FDE"/>
    <w:rsid w:val="0052238B"/>
    <w:rsid w:val="0052290A"/>
    <w:rsid w:val="00522A36"/>
    <w:rsid w:val="00522C66"/>
    <w:rsid w:val="005230E6"/>
    <w:rsid w:val="0052461E"/>
    <w:rsid w:val="00524B41"/>
    <w:rsid w:val="0052518D"/>
    <w:rsid w:val="005254E4"/>
    <w:rsid w:val="00525540"/>
    <w:rsid w:val="005255DE"/>
    <w:rsid w:val="005263F9"/>
    <w:rsid w:val="00527245"/>
    <w:rsid w:val="00527822"/>
    <w:rsid w:val="00530249"/>
    <w:rsid w:val="00530A56"/>
    <w:rsid w:val="00530A70"/>
    <w:rsid w:val="00531664"/>
    <w:rsid w:val="005329FC"/>
    <w:rsid w:val="00532E1C"/>
    <w:rsid w:val="005331E5"/>
    <w:rsid w:val="00534BE9"/>
    <w:rsid w:val="00534D41"/>
    <w:rsid w:val="0053572A"/>
    <w:rsid w:val="00536C21"/>
    <w:rsid w:val="00537033"/>
    <w:rsid w:val="00537BDD"/>
    <w:rsid w:val="00540924"/>
    <w:rsid w:val="00540E0B"/>
    <w:rsid w:val="00540E63"/>
    <w:rsid w:val="00540F1B"/>
    <w:rsid w:val="00541A10"/>
    <w:rsid w:val="00542061"/>
    <w:rsid w:val="005422F6"/>
    <w:rsid w:val="0054268A"/>
    <w:rsid w:val="0054327E"/>
    <w:rsid w:val="005434A7"/>
    <w:rsid w:val="005438AE"/>
    <w:rsid w:val="00543D40"/>
    <w:rsid w:val="00543E2F"/>
    <w:rsid w:val="00544359"/>
    <w:rsid w:val="005445FC"/>
    <w:rsid w:val="00544892"/>
    <w:rsid w:val="00545EF6"/>
    <w:rsid w:val="00546EA6"/>
    <w:rsid w:val="00546F37"/>
    <w:rsid w:val="00546FBC"/>
    <w:rsid w:val="00547B86"/>
    <w:rsid w:val="00550C8C"/>
    <w:rsid w:val="00550D42"/>
    <w:rsid w:val="00550D44"/>
    <w:rsid w:val="00550E4E"/>
    <w:rsid w:val="00551937"/>
    <w:rsid w:val="005527EE"/>
    <w:rsid w:val="00552A66"/>
    <w:rsid w:val="0055370D"/>
    <w:rsid w:val="00554020"/>
    <w:rsid w:val="0055608A"/>
    <w:rsid w:val="00556230"/>
    <w:rsid w:val="00557D80"/>
    <w:rsid w:val="00557DE3"/>
    <w:rsid w:val="00560676"/>
    <w:rsid w:val="00560B5A"/>
    <w:rsid w:val="0056152B"/>
    <w:rsid w:val="00561A4B"/>
    <w:rsid w:val="005620B7"/>
    <w:rsid w:val="00562CEA"/>
    <w:rsid w:val="00562F02"/>
    <w:rsid w:val="005639D3"/>
    <w:rsid w:val="005647A0"/>
    <w:rsid w:val="005648F6"/>
    <w:rsid w:val="00565962"/>
    <w:rsid w:val="00565DC4"/>
    <w:rsid w:val="00565EC3"/>
    <w:rsid w:val="00566479"/>
    <w:rsid w:val="0056666B"/>
    <w:rsid w:val="005666B2"/>
    <w:rsid w:val="0056675E"/>
    <w:rsid w:val="00567659"/>
    <w:rsid w:val="00567F33"/>
    <w:rsid w:val="005700BE"/>
    <w:rsid w:val="0057022A"/>
    <w:rsid w:val="0057118D"/>
    <w:rsid w:val="00571B92"/>
    <w:rsid w:val="00571DB0"/>
    <w:rsid w:val="005720CE"/>
    <w:rsid w:val="0057249B"/>
    <w:rsid w:val="00573107"/>
    <w:rsid w:val="0057395B"/>
    <w:rsid w:val="00573E85"/>
    <w:rsid w:val="005741B6"/>
    <w:rsid w:val="00574300"/>
    <w:rsid w:val="005745A0"/>
    <w:rsid w:val="00574967"/>
    <w:rsid w:val="00575F07"/>
    <w:rsid w:val="00576593"/>
    <w:rsid w:val="00576985"/>
    <w:rsid w:val="00576B8E"/>
    <w:rsid w:val="005779B7"/>
    <w:rsid w:val="00580F16"/>
    <w:rsid w:val="00581257"/>
    <w:rsid w:val="00581DC1"/>
    <w:rsid w:val="005825A0"/>
    <w:rsid w:val="005826AC"/>
    <w:rsid w:val="005827EB"/>
    <w:rsid w:val="00582D99"/>
    <w:rsid w:val="00582E64"/>
    <w:rsid w:val="00582FAC"/>
    <w:rsid w:val="00583A07"/>
    <w:rsid w:val="00583BCD"/>
    <w:rsid w:val="005843DB"/>
    <w:rsid w:val="00584DF3"/>
    <w:rsid w:val="00584E7B"/>
    <w:rsid w:val="00585777"/>
    <w:rsid w:val="00585E4E"/>
    <w:rsid w:val="0058609B"/>
    <w:rsid w:val="00586706"/>
    <w:rsid w:val="00586F36"/>
    <w:rsid w:val="00587302"/>
    <w:rsid w:val="00587AA2"/>
    <w:rsid w:val="00587B7A"/>
    <w:rsid w:val="005909EE"/>
    <w:rsid w:val="00591CCE"/>
    <w:rsid w:val="00591D27"/>
    <w:rsid w:val="00592A03"/>
    <w:rsid w:val="00592BE6"/>
    <w:rsid w:val="00592D62"/>
    <w:rsid w:val="005931CE"/>
    <w:rsid w:val="005932BC"/>
    <w:rsid w:val="00593836"/>
    <w:rsid w:val="0059436F"/>
    <w:rsid w:val="005948B3"/>
    <w:rsid w:val="00594966"/>
    <w:rsid w:val="00594D0A"/>
    <w:rsid w:val="00595550"/>
    <w:rsid w:val="005955B2"/>
    <w:rsid w:val="00595D6F"/>
    <w:rsid w:val="0059603A"/>
    <w:rsid w:val="00596381"/>
    <w:rsid w:val="00596F77"/>
    <w:rsid w:val="00597A3E"/>
    <w:rsid w:val="005A0161"/>
    <w:rsid w:val="005A0227"/>
    <w:rsid w:val="005A0268"/>
    <w:rsid w:val="005A048F"/>
    <w:rsid w:val="005A09B9"/>
    <w:rsid w:val="005A2F4E"/>
    <w:rsid w:val="005A377C"/>
    <w:rsid w:val="005A3B5A"/>
    <w:rsid w:val="005A3FEF"/>
    <w:rsid w:val="005A453B"/>
    <w:rsid w:val="005A4B21"/>
    <w:rsid w:val="005A5184"/>
    <w:rsid w:val="005A57C9"/>
    <w:rsid w:val="005A5CAA"/>
    <w:rsid w:val="005A68B4"/>
    <w:rsid w:val="005A6D91"/>
    <w:rsid w:val="005A7080"/>
    <w:rsid w:val="005B0D1C"/>
    <w:rsid w:val="005B1BEB"/>
    <w:rsid w:val="005B2072"/>
    <w:rsid w:val="005B2316"/>
    <w:rsid w:val="005B27FC"/>
    <w:rsid w:val="005B2921"/>
    <w:rsid w:val="005B29AC"/>
    <w:rsid w:val="005B2E51"/>
    <w:rsid w:val="005B326A"/>
    <w:rsid w:val="005B35EF"/>
    <w:rsid w:val="005B3D3B"/>
    <w:rsid w:val="005B447D"/>
    <w:rsid w:val="005B4F90"/>
    <w:rsid w:val="005B4F96"/>
    <w:rsid w:val="005B5278"/>
    <w:rsid w:val="005B5C97"/>
    <w:rsid w:val="005B66B2"/>
    <w:rsid w:val="005B6BB5"/>
    <w:rsid w:val="005B7055"/>
    <w:rsid w:val="005B72A3"/>
    <w:rsid w:val="005B7D62"/>
    <w:rsid w:val="005C060D"/>
    <w:rsid w:val="005C09C2"/>
    <w:rsid w:val="005C0C77"/>
    <w:rsid w:val="005C102C"/>
    <w:rsid w:val="005C20EC"/>
    <w:rsid w:val="005C21EA"/>
    <w:rsid w:val="005C2769"/>
    <w:rsid w:val="005C2C7B"/>
    <w:rsid w:val="005C2C85"/>
    <w:rsid w:val="005C3900"/>
    <w:rsid w:val="005C435D"/>
    <w:rsid w:val="005C480B"/>
    <w:rsid w:val="005C4914"/>
    <w:rsid w:val="005C4ADD"/>
    <w:rsid w:val="005C4B35"/>
    <w:rsid w:val="005C4B63"/>
    <w:rsid w:val="005C4C7D"/>
    <w:rsid w:val="005C4CAF"/>
    <w:rsid w:val="005C61E5"/>
    <w:rsid w:val="005C7976"/>
    <w:rsid w:val="005C7AC4"/>
    <w:rsid w:val="005D0752"/>
    <w:rsid w:val="005D17B9"/>
    <w:rsid w:val="005D2AD0"/>
    <w:rsid w:val="005D2D0E"/>
    <w:rsid w:val="005D2F38"/>
    <w:rsid w:val="005D38D8"/>
    <w:rsid w:val="005D3D04"/>
    <w:rsid w:val="005D3D08"/>
    <w:rsid w:val="005D4904"/>
    <w:rsid w:val="005D50A3"/>
    <w:rsid w:val="005D5126"/>
    <w:rsid w:val="005D5EDD"/>
    <w:rsid w:val="005D697B"/>
    <w:rsid w:val="005D69F7"/>
    <w:rsid w:val="005D6B5B"/>
    <w:rsid w:val="005D6BA8"/>
    <w:rsid w:val="005D6C47"/>
    <w:rsid w:val="005D7BEB"/>
    <w:rsid w:val="005E0065"/>
    <w:rsid w:val="005E040D"/>
    <w:rsid w:val="005E06C9"/>
    <w:rsid w:val="005E0F95"/>
    <w:rsid w:val="005E11B3"/>
    <w:rsid w:val="005E12B9"/>
    <w:rsid w:val="005E160C"/>
    <w:rsid w:val="005E27B2"/>
    <w:rsid w:val="005E2ACD"/>
    <w:rsid w:val="005E2B9D"/>
    <w:rsid w:val="005E3616"/>
    <w:rsid w:val="005E3625"/>
    <w:rsid w:val="005E4D9C"/>
    <w:rsid w:val="005E6538"/>
    <w:rsid w:val="005E65C8"/>
    <w:rsid w:val="005E6627"/>
    <w:rsid w:val="005E71F2"/>
    <w:rsid w:val="005E7384"/>
    <w:rsid w:val="005E742F"/>
    <w:rsid w:val="005E7502"/>
    <w:rsid w:val="005F16E5"/>
    <w:rsid w:val="005F1DF5"/>
    <w:rsid w:val="005F25A5"/>
    <w:rsid w:val="005F3518"/>
    <w:rsid w:val="005F3613"/>
    <w:rsid w:val="005F4513"/>
    <w:rsid w:val="005F4540"/>
    <w:rsid w:val="005F4BD8"/>
    <w:rsid w:val="005F4C91"/>
    <w:rsid w:val="005F5200"/>
    <w:rsid w:val="005F52E3"/>
    <w:rsid w:val="005F5CEE"/>
    <w:rsid w:val="005F5FFB"/>
    <w:rsid w:val="005F692E"/>
    <w:rsid w:val="005F6A4E"/>
    <w:rsid w:val="005F6A70"/>
    <w:rsid w:val="005F748A"/>
    <w:rsid w:val="00600809"/>
    <w:rsid w:val="00600A8F"/>
    <w:rsid w:val="00600D29"/>
    <w:rsid w:val="006015DE"/>
    <w:rsid w:val="006019DA"/>
    <w:rsid w:val="0060227D"/>
    <w:rsid w:val="00602762"/>
    <w:rsid w:val="006028B3"/>
    <w:rsid w:val="00602E95"/>
    <w:rsid w:val="006032EE"/>
    <w:rsid w:val="0060377D"/>
    <w:rsid w:val="00604C67"/>
    <w:rsid w:val="006054BA"/>
    <w:rsid w:val="00605F37"/>
    <w:rsid w:val="006067CA"/>
    <w:rsid w:val="00610472"/>
    <w:rsid w:val="00610DB7"/>
    <w:rsid w:val="00611704"/>
    <w:rsid w:val="00611F77"/>
    <w:rsid w:val="006127CA"/>
    <w:rsid w:val="00612CAE"/>
    <w:rsid w:val="0061306D"/>
    <w:rsid w:val="00613D0E"/>
    <w:rsid w:val="00613D50"/>
    <w:rsid w:val="00613FBF"/>
    <w:rsid w:val="00615598"/>
    <w:rsid w:val="00616742"/>
    <w:rsid w:val="0061691C"/>
    <w:rsid w:val="006206CB"/>
    <w:rsid w:val="0062070E"/>
    <w:rsid w:val="00620D05"/>
    <w:rsid w:val="00620EAD"/>
    <w:rsid w:val="0062107A"/>
    <w:rsid w:val="00621B4F"/>
    <w:rsid w:val="00621D8B"/>
    <w:rsid w:val="00622066"/>
    <w:rsid w:val="0062258E"/>
    <w:rsid w:val="006226C7"/>
    <w:rsid w:val="006227E0"/>
    <w:rsid w:val="00624363"/>
    <w:rsid w:val="0062567F"/>
    <w:rsid w:val="006260EE"/>
    <w:rsid w:val="0062612C"/>
    <w:rsid w:val="0062622E"/>
    <w:rsid w:val="0062666B"/>
    <w:rsid w:val="006268C9"/>
    <w:rsid w:val="006269E5"/>
    <w:rsid w:val="006274EB"/>
    <w:rsid w:val="00627A15"/>
    <w:rsid w:val="00632AB7"/>
    <w:rsid w:val="0063315C"/>
    <w:rsid w:val="006331C2"/>
    <w:rsid w:val="00633798"/>
    <w:rsid w:val="006337F0"/>
    <w:rsid w:val="006342C7"/>
    <w:rsid w:val="00634306"/>
    <w:rsid w:val="0063439A"/>
    <w:rsid w:val="006349D4"/>
    <w:rsid w:val="006353A2"/>
    <w:rsid w:val="006355AF"/>
    <w:rsid w:val="00635799"/>
    <w:rsid w:val="00636690"/>
    <w:rsid w:val="0063768B"/>
    <w:rsid w:val="00637763"/>
    <w:rsid w:val="006379FB"/>
    <w:rsid w:val="00637A55"/>
    <w:rsid w:val="00640854"/>
    <w:rsid w:val="006412D8"/>
    <w:rsid w:val="006418D2"/>
    <w:rsid w:val="00641A86"/>
    <w:rsid w:val="00641FCE"/>
    <w:rsid w:val="006423BC"/>
    <w:rsid w:val="00642B44"/>
    <w:rsid w:val="00642B57"/>
    <w:rsid w:val="00643FCB"/>
    <w:rsid w:val="0064442D"/>
    <w:rsid w:val="00644B77"/>
    <w:rsid w:val="00645C9B"/>
    <w:rsid w:val="00645D0B"/>
    <w:rsid w:val="00646363"/>
    <w:rsid w:val="00646D29"/>
    <w:rsid w:val="00647530"/>
    <w:rsid w:val="00650D0E"/>
    <w:rsid w:val="0065106E"/>
    <w:rsid w:val="006511DF"/>
    <w:rsid w:val="006519AB"/>
    <w:rsid w:val="00651BB2"/>
    <w:rsid w:val="00651BDC"/>
    <w:rsid w:val="00652B41"/>
    <w:rsid w:val="00652C2A"/>
    <w:rsid w:val="00652F4B"/>
    <w:rsid w:val="0065328A"/>
    <w:rsid w:val="00653836"/>
    <w:rsid w:val="00653A17"/>
    <w:rsid w:val="006550A3"/>
    <w:rsid w:val="00655C15"/>
    <w:rsid w:val="00657D1A"/>
    <w:rsid w:val="00660952"/>
    <w:rsid w:val="00660DD7"/>
    <w:rsid w:val="00661C16"/>
    <w:rsid w:val="00661CDB"/>
    <w:rsid w:val="00661F7A"/>
    <w:rsid w:val="00662B44"/>
    <w:rsid w:val="0066339A"/>
    <w:rsid w:val="006633B1"/>
    <w:rsid w:val="006636D3"/>
    <w:rsid w:val="00663BA0"/>
    <w:rsid w:val="00663D46"/>
    <w:rsid w:val="006649E0"/>
    <w:rsid w:val="00666B8E"/>
    <w:rsid w:val="00666F05"/>
    <w:rsid w:val="0067044A"/>
    <w:rsid w:val="006704DD"/>
    <w:rsid w:val="006712EE"/>
    <w:rsid w:val="00671981"/>
    <w:rsid w:val="00671CA1"/>
    <w:rsid w:val="00672194"/>
    <w:rsid w:val="006726EE"/>
    <w:rsid w:val="00672C86"/>
    <w:rsid w:val="00674034"/>
    <w:rsid w:val="006740AD"/>
    <w:rsid w:val="0067459D"/>
    <w:rsid w:val="00675378"/>
    <w:rsid w:val="00675693"/>
    <w:rsid w:val="00675C95"/>
    <w:rsid w:val="00675CD7"/>
    <w:rsid w:val="006769C8"/>
    <w:rsid w:val="00676C1E"/>
    <w:rsid w:val="00680000"/>
    <w:rsid w:val="00680007"/>
    <w:rsid w:val="006818C8"/>
    <w:rsid w:val="00681D88"/>
    <w:rsid w:val="00681FBD"/>
    <w:rsid w:val="00682639"/>
    <w:rsid w:val="00683499"/>
    <w:rsid w:val="00683EB0"/>
    <w:rsid w:val="006849AA"/>
    <w:rsid w:val="00684BF9"/>
    <w:rsid w:val="00684EB8"/>
    <w:rsid w:val="00685212"/>
    <w:rsid w:val="00685304"/>
    <w:rsid w:val="006854DB"/>
    <w:rsid w:val="006855C0"/>
    <w:rsid w:val="00685A29"/>
    <w:rsid w:val="00685E49"/>
    <w:rsid w:val="006862DA"/>
    <w:rsid w:val="00686A3B"/>
    <w:rsid w:val="006872F6"/>
    <w:rsid w:val="006874AC"/>
    <w:rsid w:val="00687C73"/>
    <w:rsid w:val="00687D35"/>
    <w:rsid w:val="00690FCE"/>
    <w:rsid w:val="006914B5"/>
    <w:rsid w:val="00692235"/>
    <w:rsid w:val="006938CC"/>
    <w:rsid w:val="00693BAF"/>
    <w:rsid w:val="00694445"/>
    <w:rsid w:val="0069467D"/>
    <w:rsid w:val="00694E2B"/>
    <w:rsid w:val="00695C3B"/>
    <w:rsid w:val="006979D8"/>
    <w:rsid w:val="006A14CF"/>
    <w:rsid w:val="006A2672"/>
    <w:rsid w:val="006A2A73"/>
    <w:rsid w:val="006A324A"/>
    <w:rsid w:val="006A3C6A"/>
    <w:rsid w:val="006A44CB"/>
    <w:rsid w:val="006A45EC"/>
    <w:rsid w:val="006A4E8C"/>
    <w:rsid w:val="006A5A67"/>
    <w:rsid w:val="006A6143"/>
    <w:rsid w:val="006B094E"/>
    <w:rsid w:val="006B0C66"/>
    <w:rsid w:val="006B0FA5"/>
    <w:rsid w:val="006B1059"/>
    <w:rsid w:val="006B2449"/>
    <w:rsid w:val="006B27B5"/>
    <w:rsid w:val="006B29CE"/>
    <w:rsid w:val="006B2D30"/>
    <w:rsid w:val="006B341C"/>
    <w:rsid w:val="006B349B"/>
    <w:rsid w:val="006B3663"/>
    <w:rsid w:val="006B3EE2"/>
    <w:rsid w:val="006B4C19"/>
    <w:rsid w:val="006B504E"/>
    <w:rsid w:val="006B55A3"/>
    <w:rsid w:val="006B67F8"/>
    <w:rsid w:val="006B6DD2"/>
    <w:rsid w:val="006B770F"/>
    <w:rsid w:val="006B77F6"/>
    <w:rsid w:val="006B790E"/>
    <w:rsid w:val="006B7BD3"/>
    <w:rsid w:val="006C086E"/>
    <w:rsid w:val="006C0964"/>
    <w:rsid w:val="006C0CAE"/>
    <w:rsid w:val="006C0EC0"/>
    <w:rsid w:val="006C0F08"/>
    <w:rsid w:val="006C177A"/>
    <w:rsid w:val="006C1B0E"/>
    <w:rsid w:val="006C2B67"/>
    <w:rsid w:val="006C4476"/>
    <w:rsid w:val="006C4546"/>
    <w:rsid w:val="006C4BAE"/>
    <w:rsid w:val="006C53D3"/>
    <w:rsid w:val="006C5B10"/>
    <w:rsid w:val="006C72C3"/>
    <w:rsid w:val="006C72CB"/>
    <w:rsid w:val="006D047B"/>
    <w:rsid w:val="006D0D73"/>
    <w:rsid w:val="006D1515"/>
    <w:rsid w:val="006D3075"/>
    <w:rsid w:val="006D316D"/>
    <w:rsid w:val="006D37ED"/>
    <w:rsid w:val="006D39A3"/>
    <w:rsid w:val="006D60E8"/>
    <w:rsid w:val="006D6A51"/>
    <w:rsid w:val="006D770C"/>
    <w:rsid w:val="006E0DAC"/>
    <w:rsid w:val="006E0DB5"/>
    <w:rsid w:val="006E1B40"/>
    <w:rsid w:val="006E1DCA"/>
    <w:rsid w:val="006E1EF4"/>
    <w:rsid w:val="006E2A8C"/>
    <w:rsid w:val="006E3478"/>
    <w:rsid w:val="006E37DC"/>
    <w:rsid w:val="006E37F1"/>
    <w:rsid w:val="006E3DE5"/>
    <w:rsid w:val="006E3F73"/>
    <w:rsid w:val="006E3FED"/>
    <w:rsid w:val="006E44B1"/>
    <w:rsid w:val="006E465A"/>
    <w:rsid w:val="006E73CD"/>
    <w:rsid w:val="006E77AC"/>
    <w:rsid w:val="006E78AC"/>
    <w:rsid w:val="006F0064"/>
    <w:rsid w:val="006F0C1D"/>
    <w:rsid w:val="006F0FBC"/>
    <w:rsid w:val="006F1049"/>
    <w:rsid w:val="006F157A"/>
    <w:rsid w:val="006F255A"/>
    <w:rsid w:val="006F26A0"/>
    <w:rsid w:val="006F3040"/>
    <w:rsid w:val="006F3AB3"/>
    <w:rsid w:val="006F4581"/>
    <w:rsid w:val="006F4C9B"/>
    <w:rsid w:val="006F510C"/>
    <w:rsid w:val="006F5389"/>
    <w:rsid w:val="006F5A20"/>
    <w:rsid w:val="006F5AF5"/>
    <w:rsid w:val="006F6DF9"/>
    <w:rsid w:val="006F6E2A"/>
    <w:rsid w:val="00700859"/>
    <w:rsid w:val="00700F56"/>
    <w:rsid w:val="0070122A"/>
    <w:rsid w:val="00701AD8"/>
    <w:rsid w:val="00702179"/>
    <w:rsid w:val="0070241B"/>
    <w:rsid w:val="007027E5"/>
    <w:rsid w:val="0070349A"/>
    <w:rsid w:val="00703678"/>
    <w:rsid w:val="00703D7C"/>
    <w:rsid w:val="0070404C"/>
    <w:rsid w:val="007040D7"/>
    <w:rsid w:val="007044A5"/>
    <w:rsid w:val="00704D17"/>
    <w:rsid w:val="007050BE"/>
    <w:rsid w:val="007052C2"/>
    <w:rsid w:val="007054EF"/>
    <w:rsid w:val="007078D2"/>
    <w:rsid w:val="007078E0"/>
    <w:rsid w:val="00707F3C"/>
    <w:rsid w:val="0071012A"/>
    <w:rsid w:val="00710498"/>
    <w:rsid w:val="00710614"/>
    <w:rsid w:val="00710884"/>
    <w:rsid w:val="007111E1"/>
    <w:rsid w:val="007114E8"/>
    <w:rsid w:val="007115D2"/>
    <w:rsid w:val="0071249F"/>
    <w:rsid w:val="0071271D"/>
    <w:rsid w:val="00712C01"/>
    <w:rsid w:val="00713BCD"/>
    <w:rsid w:val="00713C57"/>
    <w:rsid w:val="00713E7C"/>
    <w:rsid w:val="00714102"/>
    <w:rsid w:val="007143D4"/>
    <w:rsid w:val="007147E6"/>
    <w:rsid w:val="00714A94"/>
    <w:rsid w:val="0071513B"/>
    <w:rsid w:val="007152EE"/>
    <w:rsid w:val="007152FD"/>
    <w:rsid w:val="00716378"/>
    <w:rsid w:val="007165CD"/>
    <w:rsid w:val="0071732E"/>
    <w:rsid w:val="0071775E"/>
    <w:rsid w:val="00717C24"/>
    <w:rsid w:val="00717C54"/>
    <w:rsid w:val="00717FBF"/>
    <w:rsid w:val="00720FDA"/>
    <w:rsid w:val="00721261"/>
    <w:rsid w:val="0072135D"/>
    <w:rsid w:val="00721564"/>
    <w:rsid w:val="00722DE0"/>
    <w:rsid w:val="00723504"/>
    <w:rsid w:val="0072357D"/>
    <w:rsid w:val="00723910"/>
    <w:rsid w:val="00723EF9"/>
    <w:rsid w:val="00725383"/>
    <w:rsid w:val="00725418"/>
    <w:rsid w:val="00725CA3"/>
    <w:rsid w:val="00727431"/>
    <w:rsid w:val="00727CC1"/>
    <w:rsid w:val="00727E80"/>
    <w:rsid w:val="00730903"/>
    <w:rsid w:val="00730E5F"/>
    <w:rsid w:val="00731621"/>
    <w:rsid w:val="00732F38"/>
    <w:rsid w:val="00733836"/>
    <w:rsid w:val="00734095"/>
    <w:rsid w:val="007350C2"/>
    <w:rsid w:val="00735323"/>
    <w:rsid w:val="007356C0"/>
    <w:rsid w:val="00735F43"/>
    <w:rsid w:val="00736988"/>
    <w:rsid w:val="00737169"/>
    <w:rsid w:val="007403EE"/>
    <w:rsid w:val="00740635"/>
    <w:rsid w:val="007408B8"/>
    <w:rsid w:val="00741B66"/>
    <w:rsid w:val="00742FC3"/>
    <w:rsid w:val="0074304C"/>
    <w:rsid w:val="00744212"/>
    <w:rsid w:val="0074471E"/>
    <w:rsid w:val="00744E35"/>
    <w:rsid w:val="00745811"/>
    <w:rsid w:val="00746F76"/>
    <w:rsid w:val="007470E9"/>
    <w:rsid w:val="0075008F"/>
    <w:rsid w:val="00750D83"/>
    <w:rsid w:val="00751884"/>
    <w:rsid w:val="00752A4C"/>
    <w:rsid w:val="00752B8C"/>
    <w:rsid w:val="00752CFD"/>
    <w:rsid w:val="007530A1"/>
    <w:rsid w:val="0075412E"/>
    <w:rsid w:val="00754AB4"/>
    <w:rsid w:val="0075524B"/>
    <w:rsid w:val="00755C49"/>
    <w:rsid w:val="00755D9A"/>
    <w:rsid w:val="00755EA3"/>
    <w:rsid w:val="00755F12"/>
    <w:rsid w:val="00756B88"/>
    <w:rsid w:val="00756BE4"/>
    <w:rsid w:val="00756C49"/>
    <w:rsid w:val="007574EB"/>
    <w:rsid w:val="00757977"/>
    <w:rsid w:val="00757D0F"/>
    <w:rsid w:val="0076112C"/>
    <w:rsid w:val="00762512"/>
    <w:rsid w:val="007636B6"/>
    <w:rsid w:val="00763B51"/>
    <w:rsid w:val="007648FD"/>
    <w:rsid w:val="00764B6E"/>
    <w:rsid w:val="007651C4"/>
    <w:rsid w:val="0076528A"/>
    <w:rsid w:val="00765690"/>
    <w:rsid w:val="007663C3"/>
    <w:rsid w:val="00766F72"/>
    <w:rsid w:val="00770013"/>
    <w:rsid w:val="00770822"/>
    <w:rsid w:val="007710BC"/>
    <w:rsid w:val="007711A4"/>
    <w:rsid w:val="00771491"/>
    <w:rsid w:val="007718A3"/>
    <w:rsid w:val="00771D74"/>
    <w:rsid w:val="007728AA"/>
    <w:rsid w:val="00772D51"/>
    <w:rsid w:val="00773456"/>
    <w:rsid w:val="00774BB6"/>
    <w:rsid w:val="00775066"/>
    <w:rsid w:val="0077526C"/>
    <w:rsid w:val="007754F4"/>
    <w:rsid w:val="007759EC"/>
    <w:rsid w:val="00776723"/>
    <w:rsid w:val="00776B3A"/>
    <w:rsid w:val="00776D48"/>
    <w:rsid w:val="00776F79"/>
    <w:rsid w:val="0077757B"/>
    <w:rsid w:val="007775F2"/>
    <w:rsid w:val="007800FA"/>
    <w:rsid w:val="00780965"/>
    <w:rsid w:val="00780AFB"/>
    <w:rsid w:val="00780DD8"/>
    <w:rsid w:val="00781380"/>
    <w:rsid w:val="0078179C"/>
    <w:rsid w:val="00781EA3"/>
    <w:rsid w:val="00782B74"/>
    <w:rsid w:val="00782D3D"/>
    <w:rsid w:val="00783B53"/>
    <w:rsid w:val="00783B6E"/>
    <w:rsid w:val="00783BA1"/>
    <w:rsid w:val="007849C0"/>
    <w:rsid w:val="0078629B"/>
    <w:rsid w:val="00786BFB"/>
    <w:rsid w:val="007871B1"/>
    <w:rsid w:val="00787932"/>
    <w:rsid w:val="00790C0D"/>
    <w:rsid w:val="007916DB"/>
    <w:rsid w:val="00791DD5"/>
    <w:rsid w:val="007925AD"/>
    <w:rsid w:val="00794105"/>
    <w:rsid w:val="007944AC"/>
    <w:rsid w:val="00794DF1"/>
    <w:rsid w:val="0079567F"/>
    <w:rsid w:val="00796CBE"/>
    <w:rsid w:val="007971D4"/>
    <w:rsid w:val="00797ED2"/>
    <w:rsid w:val="007A0498"/>
    <w:rsid w:val="007A0628"/>
    <w:rsid w:val="007A1601"/>
    <w:rsid w:val="007A196F"/>
    <w:rsid w:val="007A22DE"/>
    <w:rsid w:val="007A25FA"/>
    <w:rsid w:val="007A2656"/>
    <w:rsid w:val="007A329A"/>
    <w:rsid w:val="007A367C"/>
    <w:rsid w:val="007A375D"/>
    <w:rsid w:val="007A4FFA"/>
    <w:rsid w:val="007A6D18"/>
    <w:rsid w:val="007A6E87"/>
    <w:rsid w:val="007A7A44"/>
    <w:rsid w:val="007A7AAA"/>
    <w:rsid w:val="007B0326"/>
    <w:rsid w:val="007B0600"/>
    <w:rsid w:val="007B0FE9"/>
    <w:rsid w:val="007B1AC9"/>
    <w:rsid w:val="007B2B3C"/>
    <w:rsid w:val="007B33A3"/>
    <w:rsid w:val="007B3894"/>
    <w:rsid w:val="007B3BE2"/>
    <w:rsid w:val="007B5AC4"/>
    <w:rsid w:val="007B5E6E"/>
    <w:rsid w:val="007B629A"/>
    <w:rsid w:val="007B7510"/>
    <w:rsid w:val="007B7639"/>
    <w:rsid w:val="007B7671"/>
    <w:rsid w:val="007C0255"/>
    <w:rsid w:val="007C0417"/>
    <w:rsid w:val="007C0E25"/>
    <w:rsid w:val="007C1392"/>
    <w:rsid w:val="007C294B"/>
    <w:rsid w:val="007C30C6"/>
    <w:rsid w:val="007C340A"/>
    <w:rsid w:val="007C3459"/>
    <w:rsid w:val="007C3606"/>
    <w:rsid w:val="007C3718"/>
    <w:rsid w:val="007C3797"/>
    <w:rsid w:val="007C3EC3"/>
    <w:rsid w:val="007C40DF"/>
    <w:rsid w:val="007C410E"/>
    <w:rsid w:val="007C42BE"/>
    <w:rsid w:val="007C43C6"/>
    <w:rsid w:val="007C4876"/>
    <w:rsid w:val="007C4A63"/>
    <w:rsid w:val="007C57F6"/>
    <w:rsid w:val="007C5BEA"/>
    <w:rsid w:val="007C5E0E"/>
    <w:rsid w:val="007C5EC2"/>
    <w:rsid w:val="007C654E"/>
    <w:rsid w:val="007C65AB"/>
    <w:rsid w:val="007C6AA2"/>
    <w:rsid w:val="007C6D1D"/>
    <w:rsid w:val="007C7116"/>
    <w:rsid w:val="007C747B"/>
    <w:rsid w:val="007C767F"/>
    <w:rsid w:val="007C7F6F"/>
    <w:rsid w:val="007D1205"/>
    <w:rsid w:val="007D16FC"/>
    <w:rsid w:val="007D2C35"/>
    <w:rsid w:val="007D36B7"/>
    <w:rsid w:val="007D37FB"/>
    <w:rsid w:val="007D3A57"/>
    <w:rsid w:val="007D4F55"/>
    <w:rsid w:val="007D5166"/>
    <w:rsid w:val="007D55CA"/>
    <w:rsid w:val="007D5751"/>
    <w:rsid w:val="007D599A"/>
    <w:rsid w:val="007D5B12"/>
    <w:rsid w:val="007D5B64"/>
    <w:rsid w:val="007D5DD8"/>
    <w:rsid w:val="007D6D93"/>
    <w:rsid w:val="007D7877"/>
    <w:rsid w:val="007D7C1F"/>
    <w:rsid w:val="007D7D10"/>
    <w:rsid w:val="007D7E53"/>
    <w:rsid w:val="007E0D05"/>
    <w:rsid w:val="007E0D89"/>
    <w:rsid w:val="007E150E"/>
    <w:rsid w:val="007E1D17"/>
    <w:rsid w:val="007E1F29"/>
    <w:rsid w:val="007E261C"/>
    <w:rsid w:val="007E26B3"/>
    <w:rsid w:val="007E30D4"/>
    <w:rsid w:val="007E350E"/>
    <w:rsid w:val="007E3CDC"/>
    <w:rsid w:val="007E4466"/>
    <w:rsid w:val="007E49A5"/>
    <w:rsid w:val="007E4E9B"/>
    <w:rsid w:val="007E5C6A"/>
    <w:rsid w:val="007E5D2F"/>
    <w:rsid w:val="007E7135"/>
    <w:rsid w:val="007E73C3"/>
    <w:rsid w:val="007E79F5"/>
    <w:rsid w:val="007F010A"/>
    <w:rsid w:val="007F0399"/>
    <w:rsid w:val="007F04BF"/>
    <w:rsid w:val="007F0EE2"/>
    <w:rsid w:val="007F18A5"/>
    <w:rsid w:val="007F23EE"/>
    <w:rsid w:val="007F288F"/>
    <w:rsid w:val="007F2F79"/>
    <w:rsid w:val="007F34D4"/>
    <w:rsid w:val="007F3B18"/>
    <w:rsid w:val="007F3EA7"/>
    <w:rsid w:val="007F5CC1"/>
    <w:rsid w:val="007F6545"/>
    <w:rsid w:val="007F65E0"/>
    <w:rsid w:val="007F6A66"/>
    <w:rsid w:val="007F6A8A"/>
    <w:rsid w:val="007F6C71"/>
    <w:rsid w:val="007F7F00"/>
    <w:rsid w:val="00800499"/>
    <w:rsid w:val="00800536"/>
    <w:rsid w:val="00800946"/>
    <w:rsid w:val="00800F72"/>
    <w:rsid w:val="008010B1"/>
    <w:rsid w:val="00801541"/>
    <w:rsid w:val="00802897"/>
    <w:rsid w:val="008028D3"/>
    <w:rsid w:val="00802D1D"/>
    <w:rsid w:val="00804861"/>
    <w:rsid w:val="00804CA5"/>
    <w:rsid w:val="0080570E"/>
    <w:rsid w:val="008059AA"/>
    <w:rsid w:val="00805AE7"/>
    <w:rsid w:val="00806919"/>
    <w:rsid w:val="008072A0"/>
    <w:rsid w:val="00812940"/>
    <w:rsid w:val="00812F28"/>
    <w:rsid w:val="0081312F"/>
    <w:rsid w:val="008131C8"/>
    <w:rsid w:val="008132B2"/>
    <w:rsid w:val="00813B4E"/>
    <w:rsid w:val="0081508E"/>
    <w:rsid w:val="00815290"/>
    <w:rsid w:val="00815576"/>
    <w:rsid w:val="00815ACC"/>
    <w:rsid w:val="00815EAD"/>
    <w:rsid w:val="00816A22"/>
    <w:rsid w:val="00816D82"/>
    <w:rsid w:val="00816DC2"/>
    <w:rsid w:val="00817087"/>
    <w:rsid w:val="008170BA"/>
    <w:rsid w:val="00817A4D"/>
    <w:rsid w:val="00820012"/>
    <w:rsid w:val="00821CAA"/>
    <w:rsid w:val="00822003"/>
    <w:rsid w:val="0082247E"/>
    <w:rsid w:val="0082256B"/>
    <w:rsid w:val="008225C1"/>
    <w:rsid w:val="00822D4A"/>
    <w:rsid w:val="008230A0"/>
    <w:rsid w:val="0082467C"/>
    <w:rsid w:val="00825873"/>
    <w:rsid w:val="00825D07"/>
    <w:rsid w:val="00826469"/>
    <w:rsid w:val="00826A22"/>
    <w:rsid w:val="00826A58"/>
    <w:rsid w:val="008270A0"/>
    <w:rsid w:val="0082716F"/>
    <w:rsid w:val="00827B8A"/>
    <w:rsid w:val="00831C9C"/>
    <w:rsid w:val="008320E5"/>
    <w:rsid w:val="00832B62"/>
    <w:rsid w:val="008337BA"/>
    <w:rsid w:val="00833A75"/>
    <w:rsid w:val="00834DE1"/>
    <w:rsid w:val="0083571C"/>
    <w:rsid w:val="00835C4E"/>
    <w:rsid w:val="00836DC5"/>
    <w:rsid w:val="00837A7F"/>
    <w:rsid w:val="00840700"/>
    <w:rsid w:val="00840FFC"/>
    <w:rsid w:val="008410BB"/>
    <w:rsid w:val="00842DD1"/>
    <w:rsid w:val="00843CC8"/>
    <w:rsid w:val="008454DF"/>
    <w:rsid w:val="0084551A"/>
    <w:rsid w:val="00845E05"/>
    <w:rsid w:val="0084614F"/>
    <w:rsid w:val="008461F9"/>
    <w:rsid w:val="00846894"/>
    <w:rsid w:val="00846F16"/>
    <w:rsid w:val="00846FF1"/>
    <w:rsid w:val="00847321"/>
    <w:rsid w:val="00847407"/>
    <w:rsid w:val="008503B7"/>
    <w:rsid w:val="00850D81"/>
    <w:rsid w:val="00850E7C"/>
    <w:rsid w:val="008512A7"/>
    <w:rsid w:val="00851302"/>
    <w:rsid w:val="00853604"/>
    <w:rsid w:val="00854521"/>
    <w:rsid w:val="0085495F"/>
    <w:rsid w:val="00855855"/>
    <w:rsid w:val="00855B32"/>
    <w:rsid w:val="00855CDF"/>
    <w:rsid w:val="00856013"/>
    <w:rsid w:val="008561A6"/>
    <w:rsid w:val="00856865"/>
    <w:rsid w:val="008575A4"/>
    <w:rsid w:val="00860062"/>
    <w:rsid w:val="00860846"/>
    <w:rsid w:val="00860C80"/>
    <w:rsid w:val="00860F4D"/>
    <w:rsid w:val="008610C6"/>
    <w:rsid w:val="00861609"/>
    <w:rsid w:val="008620AE"/>
    <w:rsid w:val="00862509"/>
    <w:rsid w:val="00862EB5"/>
    <w:rsid w:val="0086318F"/>
    <w:rsid w:val="00863474"/>
    <w:rsid w:val="00863931"/>
    <w:rsid w:val="00863E2B"/>
    <w:rsid w:val="00864104"/>
    <w:rsid w:val="0086462C"/>
    <w:rsid w:val="00864B79"/>
    <w:rsid w:val="00864C0B"/>
    <w:rsid w:val="00864C28"/>
    <w:rsid w:val="008653B5"/>
    <w:rsid w:val="0086547B"/>
    <w:rsid w:val="00865597"/>
    <w:rsid w:val="00865774"/>
    <w:rsid w:val="00865848"/>
    <w:rsid w:val="008659C3"/>
    <w:rsid w:val="00867C83"/>
    <w:rsid w:val="00871117"/>
    <w:rsid w:val="00871172"/>
    <w:rsid w:val="008711FF"/>
    <w:rsid w:val="0087197D"/>
    <w:rsid w:val="00872684"/>
    <w:rsid w:val="00872912"/>
    <w:rsid w:val="00872A81"/>
    <w:rsid w:val="00872D33"/>
    <w:rsid w:val="00873013"/>
    <w:rsid w:val="00873A99"/>
    <w:rsid w:val="00873E50"/>
    <w:rsid w:val="008743E1"/>
    <w:rsid w:val="00874799"/>
    <w:rsid w:val="00874888"/>
    <w:rsid w:val="00874F3B"/>
    <w:rsid w:val="00876034"/>
    <w:rsid w:val="00876540"/>
    <w:rsid w:val="00876701"/>
    <w:rsid w:val="00876927"/>
    <w:rsid w:val="00876ABB"/>
    <w:rsid w:val="00876ADC"/>
    <w:rsid w:val="00876C02"/>
    <w:rsid w:val="00876DBA"/>
    <w:rsid w:val="00876EE7"/>
    <w:rsid w:val="008807D2"/>
    <w:rsid w:val="008809EB"/>
    <w:rsid w:val="00880D0E"/>
    <w:rsid w:val="0088119C"/>
    <w:rsid w:val="0088153C"/>
    <w:rsid w:val="00881884"/>
    <w:rsid w:val="008822D8"/>
    <w:rsid w:val="00882D13"/>
    <w:rsid w:val="008834AB"/>
    <w:rsid w:val="00883501"/>
    <w:rsid w:val="00883784"/>
    <w:rsid w:val="00883A00"/>
    <w:rsid w:val="008842F1"/>
    <w:rsid w:val="0088571C"/>
    <w:rsid w:val="00885730"/>
    <w:rsid w:val="00885BC7"/>
    <w:rsid w:val="00885FDA"/>
    <w:rsid w:val="00886384"/>
    <w:rsid w:val="00886511"/>
    <w:rsid w:val="00886D6D"/>
    <w:rsid w:val="008902EE"/>
    <w:rsid w:val="00890AC7"/>
    <w:rsid w:val="00890FE2"/>
    <w:rsid w:val="0089197A"/>
    <w:rsid w:val="00891F95"/>
    <w:rsid w:val="0089202C"/>
    <w:rsid w:val="008921F7"/>
    <w:rsid w:val="00893521"/>
    <w:rsid w:val="008940AD"/>
    <w:rsid w:val="00894A0F"/>
    <w:rsid w:val="00895705"/>
    <w:rsid w:val="00895921"/>
    <w:rsid w:val="00895AE4"/>
    <w:rsid w:val="00896D0D"/>
    <w:rsid w:val="00896F8D"/>
    <w:rsid w:val="00897128"/>
    <w:rsid w:val="0089739A"/>
    <w:rsid w:val="008A0771"/>
    <w:rsid w:val="008A1123"/>
    <w:rsid w:val="008A1E1A"/>
    <w:rsid w:val="008A2569"/>
    <w:rsid w:val="008A25A7"/>
    <w:rsid w:val="008A267B"/>
    <w:rsid w:val="008A36E8"/>
    <w:rsid w:val="008A3A81"/>
    <w:rsid w:val="008A4874"/>
    <w:rsid w:val="008A490A"/>
    <w:rsid w:val="008A4FA5"/>
    <w:rsid w:val="008A542E"/>
    <w:rsid w:val="008A5643"/>
    <w:rsid w:val="008A57D5"/>
    <w:rsid w:val="008A5CF0"/>
    <w:rsid w:val="008A5F36"/>
    <w:rsid w:val="008A640E"/>
    <w:rsid w:val="008A6430"/>
    <w:rsid w:val="008A7494"/>
    <w:rsid w:val="008A7882"/>
    <w:rsid w:val="008A7BAD"/>
    <w:rsid w:val="008B00D4"/>
    <w:rsid w:val="008B0A64"/>
    <w:rsid w:val="008B171F"/>
    <w:rsid w:val="008B1C39"/>
    <w:rsid w:val="008B229B"/>
    <w:rsid w:val="008B2CA9"/>
    <w:rsid w:val="008B2D67"/>
    <w:rsid w:val="008B3182"/>
    <w:rsid w:val="008B34A6"/>
    <w:rsid w:val="008B3D4D"/>
    <w:rsid w:val="008B3E72"/>
    <w:rsid w:val="008B4167"/>
    <w:rsid w:val="008B4511"/>
    <w:rsid w:val="008B518C"/>
    <w:rsid w:val="008B5258"/>
    <w:rsid w:val="008B55A1"/>
    <w:rsid w:val="008B5729"/>
    <w:rsid w:val="008B6FE1"/>
    <w:rsid w:val="008B79B7"/>
    <w:rsid w:val="008C04A1"/>
    <w:rsid w:val="008C147C"/>
    <w:rsid w:val="008C1C70"/>
    <w:rsid w:val="008C203A"/>
    <w:rsid w:val="008C221F"/>
    <w:rsid w:val="008C27A7"/>
    <w:rsid w:val="008C3ED1"/>
    <w:rsid w:val="008C3F1F"/>
    <w:rsid w:val="008C401C"/>
    <w:rsid w:val="008C4CDE"/>
    <w:rsid w:val="008C4DD1"/>
    <w:rsid w:val="008C53B6"/>
    <w:rsid w:val="008C5F00"/>
    <w:rsid w:val="008C60E2"/>
    <w:rsid w:val="008C6341"/>
    <w:rsid w:val="008C6551"/>
    <w:rsid w:val="008C65E0"/>
    <w:rsid w:val="008C6A4C"/>
    <w:rsid w:val="008D0814"/>
    <w:rsid w:val="008D0900"/>
    <w:rsid w:val="008D0B42"/>
    <w:rsid w:val="008D1F4D"/>
    <w:rsid w:val="008D2938"/>
    <w:rsid w:val="008D4A78"/>
    <w:rsid w:val="008D4A7F"/>
    <w:rsid w:val="008D4D61"/>
    <w:rsid w:val="008D511C"/>
    <w:rsid w:val="008D593D"/>
    <w:rsid w:val="008D5A90"/>
    <w:rsid w:val="008D66FF"/>
    <w:rsid w:val="008D6761"/>
    <w:rsid w:val="008D6E85"/>
    <w:rsid w:val="008D75CA"/>
    <w:rsid w:val="008D7B6A"/>
    <w:rsid w:val="008D7C79"/>
    <w:rsid w:val="008E0656"/>
    <w:rsid w:val="008E065B"/>
    <w:rsid w:val="008E0675"/>
    <w:rsid w:val="008E153D"/>
    <w:rsid w:val="008E18DA"/>
    <w:rsid w:val="008E1E08"/>
    <w:rsid w:val="008E1F75"/>
    <w:rsid w:val="008E21EC"/>
    <w:rsid w:val="008E26F8"/>
    <w:rsid w:val="008E32B3"/>
    <w:rsid w:val="008E384E"/>
    <w:rsid w:val="008E3C4E"/>
    <w:rsid w:val="008E491B"/>
    <w:rsid w:val="008E5B48"/>
    <w:rsid w:val="008E6BFE"/>
    <w:rsid w:val="008E6CCA"/>
    <w:rsid w:val="008E751A"/>
    <w:rsid w:val="008F0D07"/>
    <w:rsid w:val="008F0F07"/>
    <w:rsid w:val="008F1C15"/>
    <w:rsid w:val="008F1DCC"/>
    <w:rsid w:val="008F2464"/>
    <w:rsid w:val="008F38FC"/>
    <w:rsid w:val="008F3BA1"/>
    <w:rsid w:val="008F41F7"/>
    <w:rsid w:val="008F4438"/>
    <w:rsid w:val="008F4A3C"/>
    <w:rsid w:val="008F5F37"/>
    <w:rsid w:val="008F6288"/>
    <w:rsid w:val="008F66E2"/>
    <w:rsid w:val="008F6950"/>
    <w:rsid w:val="008F6CCB"/>
    <w:rsid w:val="008F730F"/>
    <w:rsid w:val="008F7493"/>
    <w:rsid w:val="008F76FD"/>
    <w:rsid w:val="008F7C9D"/>
    <w:rsid w:val="009002BC"/>
    <w:rsid w:val="0090047A"/>
    <w:rsid w:val="00901188"/>
    <w:rsid w:val="009014D5"/>
    <w:rsid w:val="00901B0F"/>
    <w:rsid w:val="00901D89"/>
    <w:rsid w:val="00902778"/>
    <w:rsid w:val="00902900"/>
    <w:rsid w:val="00903084"/>
    <w:rsid w:val="00903651"/>
    <w:rsid w:val="0090394D"/>
    <w:rsid w:val="0090420E"/>
    <w:rsid w:val="0090440B"/>
    <w:rsid w:val="00905047"/>
    <w:rsid w:val="00905774"/>
    <w:rsid w:val="00905A1A"/>
    <w:rsid w:val="00905B51"/>
    <w:rsid w:val="00906BF0"/>
    <w:rsid w:val="00906D73"/>
    <w:rsid w:val="00906D93"/>
    <w:rsid w:val="0090730C"/>
    <w:rsid w:val="00907648"/>
    <w:rsid w:val="00910E0C"/>
    <w:rsid w:val="00911355"/>
    <w:rsid w:val="009113D8"/>
    <w:rsid w:val="00912544"/>
    <w:rsid w:val="0091280A"/>
    <w:rsid w:val="00912F7C"/>
    <w:rsid w:val="00913323"/>
    <w:rsid w:val="00913527"/>
    <w:rsid w:val="00913D6C"/>
    <w:rsid w:val="00914100"/>
    <w:rsid w:val="0091426C"/>
    <w:rsid w:val="00914E3A"/>
    <w:rsid w:val="00916362"/>
    <w:rsid w:val="0091645E"/>
    <w:rsid w:val="009164E2"/>
    <w:rsid w:val="009173B8"/>
    <w:rsid w:val="00917886"/>
    <w:rsid w:val="00917B2D"/>
    <w:rsid w:val="00917E19"/>
    <w:rsid w:val="00917E34"/>
    <w:rsid w:val="009205AC"/>
    <w:rsid w:val="00920C96"/>
    <w:rsid w:val="009215B8"/>
    <w:rsid w:val="009215F5"/>
    <w:rsid w:val="00922C56"/>
    <w:rsid w:val="0092316A"/>
    <w:rsid w:val="00923C37"/>
    <w:rsid w:val="00924B11"/>
    <w:rsid w:val="0092512E"/>
    <w:rsid w:val="00925501"/>
    <w:rsid w:val="009258F6"/>
    <w:rsid w:val="00925F0E"/>
    <w:rsid w:val="0092613C"/>
    <w:rsid w:val="009275A6"/>
    <w:rsid w:val="00930B31"/>
    <w:rsid w:val="00931566"/>
    <w:rsid w:val="00931A40"/>
    <w:rsid w:val="009320C3"/>
    <w:rsid w:val="009328C5"/>
    <w:rsid w:val="00932B59"/>
    <w:rsid w:val="009339DC"/>
    <w:rsid w:val="00934245"/>
    <w:rsid w:val="009344F3"/>
    <w:rsid w:val="00934788"/>
    <w:rsid w:val="00934894"/>
    <w:rsid w:val="0093530F"/>
    <w:rsid w:val="009404B8"/>
    <w:rsid w:val="009406C5"/>
    <w:rsid w:val="00940BC4"/>
    <w:rsid w:val="00940F91"/>
    <w:rsid w:val="00941165"/>
    <w:rsid w:val="00941558"/>
    <w:rsid w:val="009434F7"/>
    <w:rsid w:val="00943629"/>
    <w:rsid w:val="0094366E"/>
    <w:rsid w:val="00943B15"/>
    <w:rsid w:val="00943CC2"/>
    <w:rsid w:val="00943FB5"/>
    <w:rsid w:val="0094456A"/>
    <w:rsid w:val="00946D36"/>
    <w:rsid w:val="009470C6"/>
    <w:rsid w:val="009475B2"/>
    <w:rsid w:val="0095003E"/>
    <w:rsid w:val="00950216"/>
    <w:rsid w:val="00950C9E"/>
    <w:rsid w:val="00950DF5"/>
    <w:rsid w:val="009520E2"/>
    <w:rsid w:val="00952122"/>
    <w:rsid w:val="00952D4A"/>
    <w:rsid w:val="00952F3C"/>
    <w:rsid w:val="0095306F"/>
    <w:rsid w:val="0095343E"/>
    <w:rsid w:val="009537A4"/>
    <w:rsid w:val="00953FD4"/>
    <w:rsid w:val="00955473"/>
    <w:rsid w:val="0095547C"/>
    <w:rsid w:val="00955505"/>
    <w:rsid w:val="009560D2"/>
    <w:rsid w:val="0095619A"/>
    <w:rsid w:val="00957509"/>
    <w:rsid w:val="009578FB"/>
    <w:rsid w:val="00957974"/>
    <w:rsid w:val="00957984"/>
    <w:rsid w:val="00957D46"/>
    <w:rsid w:val="00957E0D"/>
    <w:rsid w:val="009602BB"/>
    <w:rsid w:val="0096069E"/>
    <w:rsid w:val="00961457"/>
    <w:rsid w:val="009624F8"/>
    <w:rsid w:val="00963478"/>
    <w:rsid w:val="00963A94"/>
    <w:rsid w:val="00963C90"/>
    <w:rsid w:val="009641C5"/>
    <w:rsid w:val="00964474"/>
    <w:rsid w:val="0096481D"/>
    <w:rsid w:val="009648B7"/>
    <w:rsid w:val="009659B3"/>
    <w:rsid w:val="00965F53"/>
    <w:rsid w:val="009663A7"/>
    <w:rsid w:val="009674E4"/>
    <w:rsid w:val="00967B10"/>
    <w:rsid w:val="00967CD1"/>
    <w:rsid w:val="00967F4D"/>
    <w:rsid w:val="0097008F"/>
    <w:rsid w:val="00970500"/>
    <w:rsid w:val="00970751"/>
    <w:rsid w:val="00970D3C"/>
    <w:rsid w:val="00970E6E"/>
    <w:rsid w:val="0097210E"/>
    <w:rsid w:val="0097306C"/>
    <w:rsid w:val="0097372E"/>
    <w:rsid w:val="0097411F"/>
    <w:rsid w:val="009743E2"/>
    <w:rsid w:val="00974834"/>
    <w:rsid w:val="00974D11"/>
    <w:rsid w:val="009751C9"/>
    <w:rsid w:val="0097542A"/>
    <w:rsid w:val="0097677A"/>
    <w:rsid w:val="00976DBC"/>
    <w:rsid w:val="00976E85"/>
    <w:rsid w:val="00977154"/>
    <w:rsid w:val="0097724E"/>
    <w:rsid w:val="00977C0A"/>
    <w:rsid w:val="00977C80"/>
    <w:rsid w:val="00977F3A"/>
    <w:rsid w:val="009801B2"/>
    <w:rsid w:val="00980A9F"/>
    <w:rsid w:val="00982C07"/>
    <w:rsid w:val="009834F2"/>
    <w:rsid w:val="009843A5"/>
    <w:rsid w:val="00984861"/>
    <w:rsid w:val="00985249"/>
    <w:rsid w:val="009855B4"/>
    <w:rsid w:val="0098615E"/>
    <w:rsid w:val="00986789"/>
    <w:rsid w:val="00986EAE"/>
    <w:rsid w:val="00987584"/>
    <w:rsid w:val="00987A32"/>
    <w:rsid w:val="0099050D"/>
    <w:rsid w:val="0099059A"/>
    <w:rsid w:val="009919AF"/>
    <w:rsid w:val="00991C0C"/>
    <w:rsid w:val="00991F6F"/>
    <w:rsid w:val="00991FF8"/>
    <w:rsid w:val="0099221A"/>
    <w:rsid w:val="009924B4"/>
    <w:rsid w:val="00992D7B"/>
    <w:rsid w:val="00993524"/>
    <w:rsid w:val="00993601"/>
    <w:rsid w:val="00993786"/>
    <w:rsid w:val="00993B25"/>
    <w:rsid w:val="009944AA"/>
    <w:rsid w:val="00994A83"/>
    <w:rsid w:val="00994E7F"/>
    <w:rsid w:val="0099522E"/>
    <w:rsid w:val="00995420"/>
    <w:rsid w:val="00995496"/>
    <w:rsid w:val="00995535"/>
    <w:rsid w:val="0099573E"/>
    <w:rsid w:val="009957B5"/>
    <w:rsid w:val="009959AB"/>
    <w:rsid w:val="00995E4A"/>
    <w:rsid w:val="009962BD"/>
    <w:rsid w:val="00996829"/>
    <w:rsid w:val="00996CAB"/>
    <w:rsid w:val="00997114"/>
    <w:rsid w:val="00997192"/>
    <w:rsid w:val="00997B5F"/>
    <w:rsid w:val="00997BF5"/>
    <w:rsid w:val="00997D38"/>
    <w:rsid w:val="009A01F1"/>
    <w:rsid w:val="009A0DD0"/>
    <w:rsid w:val="009A10E9"/>
    <w:rsid w:val="009A216B"/>
    <w:rsid w:val="009A2235"/>
    <w:rsid w:val="009A24AC"/>
    <w:rsid w:val="009A2DE1"/>
    <w:rsid w:val="009A3544"/>
    <w:rsid w:val="009A3EA3"/>
    <w:rsid w:val="009A4127"/>
    <w:rsid w:val="009A4D40"/>
    <w:rsid w:val="009A55A6"/>
    <w:rsid w:val="009A5C50"/>
    <w:rsid w:val="009A6402"/>
    <w:rsid w:val="009A6F68"/>
    <w:rsid w:val="009A7E13"/>
    <w:rsid w:val="009B0745"/>
    <w:rsid w:val="009B0DD2"/>
    <w:rsid w:val="009B19CB"/>
    <w:rsid w:val="009B1A5E"/>
    <w:rsid w:val="009B1CF8"/>
    <w:rsid w:val="009B219F"/>
    <w:rsid w:val="009B21DF"/>
    <w:rsid w:val="009B2212"/>
    <w:rsid w:val="009B255A"/>
    <w:rsid w:val="009B350C"/>
    <w:rsid w:val="009B37A9"/>
    <w:rsid w:val="009B3B16"/>
    <w:rsid w:val="009B3CFE"/>
    <w:rsid w:val="009B41FA"/>
    <w:rsid w:val="009B4D77"/>
    <w:rsid w:val="009B531A"/>
    <w:rsid w:val="009B6572"/>
    <w:rsid w:val="009B7344"/>
    <w:rsid w:val="009B75ED"/>
    <w:rsid w:val="009C015F"/>
    <w:rsid w:val="009C133E"/>
    <w:rsid w:val="009C1FC2"/>
    <w:rsid w:val="009C2935"/>
    <w:rsid w:val="009C2E40"/>
    <w:rsid w:val="009C2E64"/>
    <w:rsid w:val="009C40AC"/>
    <w:rsid w:val="009C4C2C"/>
    <w:rsid w:val="009C4D5A"/>
    <w:rsid w:val="009C526E"/>
    <w:rsid w:val="009C5384"/>
    <w:rsid w:val="009C547C"/>
    <w:rsid w:val="009C6020"/>
    <w:rsid w:val="009C6E6D"/>
    <w:rsid w:val="009C6EE1"/>
    <w:rsid w:val="009C6F7E"/>
    <w:rsid w:val="009C74C8"/>
    <w:rsid w:val="009C76DE"/>
    <w:rsid w:val="009C7C38"/>
    <w:rsid w:val="009C7FDA"/>
    <w:rsid w:val="009D103D"/>
    <w:rsid w:val="009D10E5"/>
    <w:rsid w:val="009D18B0"/>
    <w:rsid w:val="009D2265"/>
    <w:rsid w:val="009D3630"/>
    <w:rsid w:val="009D41E0"/>
    <w:rsid w:val="009D565D"/>
    <w:rsid w:val="009D599C"/>
    <w:rsid w:val="009D679A"/>
    <w:rsid w:val="009D72AB"/>
    <w:rsid w:val="009D7EAF"/>
    <w:rsid w:val="009E0EAB"/>
    <w:rsid w:val="009E13C2"/>
    <w:rsid w:val="009E1468"/>
    <w:rsid w:val="009E1954"/>
    <w:rsid w:val="009E19C4"/>
    <w:rsid w:val="009E1C29"/>
    <w:rsid w:val="009E59B1"/>
    <w:rsid w:val="009E5C3F"/>
    <w:rsid w:val="009E600A"/>
    <w:rsid w:val="009E68CF"/>
    <w:rsid w:val="009E6EE2"/>
    <w:rsid w:val="009E754E"/>
    <w:rsid w:val="009E78E1"/>
    <w:rsid w:val="009E7B47"/>
    <w:rsid w:val="009F1458"/>
    <w:rsid w:val="009F1616"/>
    <w:rsid w:val="009F1693"/>
    <w:rsid w:val="009F22F7"/>
    <w:rsid w:val="009F2440"/>
    <w:rsid w:val="009F2657"/>
    <w:rsid w:val="009F2FFF"/>
    <w:rsid w:val="009F337F"/>
    <w:rsid w:val="009F5770"/>
    <w:rsid w:val="009F5F4A"/>
    <w:rsid w:val="009F6540"/>
    <w:rsid w:val="009F735E"/>
    <w:rsid w:val="009F7D6D"/>
    <w:rsid w:val="00A002FB"/>
    <w:rsid w:val="00A00324"/>
    <w:rsid w:val="00A01963"/>
    <w:rsid w:val="00A02021"/>
    <w:rsid w:val="00A025DC"/>
    <w:rsid w:val="00A027DB"/>
    <w:rsid w:val="00A0534A"/>
    <w:rsid w:val="00A0544E"/>
    <w:rsid w:val="00A05F8B"/>
    <w:rsid w:val="00A06598"/>
    <w:rsid w:val="00A06769"/>
    <w:rsid w:val="00A06BE0"/>
    <w:rsid w:val="00A072AC"/>
    <w:rsid w:val="00A1018F"/>
    <w:rsid w:val="00A102E0"/>
    <w:rsid w:val="00A105CB"/>
    <w:rsid w:val="00A10801"/>
    <w:rsid w:val="00A11782"/>
    <w:rsid w:val="00A120B0"/>
    <w:rsid w:val="00A131E6"/>
    <w:rsid w:val="00A13B9D"/>
    <w:rsid w:val="00A13DA2"/>
    <w:rsid w:val="00A14022"/>
    <w:rsid w:val="00A14227"/>
    <w:rsid w:val="00A144DD"/>
    <w:rsid w:val="00A14EB7"/>
    <w:rsid w:val="00A159A4"/>
    <w:rsid w:val="00A15EDF"/>
    <w:rsid w:val="00A16B2F"/>
    <w:rsid w:val="00A16C5D"/>
    <w:rsid w:val="00A17203"/>
    <w:rsid w:val="00A17893"/>
    <w:rsid w:val="00A20E34"/>
    <w:rsid w:val="00A21872"/>
    <w:rsid w:val="00A22426"/>
    <w:rsid w:val="00A22A39"/>
    <w:rsid w:val="00A22C29"/>
    <w:rsid w:val="00A23C62"/>
    <w:rsid w:val="00A2401C"/>
    <w:rsid w:val="00A254E8"/>
    <w:rsid w:val="00A255BE"/>
    <w:rsid w:val="00A260F8"/>
    <w:rsid w:val="00A26149"/>
    <w:rsid w:val="00A2692E"/>
    <w:rsid w:val="00A26AEC"/>
    <w:rsid w:val="00A26B58"/>
    <w:rsid w:val="00A271F8"/>
    <w:rsid w:val="00A30109"/>
    <w:rsid w:val="00A3041D"/>
    <w:rsid w:val="00A3059D"/>
    <w:rsid w:val="00A305F3"/>
    <w:rsid w:val="00A308F7"/>
    <w:rsid w:val="00A30A4E"/>
    <w:rsid w:val="00A316DE"/>
    <w:rsid w:val="00A31AC3"/>
    <w:rsid w:val="00A31E6E"/>
    <w:rsid w:val="00A32435"/>
    <w:rsid w:val="00A32EF0"/>
    <w:rsid w:val="00A334B5"/>
    <w:rsid w:val="00A33814"/>
    <w:rsid w:val="00A33A20"/>
    <w:rsid w:val="00A34B5A"/>
    <w:rsid w:val="00A3518D"/>
    <w:rsid w:val="00A3538A"/>
    <w:rsid w:val="00A357D8"/>
    <w:rsid w:val="00A3669A"/>
    <w:rsid w:val="00A366B0"/>
    <w:rsid w:val="00A36792"/>
    <w:rsid w:val="00A36A17"/>
    <w:rsid w:val="00A36AE2"/>
    <w:rsid w:val="00A36B79"/>
    <w:rsid w:val="00A36E41"/>
    <w:rsid w:val="00A373A9"/>
    <w:rsid w:val="00A3774F"/>
    <w:rsid w:val="00A4006C"/>
    <w:rsid w:val="00A40C46"/>
    <w:rsid w:val="00A40E88"/>
    <w:rsid w:val="00A4198A"/>
    <w:rsid w:val="00A427A8"/>
    <w:rsid w:val="00A428FE"/>
    <w:rsid w:val="00A42D18"/>
    <w:rsid w:val="00A4307A"/>
    <w:rsid w:val="00A4363D"/>
    <w:rsid w:val="00A439A3"/>
    <w:rsid w:val="00A43B0E"/>
    <w:rsid w:val="00A43D36"/>
    <w:rsid w:val="00A43FF5"/>
    <w:rsid w:val="00A44092"/>
    <w:rsid w:val="00A44E2E"/>
    <w:rsid w:val="00A45C3F"/>
    <w:rsid w:val="00A45D23"/>
    <w:rsid w:val="00A46F79"/>
    <w:rsid w:val="00A47295"/>
    <w:rsid w:val="00A474AA"/>
    <w:rsid w:val="00A475DD"/>
    <w:rsid w:val="00A47674"/>
    <w:rsid w:val="00A47ADE"/>
    <w:rsid w:val="00A50220"/>
    <w:rsid w:val="00A503FA"/>
    <w:rsid w:val="00A50DCE"/>
    <w:rsid w:val="00A51F0C"/>
    <w:rsid w:val="00A51F34"/>
    <w:rsid w:val="00A5205B"/>
    <w:rsid w:val="00A53C0F"/>
    <w:rsid w:val="00A53FDD"/>
    <w:rsid w:val="00A54067"/>
    <w:rsid w:val="00A54CA9"/>
    <w:rsid w:val="00A54FD5"/>
    <w:rsid w:val="00A55ADA"/>
    <w:rsid w:val="00A55FEE"/>
    <w:rsid w:val="00A5685D"/>
    <w:rsid w:val="00A56A96"/>
    <w:rsid w:val="00A56E04"/>
    <w:rsid w:val="00A57106"/>
    <w:rsid w:val="00A57268"/>
    <w:rsid w:val="00A5738E"/>
    <w:rsid w:val="00A5767D"/>
    <w:rsid w:val="00A577BA"/>
    <w:rsid w:val="00A57B58"/>
    <w:rsid w:val="00A57CF2"/>
    <w:rsid w:val="00A6011E"/>
    <w:rsid w:val="00A605D0"/>
    <w:rsid w:val="00A60975"/>
    <w:rsid w:val="00A60AEE"/>
    <w:rsid w:val="00A61C2D"/>
    <w:rsid w:val="00A61C5C"/>
    <w:rsid w:val="00A61F8F"/>
    <w:rsid w:val="00A62CEF"/>
    <w:rsid w:val="00A6321B"/>
    <w:rsid w:val="00A63ACA"/>
    <w:rsid w:val="00A64B59"/>
    <w:rsid w:val="00A64F9F"/>
    <w:rsid w:val="00A652C9"/>
    <w:rsid w:val="00A657AF"/>
    <w:rsid w:val="00A668D7"/>
    <w:rsid w:val="00A67F0B"/>
    <w:rsid w:val="00A7086B"/>
    <w:rsid w:val="00A70B5A"/>
    <w:rsid w:val="00A70DFB"/>
    <w:rsid w:val="00A71237"/>
    <w:rsid w:val="00A71468"/>
    <w:rsid w:val="00A71476"/>
    <w:rsid w:val="00A72621"/>
    <w:rsid w:val="00A726BA"/>
    <w:rsid w:val="00A72A03"/>
    <w:rsid w:val="00A72DFE"/>
    <w:rsid w:val="00A74378"/>
    <w:rsid w:val="00A74F22"/>
    <w:rsid w:val="00A7548D"/>
    <w:rsid w:val="00A755D5"/>
    <w:rsid w:val="00A80128"/>
    <w:rsid w:val="00A8091B"/>
    <w:rsid w:val="00A80AB2"/>
    <w:rsid w:val="00A8160A"/>
    <w:rsid w:val="00A816FE"/>
    <w:rsid w:val="00A81940"/>
    <w:rsid w:val="00A81AAC"/>
    <w:rsid w:val="00A830AB"/>
    <w:rsid w:val="00A83C15"/>
    <w:rsid w:val="00A84EE9"/>
    <w:rsid w:val="00A85585"/>
    <w:rsid w:val="00A85E1D"/>
    <w:rsid w:val="00A860D5"/>
    <w:rsid w:val="00A863D9"/>
    <w:rsid w:val="00A868E4"/>
    <w:rsid w:val="00A86A09"/>
    <w:rsid w:val="00A87437"/>
    <w:rsid w:val="00A87CED"/>
    <w:rsid w:val="00A87D1E"/>
    <w:rsid w:val="00A90BF5"/>
    <w:rsid w:val="00A91151"/>
    <w:rsid w:val="00A92147"/>
    <w:rsid w:val="00A9286E"/>
    <w:rsid w:val="00A92909"/>
    <w:rsid w:val="00A929B9"/>
    <w:rsid w:val="00A92BD4"/>
    <w:rsid w:val="00A92DFD"/>
    <w:rsid w:val="00A93727"/>
    <w:rsid w:val="00A93AC7"/>
    <w:rsid w:val="00A93EA8"/>
    <w:rsid w:val="00A941EF"/>
    <w:rsid w:val="00A958AF"/>
    <w:rsid w:val="00A959C2"/>
    <w:rsid w:val="00A96084"/>
    <w:rsid w:val="00A96AD9"/>
    <w:rsid w:val="00A96DFD"/>
    <w:rsid w:val="00A97FC1"/>
    <w:rsid w:val="00AA0478"/>
    <w:rsid w:val="00AA04D2"/>
    <w:rsid w:val="00AA05C0"/>
    <w:rsid w:val="00AA0B71"/>
    <w:rsid w:val="00AA0CEC"/>
    <w:rsid w:val="00AA0D8B"/>
    <w:rsid w:val="00AA0EA5"/>
    <w:rsid w:val="00AA11DC"/>
    <w:rsid w:val="00AA1CA7"/>
    <w:rsid w:val="00AA2DB1"/>
    <w:rsid w:val="00AA35C6"/>
    <w:rsid w:val="00AA364B"/>
    <w:rsid w:val="00AA37EA"/>
    <w:rsid w:val="00AA37EB"/>
    <w:rsid w:val="00AA3C01"/>
    <w:rsid w:val="00AA3DB5"/>
    <w:rsid w:val="00AA3F01"/>
    <w:rsid w:val="00AA6E48"/>
    <w:rsid w:val="00AA7397"/>
    <w:rsid w:val="00AA7865"/>
    <w:rsid w:val="00AA7FA2"/>
    <w:rsid w:val="00AB102A"/>
    <w:rsid w:val="00AB14D1"/>
    <w:rsid w:val="00AB271C"/>
    <w:rsid w:val="00AB3361"/>
    <w:rsid w:val="00AB34CC"/>
    <w:rsid w:val="00AB3AF2"/>
    <w:rsid w:val="00AB3CF4"/>
    <w:rsid w:val="00AB4728"/>
    <w:rsid w:val="00AB4D6D"/>
    <w:rsid w:val="00AB4EE8"/>
    <w:rsid w:val="00AB5340"/>
    <w:rsid w:val="00AB5562"/>
    <w:rsid w:val="00AB603F"/>
    <w:rsid w:val="00AB66FC"/>
    <w:rsid w:val="00AB6970"/>
    <w:rsid w:val="00AB7586"/>
    <w:rsid w:val="00AB7E33"/>
    <w:rsid w:val="00AC08BC"/>
    <w:rsid w:val="00AC0B14"/>
    <w:rsid w:val="00AC0B2B"/>
    <w:rsid w:val="00AC0B98"/>
    <w:rsid w:val="00AC145D"/>
    <w:rsid w:val="00AC1686"/>
    <w:rsid w:val="00AC1714"/>
    <w:rsid w:val="00AC25C0"/>
    <w:rsid w:val="00AC297E"/>
    <w:rsid w:val="00AC2D5E"/>
    <w:rsid w:val="00AC2DD2"/>
    <w:rsid w:val="00AC437D"/>
    <w:rsid w:val="00AC452A"/>
    <w:rsid w:val="00AC54B6"/>
    <w:rsid w:val="00AC5A86"/>
    <w:rsid w:val="00AC61AC"/>
    <w:rsid w:val="00AC7C3F"/>
    <w:rsid w:val="00AC7E5F"/>
    <w:rsid w:val="00AD0010"/>
    <w:rsid w:val="00AD096D"/>
    <w:rsid w:val="00AD16E1"/>
    <w:rsid w:val="00AD17E3"/>
    <w:rsid w:val="00AD1EFC"/>
    <w:rsid w:val="00AD23B6"/>
    <w:rsid w:val="00AD24F5"/>
    <w:rsid w:val="00AD395D"/>
    <w:rsid w:val="00AD3A62"/>
    <w:rsid w:val="00AD46AC"/>
    <w:rsid w:val="00AD5C8C"/>
    <w:rsid w:val="00AD6DB3"/>
    <w:rsid w:val="00AD721E"/>
    <w:rsid w:val="00AD7654"/>
    <w:rsid w:val="00AD7658"/>
    <w:rsid w:val="00AD768E"/>
    <w:rsid w:val="00AD7829"/>
    <w:rsid w:val="00AD7CDB"/>
    <w:rsid w:val="00AD7F7B"/>
    <w:rsid w:val="00AD7FF8"/>
    <w:rsid w:val="00AE066B"/>
    <w:rsid w:val="00AE1949"/>
    <w:rsid w:val="00AE22FC"/>
    <w:rsid w:val="00AE3970"/>
    <w:rsid w:val="00AE3AE7"/>
    <w:rsid w:val="00AE3C38"/>
    <w:rsid w:val="00AE3DAC"/>
    <w:rsid w:val="00AE44E7"/>
    <w:rsid w:val="00AE5D66"/>
    <w:rsid w:val="00AE5E28"/>
    <w:rsid w:val="00AE7DAE"/>
    <w:rsid w:val="00AF008A"/>
    <w:rsid w:val="00AF0B30"/>
    <w:rsid w:val="00AF0C9B"/>
    <w:rsid w:val="00AF27DC"/>
    <w:rsid w:val="00AF2D38"/>
    <w:rsid w:val="00AF3192"/>
    <w:rsid w:val="00AF3275"/>
    <w:rsid w:val="00AF39AC"/>
    <w:rsid w:val="00AF3A76"/>
    <w:rsid w:val="00AF4095"/>
    <w:rsid w:val="00AF40E3"/>
    <w:rsid w:val="00AF435A"/>
    <w:rsid w:val="00AF43B7"/>
    <w:rsid w:val="00AF43C7"/>
    <w:rsid w:val="00AF4F56"/>
    <w:rsid w:val="00AF5A2C"/>
    <w:rsid w:val="00AF5AE1"/>
    <w:rsid w:val="00AF5C20"/>
    <w:rsid w:val="00AF6106"/>
    <w:rsid w:val="00AF75A9"/>
    <w:rsid w:val="00AF75D2"/>
    <w:rsid w:val="00AF7613"/>
    <w:rsid w:val="00AF7794"/>
    <w:rsid w:val="00AF7AD2"/>
    <w:rsid w:val="00AF7F45"/>
    <w:rsid w:val="00B00DF0"/>
    <w:rsid w:val="00B00F72"/>
    <w:rsid w:val="00B010EF"/>
    <w:rsid w:val="00B01CC6"/>
    <w:rsid w:val="00B02665"/>
    <w:rsid w:val="00B0312D"/>
    <w:rsid w:val="00B04C9C"/>
    <w:rsid w:val="00B04DBC"/>
    <w:rsid w:val="00B05148"/>
    <w:rsid w:val="00B05D1B"/>
    <w:rsid w:val="00B06F87"/>
    <w:rsid w:val="00B0727A"/>
    <w:rsid w:val="00B0734E"/>
    <w:rsid w:val="00B076EE"/>
    <w:rsid w:val="00B07BA8"/>
    <w:rsid w:val="00B1092E"/>
    <w:rsid w:val="00B1161B"/>
    <w:rsid w:val="00B12369"/>
    <w:rsid w:val="00B128AA"/>
    <w:rsid w:val="00B12E22"/>
    <w:rsid w:val="00B133F9"/>
    <w:rsid w:val="00B13417"/>
    <w:rsid w:val="00B134B0"/>
    <w:rsid w:val="00B1522C"/>
    <w:rsid w:val="00B1532A"/>
    <w:rsid w:val="00B1538A"/>
    <w:rsid w:val="00B15E86"/>
    <w:rsid w:val="00B162FE"/>
    <w:rsid w:val="00B1640C"/>
    <w:rsid w:val="00B16538"/>
    <w:rsid w:val="00B16DCC"/>
    <w:rsid w:val="00B17265"/>
    <w:rsid w:val="00B17B78"/>
    <w:rsid w:val="00B20076"/>
    <w:rsid w:val="00B20996"/>
    <w:rsid w:val="00B20AB5"/>
    <w:rsid w:val="00B20B83"/>
    <w:rsid w:val="00B21D6A"/>
    <w:rsid w:val="00B22C25"/>
    <w:rsid w:val="00B23FF1"/>
    <w:rsid w:val="00B24103"/>
    <w:rsid w:val="00B243FC"/>
    <w:rsid w:val="00B2465D"/>
    <w:rsid w:val="00B246F3"/>
    <w:rsid w:val="00B2521E"/>
    <w:rsid w:val="00B258BA"/>
    <w:rsid w:val="00B25CF2"/>
    <w:rsid w:val="00B2612C"/>
    <w:rsid w:val="00B26802"/>
    <w:rsid w:val="00B27151"/>
    <w:rsid w:val="00B27558"/>
    <w:rsid w:val="00B2772D"/>
    <w:rsid w:val="00B27B68"/>
    <w:rsid w:val="00B30185"/>
    <w:rsid w:val="00B316AD"/>
    <w:rsid w:val="00B32C81"/>
    <w:rsid w:val="00B33F49"/>
    <w:rsid w:val="00B34065"/>
    <w:rsid w:val="00B34681"/>
    <w:rsid w:val="00B34E83"/>
    <w:rsid w:val="00B3559E"/>
    <w:rsid w:val="00B35B2E"/>
    <w:rsid w:val="00B35F50"/>
    <w:rsid w:val="00B3638E"/>
    <w:rsid w:val="00B363F3"/>
    <w:rsid w:val="00B3776F"/>
    <w:rsid w:val="00B37971"/>
    <w:rsid w:val="00B37BAA"/>
    <w:rsid w:val="00B37E11"/>
    <w:rsid w:val="00B40B8F"/>
    <w:rsid w:val="00B417C3"/>
    <w:rsid w:val="00B4193F"/>
    <w:rsid w:val="00B425B5"/>
    <w:rsid w:val="00B42A0F"/>
    <w:rsid w:val="00B42D97"/>
    <w:rsid w:val="00B430D4"/>
    <w:rsid w:val="00B43311"/>
    <w:rsid w:val="00B43EC6"/>
    <w:rsid w:val="00B43F26"/>
    <w:rsid w:val="00B442B9"/>
    <w:rsid w:val="00B445A3"/>
    <w:rsid w:val="00B454BF"/>
    <w:rsid w:val="00B45BBF"/>
    <w:rsid w:val="00B46757"/>
    <w:rsid w:val="00B4695E"/>
    <w:rsid w:val="00B471FA"/>
    <w:rsid w:val="00B47D4F"/>
    <w:rsid w:val="00B50603"/>
    <w:rsid w:val="00B508B1"/>
    <w:rsid w:val="00B50F27"/>
    <w:rsid w:val="00B51FA8"/>
    <w:rsid w:val="00B51FE2"/>
    <w:rsid w:val="00B522BD"/>
    <w:rsid w:val="00B52AD2"/>
    <w:rsid w:val="00B52BB9"/>
    <w:rsid w:val="00B5406A"/>
    <w:rsid w:val="00B5456F"/>
    <w:rsid w:val="00B549DB"/>
    <w:rsid w:val="00B553FB"/>
    <w:rsid w:val="00B55B3D"/>
    <w:rsid w:val="00B55D07"/>
    <w:rsid w:val="00B55DFB"/>
    <w:rsid w:val="00B577B5"/>
    <w:rsid w:val="00B57B42"/>
    <w:rsid w:val="00B6025A"/>
    <w:rsid w:val="00B605FF"/>
    <w:rsid w:val="00B606E9"/>
    <w:rsid w:val="00B60A72"/>
    <w:rsid w:val="00B611C2"/>
    <w:rsid w:val="00B614CF"/>
    <w:rsid w:val="00B61D41"/>
    <w:rsid w:val="00B6209E"/>
    <w:rsid w:val="00B625E1"/>
    <w:rsid w:val="00B62B01"/>
    <w:rsid w:val="00B62DB2"/>
    <w:rsid w:val="00B6303D"/>
    <w:rsid w:val="00B63499"/>
    <w:rsid w:val="00B63591"/>
    <w:rsid w:val="00B6395E"/>
    <w:rsid w:val="00B63AA7"/>
    <w:rsid w:val="00B643BE"/>
    <w:rsid w:val="00B65584"/>
    <w:rsid w:val="00B65A48"/>
    <w:rsid w:val="00B670E0"/>
    <w:rsid w:val="00B7032F"/>
    <w:rsid w:val="00B70BDC"/>
    <w:rsid w:val="00B70CF6"/>
    <w:rsid w:val="00B7103E"/>
    <w:rsid w:val="00B71133"/>
    <w:rsid w:val="00B714F8"/>
    <w:rsid w:val="00B715ED"/>
    <w:rsid w:val="00B718FF"/>
    <w:rsid w:val="00B71D7C"/>
    <w:rsid w:val="00B71E71"/>
    <w:rsid w:val="00B72595"/>
    <w:rsid w:val="00B72EE4"/>
    <w:rsid w:val="00B7309E"/>
    <w:rsid w:val="00B7323B"/>
    <w:rsid w:val="00B73C8D"/>
    <w:rsid w:val="00B73FE0"/>
    <w:rsid w:val="00B74722"/>
    <w:rsid w:val="00B748F7"/>
    <w:rsid w:val="00B74EC4"/>
    <w:rsid w:val="00B74FF9"/>
    <w:rsid w:val="00B75515"/>
    <w:rsid w:val="00B756AC"/>
    <w:rsid w:val="00B75702"/>
    <w:rsid w:val="00B75D6C"/>
    <w:rsid w:val="00B75E30"/>
    <w:rsid w:val="00B7609E"/>
    <w:rsid w:val="00B7644B"/>
    <w:rsid w:val="00B769E0"/>
    <w:rsid w:val="00B76EDB"/>
    <w:rsid w:val="00B77159"/>
    <w:rsid w:val="00B77F73"/>
    <w:rsid w:val="00B80231"/>
    <w:rsid w:val="00B8116E"/>
    <w:rsid w:val="00B81313"/>
    <w:rsid w:val="00B81CB0"/>
    <w:rsid w:val="00B82924"/>
    <w:rsid w:val="00B83391"/>
    <w:rsid w:val="00B834DF"/>
    <w:rsid w:val="00B83935"/>
    <w:rsid w:val="00B839FA"/>
    <w:rsid w:val="00B84173"/>
    <w:rsid w:val="00B8522C"/>
    <w:rsid w:val="00B8524D"/>
    <w:rsid w:val="00B85266"/>
    <w:rsid w:val="00B853A7"/>
    <w:rsid w:val="00B853CE"/>
    <w:rsid w:val="00B85F01"/>
    <w:rsid w:val="00B85FC7"/>
    <w:rsid w:val="00B860FC"/>
    <w:rsid w:val="00B8655B"/>
    <w:rsid w:val="00B86867"/>
    <w:rsid w:val="00B87219"/>
    <w:rsid w:val="00B87509"/>
    <w:rsid w:val="00B87A2D"/>
    <w:rsid w:val="00B90DBF"/>
    <w:rsid w:val="00B90F46"/>
    <w:rsid w:val="00B91301"/>
    <w:rsid w:val="00B913AD"/>
    <w:rsid w:val="00B91E5F"/>
    <w:rsid w:val="00B92185"/>
    <w:rsid w:val="00B952B0"/>
    <w:rsid w:val="00B9570D"/>
    <w:rsid w:val="00B95755"/>
    <w:rsid w:val="00B96474"/>
    <w:rsid w:val="00B97D2C"/>
    <w:rsid w:val="00B97E07"/>
    <w:rsid w:val="00B97F6F"/>
    <w:rsid w:val="00BA06EA"/>
    <w:rsid w:val="00BA0E7C"/>
    <w:rsid w:val="00BA1011"/>
    <w:rsid w:val="00BA188B"/>
    <w:rsid w:val="00BA1D0E"/>
    <w:rsid w:val="00BA1E93"/>
    <w:rsid w:val="00BA218B"/>
    <w:rsid w:val="00BA2ED5"/>
    <w:rsid w:val="00BA3AB1"/>
    <w:rsid w:val="00BA3D29"/>
    <w:rsid w:val="00BA3DF4"/>
    <w:rsid w:val="00BA4C58"/>
    <w:rsid w:val="00BA6545"/>
    <w:rsid w:val="00BA7912"/>
    <w:rsid w:val="00BA7FD0"/>
    <w:rsid w:val="00BB011E"/>
    <w:rsid w:val="00BB0F0F"/>
    <w:rsid w:val="00BB14F3"/>
    <w:rsid w:val="00BB1780"/>
    <w:rsid w:val="00BB1839"/>
    <w:rsid w:val="00BB1CDB"/>
    <w:rsid w:val="00BB1EC8"/>
    <w:rsid w:val="00BB222C"/>
    <w:rsid w:val="00BB26F4"/>
    <w:rsid w:val="00BB2DDF"/>
    <w:rsid w:val="00BB304B"/>
    <w:rsid w:val="00BB33E4"/>
    <w:rsid w:val="00BB3A36"/>
    <w:rsid w:val="00BB500D"/>
    <w:rsid w:val="00BB5C30"/>
    <w:rsid w:val="00BB5F37"/>
    <w:rsid w:val="00BB6981"/>
    <w:rsid w:val="00BC026C"/>
    <w:rsid w:val="00BC063F"/>
    <w:rsid w:val="00BC094A"/>
    <w:rsid w:val="00BC0D29"/>
    <w:rsid w:val="00BC2053"/>
    <w:rsid w:val="00BC2320"/>
    <w:rsid w:val="00BC258E"/>
    <w:rsid w:val="00BC2748"/>
    <w:rsid w:val="00BC3AB5"/>
    <w:rsid w:val="00BC41AE"/>
    <w:rsid w:val="00BC5068"/>
    <w:rsid w:val="00BC569A"/>
    <w:rsid w:val="00BC5F05"/>
    <w:rsid w:val="00BC63B1"/>
    <w:rsid w:val="00BC6FCB"/>
    <w:rsid w:val="00BC76E1"/>
    <w:rsid w:val="00BD052B"/>
    <w:rsid w:val="00BD0B2C"/>
    <w:rsid w:val="00BD0B91"/>
    <w:rsid w:val="00BD1171"/>
    <w:rsid w:val="00BD2004"/>
    <w:rsid w:val="00BD23D8"/>
    <w:rsid w:val="00BD36F9"/>
    <w:rsid w:val="00BD3C23"/>
    <w:rsid w:val="00BD4033"/>
    <w:rsid w:val="00BD4629"/>
    <w:rsid w:val="00BD6D0D"/>
    <w:rsid w:val="00BE00A1"/>
    <w:rsid w:val="00BE0392"/>
    <w:rsid w:val="00BE050E"/>
    <w:rsid w:val="00BE1D8E"/>
    <w:rsid w:val="00BE28DA"/>
    <w:rsid w:val="00BE473E"/>
    <w:rsid w:val="00BF023F"/>
    <w:rsid w:val="00BF158A"/>
    <w:rsid w:val="00BF26C3"/>
    <w:rsid w:val="00BF293F"/>
    <w:rsid w:val="00BF2A94"/>
    <w:rsid w:val="00BF2FDC"/>
    <w:rsid w:val="00BF3632"/>
    <w:rsid w:val="00BF3AF1"/>
    <w:rsid w:val="00BF3C81"/>
    <w:rsid w:val="00BF3F27"/>
    <w:rsid w:val="00BF4054"/>
    <w:rsid w:val="00BF4703"/>
    <w:rsid w:val="00BF498C"/>
    <w:rsid w:val="00BF4CF1"/>
    <w:rsid w:val="00BF4EAF"/>
    <w:rsid w:val="00BF569D"/>
    <w:rsid w:val="00BF56EC"/>
    <w:rsid w:val="00BF5912"/>
    <w:rsid w:val="00BF5BD7"/>
    <w:rsid w:val="00BF67BE"/>
    <w:rsid w:val="00BF67F1"/>
    <w:rsid w:val="00BF708E"/>
    <w:rsid w:val="00BF7098"/>
    <w:rsid w:val="00BF7B57"/>
    <w:rsid w:val="00BF7E3A"/>
    <w:rsid w:val="00C00A34"/>
    <w:rsid w:val="00C011F8"/>
    <w:rsid w:val="00C02A11"/>
    <w:rsid w:val="00C02B57"/>
    <w:rsid w:val="00C03E75"/>
    <w:rsid w:val="00C0445C"/>
    <w:rsid w:val="00C04AB6"/>
    <w:rsid w:val="00C04F65"/>
    <w:rsid w:val="00C05E43"/>
    <w:rsid w:val="00C06B53"/>
    <w:rsid w:val="00C07292"/>
    <w:rsid w:val="00C076FF"/>
    <w:rsid w:val="00C07989"/>
    <w:rsid w:val="00C07A6F"/>
    <w:rsid w:val="00C07F71"/>
    <w:rsid w:val="00C10906"/>
    <w:rsid w:val="00C10DF7"/>
    <w:rsid w:val="00C13676"/>
    <w:rsid w:val="00C143EE"/>
    <w:rsid w:val="00C15047"/>
    <w:rsid w:val="00C15166"/>
    <w:rsid w:val="00C152F9"/>
    <w:rsid w:val="00C1599A"/>
    <w:rsid w:val="00C15ADD"/>
    <w:rsid w:val="00C15DCF"/>
    <w:rsid w:val="00C1657A"/>
    <w:rsid w:val="00C1690F"/>
    <w:rsid w:val="00C1698B"/>
    <w:rsid w:val="00C21A62"/>
    <w:rsid w:val="00C22238"/>
    <w:rsid w:val="00C223A2"/>
    <w:rsid w:val="00C22869"/>
    <w:rsid w:val="00C22D8D"/>
    <w:rsid w:val="00C230A8"/>
    <w:rsid w:val="00C23131"/>
    <w:rsid w:val="00C2317B"/>
    <w:rsid w:val="00C2347E"/>
    <w:rsid w:val="00C251A5"/>
    <w:rsid w:val="00C256B3"/>
    <w:rsid w:val="00C2587C"/>
    <w:rsid w:val="00C26D88"/>
    <w:rsid w:val="00C26E3B"/>
    <w:rsid w:val="00C272EE"/>
    <w:rsid w:val="00C27E80"/>
    <w:rsid w:val="00C30187"/>
    <w:rsid w:val="00C3034D"/>
    <w:rsid w:val="00C303E6"/>
    <w:rsid w:val="00C304CC"/>
    <w:rsid w:val="00C30A1F"/>
    <w:rsid w:val="00C31222"/>
    <w:rsid w:val="00C315DF"/>
    <w:rsid w:val="00C31CC4"/>
    <w:rsid w:val="00C3257C"/>
    <w:rsid w:val="00C32C11"/>
    <w:rsid w:val="00C332B7"/>
    <w:rsid w:val="00C333DE"/>
    <w:rsid w:val="00C33600"/>
    <w:rsid w:val="00C33A6D"/>
    <w:rsid w:val="00C3410D"/>
    <w:rsid w:val="00C3488C"/>
    <w:rsid w:val="00C35D3A"/>
    <w:rsid w:val="00C36C07"/>
    <w:rsid w:val="00C36EFE"/>
    <w:rsid w:val="00C3743B"/>
    <w:rsid w:val="00C37AE0"/>
    <w:rsid w:val="00C406B9"/>
    <w:rsid w:val="00C409EA"/>
    <w:rsid w:val="00C40A3C"/>
    <w:rsid w:val="00C41535"/>
    <w:rsid w:val="00C417F4"/>
    <w:rsid w:val="00C422F6"/>
    <w:rsid w:val="00C43175"/>
    <w:rsid w:val="00C43D7A"/>
    <w:rsid w:val="00C44278"/>
    <w:rsid w:val="00C444BC"/>
    <w:rsid w:val="00C44FE4"/>
    <w:rsid w:val="00C4541F"/>
    <w:rsid w:val="00C464F3"/>
    <w:rsid w:val="00C47584"/>
    <w:rsid w:val="00C4771A"/>
    <w:rsid w:val="00C47A3F"/>
    <w:rsid w:val="00C47AAC"/>
    <w:rsid w:val="00C47FFA"/>
    <w:rsid w:val="00C51094"/>
    <w:rsid w:val="00C519BA"/>
    <w:rsid w:val="00C51FCB"/>
    <w:rsid w:val="00C52700"/>
    <w:rsid w:val="00C5270B"/>
    <w:rsid w:val="00C52977"/>
    <w:rsid w:val="00C52CAB"/>
    <w:rsid w:val="00C52EF9"/>
    <w:rsid w:val="00C52F2B"/>
    <w:rsid w:val="00C5392A"/>
    <w:rsid w:val="00C53AFB"/>
    <w:rsid w:val="00C53ED9"/>
    <w:rsid w:val="00C54074"/>
    <w:rsid w:val="00C54425"/>
    <w:rsid w:val="00C55392"/>
    <w:rsid w:val="00C553B8"/>
    <w:rsid w:val="00C5590C"/>
    <w:rsid w:val="00C55C90"/>
    <w:rsid w:val="00C567D5"/>
    <w:rsid w:val="00C5695B"/>
    <w:rsid w:val="00C57062"/>
    <w:rsid w:val="00C602D3"/>
    <w:rsid w:val="00C60899"/>
    <w:rsid w:val="00C61131"/>
    <w:rsid w:val="00C6140E"/>
    <w:rsid w:val="00C62419"/>
    <w:rsid w:val="00C6263E"/>
    <w:rsid w:val="00C63A6D"/>
    <w:rsid w:val="00C64487"/>
    <w:rsid w:val="00C652D3"/>
    <w:rsid w:val="00C66007"/>
    <w:rsid w:val="00C66680"/>
    <w:rsid w:val="00C66D30"/>
    <w:rsid w:val="00C673B7"/>
    <w:rsid w:val="00C6759C"/>
    <w:rsid w:val="00C676BF"/>
    <w:rsid w:val="00C679DE"/>
    <w:rsid w:val="00C67CC6"/>
    <w:rsid w:val="00C70BD5"/>
    <w:rsid w:val="00C70F85"/>
    <w:rsid w:val="00C710F7"/>
    <w:rsid w:val="00C71771"/>
    <w:rsid w:val="00C72204"/>
    <w:rsid w:val="00C72BC6"/>
    <w:rsid w:val="00C73976"/>
    <w:rsid w:val="00C73A8F"/>
    <w:rsid w:val="00C7403C"/>
    <w:rsid w:val="00C752E1"/>
    <w:rsid w:val="00C76197"/>
    <w:rsid w:val="00C766DA"/>
    <w:rsid w:val="00C804C2"/>
    <w:rsid w:val="00C80853"/>
    <w:rsid w:val="00C8404C"/>
    <w:rsid w:val="00C853A5"/>
    <w:rsid w:val="00C85F41"/>
    <w:rsid w:val="00C862FF"/>
    <w:rsid w:val="00C86940"/>
    <w:rsid w:val="00C86E4D"/>
    <w:rsid w:val="00C87883"/>
    <w:rsid w:val="00C879BE"/>
    <w:rsid w:val="00C9099C"/>
    <w:rsid w:val="00C910B5"/>
    <w:rsid w:val="00C91421"/>
    <w:rsid w:val="00C91967"/>
    <w:rsid w:val="00C92413"/>
    <w:rsid w:val="00C929F9"/>
    <w:rsid w:val="00C92F05"/>
    <w:rsid w:val="00C94A65"/>
    <w:rsid w:val="00C967A5"/>
    <w:rsid w:val="00C971E2"/>
    <w:rsid w:val="00CA02BE"/>
    <w:rsid w:val="00CA0AAC"/>
    <w:rsid w:val="00CA0C24"/>
    <w:rsid w:val="00CA1C58"/>
    <w:rsid w:val="00CA245F"/>
    <w:rsid w:val="00CA25F1"/>
    <w:rsid w:val="00CA2D8F"/>
    <w:rsid w:val="00CA365F"/>
    <w:rsid w:val="00CA5B93"/>
    <w:rsid w:val="00CA5DEE"/>
    <w:rsid w:val="00CA67FA"/>
    <w:rsid w:val="00CA6E69"/>
    <w:rsid w:val="00CA6F83"/>
    <w:rsid w:val="00CA7A77"/>
    <w:rsid w:val="00CA7AC1"/>
    <w:rsid w:val="00CA7EDB"/>
    <w:rsid w:val="00CB089F"/>
    <w:rsid w:val="00CB1032"/>
    <w:rsid w:val="00CB1DE0"/>
    <w:rsid w:val="00CB1E42"/>
    <w:rsid w:val="00CB24EF"/>
    <w:rsid w:val="00CB283F"/>
    <w:rsid w:val="00CB2C98"/>
    <w:rsid w:val="00CB3434"/>
    <w:rsid w:val="00CB36FC"/>
    <w:rsid w:val="00CB37A2"/>
    <w:rsid w:val="00CB3F70"/>
    <w:rsid w:val="00CB4486"/>
    <w:rsid w:val="00CB48BC"/>
    <w:rsid w:val="00CB5408"/>
    <w:rsid w:val="00CB58CC"/>
    <w:rsid w:val="00CB5A29"/>
    <w:rsid w:val="00CB5EC7"/>
    <w:rsid w:val="00CB6317"/>
    <w:rsid w:val="00CB6A21"/>
    <w:rsid w:val="00CB70DA"/>
    <w:rsid w:val="00CB727E"/>
    <w:rsid w:val="00CB749B"/>
    <w:rsid w:val="00CB78B9"/>
    <w:rsid w:val="00CB7ED4"/>
    <w:rsid w:val="00CC0305"/>
    <w:rsid w:val="00CC0BAE"/>
    <w:rsid w:val="00CC1974"/>
    <w:rsid w:val="00CC1E2B"/>
    <w:rsid w:val="00CC1E3B"/>
    <w:rsid w:val="00CC3115"/>
    <w:rsid w:val="00CC38B2"/>
    <w:rsid w:val="00CC3A18"/>
    <w:rsid w:val="00CC3B6B"/>
    <w:rsid w:val="00CC3F3C"/>
    <w:rsid w:val="00CC4607"/>
    <w:rsid w:val="00CC52F2"/>
    <w:rsid w:val="00CC68A4"/>
    <w:rsid w:val="00CC693F"/>
    <w:rsid w:val="00CC6A56"/>
    <w:rsid w:val="00CC6DA1"/>
    <w:rsid w:val="00CC7B52"/>
    <w:rsid w:val="00CD1BC5"/>
    <w:rsid w:val="00CD2091"/>
    <w:rsid w:val="00CD255C"/>
    <w:rsid w:val="00CD2668"/>
    <w:rsid w:val="00CD2819"/>
    <w:rsid w:val="00CD28A3"/>
    <w:rsid w:val="00CD2CBF"/>
    <w:rsid w:val="00CD3687"/>
    <w:rsid w:val="00CD3857"/>
    <w:rsid w:val="00CD4350"/>
    <w:rsid w:val="00CD4383"/>
    <w:rsid w:val="00CD47E4"/>
    <w:rsid w:val="00CD4829"/>
    <w:rsid w:val="00CD499E"/>
    <w:rsid w:val="00CD4EAA"/>
    <w:rsid w:val="00CD5C64"/>
    <w:rsid w:val="00CD688F"/>
    <w:rsid w:val="00CD7346"/>
    <w:rsid w:val="00CD757B"/>
    <w:rsid w:val="00CD769A"/>
    <w:rsid w:val="00CD79E2"/>
    <w:rsid w:val="00CD7A1B"/>
    <w:rsid w:val="00CE0018"/>
    <w:rsid w:val="00CE05E0"/>
    <w:rsid w:val="00CE0D8D"/>
    <w:rsid w:val="00CE14E2"/>
    <w:rsid w:val="00CE18BD"/>
    <w:rsid w:val="00CE235D"/>
    <w:rsid w:val="00CE28F4"/>
    <w:rsid w:val="00CE2D1B"/>
    <w:rsid w:val="00CE347A"/>
    <w:rsid w:val="00CE4416"/>
    <w:rsid w:val="00CE47F9"/>
    <w:rsid w:val="00CE4A43"/>
    <w:rsid w:val="00CE4BF3"/>
    <w:rsid w:val="00CE4D4A"/>
    <w:rsid w:val="00CE50F2"/>
    <w:rsid w:val="00CE5284"/>
    <w:rsid w:val="00CE55CE"/>
    <w:rsid w:val="00CE5EDE"/>
    <w:rsid w:val="00CE7722"/>
    <w:rsid w:val="00CE7880"/>
    <w:rsid w:val="00CF0068"/>
    <w:rsid w:val="00CF0A22"/>
    <w:rsid w:val="00CF0BC4"/>
    <w:rsid w:val="00CF1389"/>
    <w:rsid w:val="00CF166C"/>
    <w:rsid w:val="00CF1887"/>
    <w:rsid w:val="00CF1EF4"/>
    <w:rsid w:val="00CF30F7"/>
    <w:rsid w:val="00CF3507"/>
    <w:rsid w:val="00CF3A71"/>
    <w:rsid w:val="00CF3B74"/>
    <w:rsid w:val="00CF3FE4"/>
    <w:rsid w:val="00CF428C"/>
    <w:rsid w:val="00CF4499"/>
    <w:rsid w:val="00CF476C"/>
    <w:rsid w:val="00CF4A67"/>
    <w:rsid w:val="00CF4BFF"/>
    <w:rsid w:val="00CF4CD8"/>
    <w:rsid w:val="00CF58DC"/>
    <w:rsid w:val="00CF5A02"/>
    <w:rsid w:val="00CF5CFF"/>
    <w:rsid w:val="00CF66E5"/>
    <w:rsid w:val="00CF69FF"/>
    <w:rsid w:val="00CF6F30"/>
    <w:rsid w:val="00CF7C6F"/>
    <w:rsid w:val="00CF7EE6"/>
    <w:rsid w:val="00D00650"/>
    <w:rsid w:val="00D006AD"/>
    <w:rsid w:val="00D01130"/>
    <w:rsid w:val="00D012DB"/>
    <w:rsid w:val="00D019AA"/>
    <w:rsid w:val="00D01ED0"/>
    <w:rsid w:val="00D036C8"/>
    <w:rsid w:val="00D03A04"/>
    <w:rsid w:val="00D04013"/>
    <w:rsid w:val="00D04381"/>
    <w:rsid w:val="00D0488F"/>
    <w:rsid w:val="00D05F8E"/>
    <w:rsid w:val="00D0612F"/>
    <w:rsid w:val="00D071C5"/>
    <w:rsid w:val="00D07785"/>
    <w:rsid w:val="00D0781D"/>
    <w:rsid w:val="00D07A8A"/>
    <w:rsid w:val="00D07D03"/>
    <w:rsid w:val="00D1075D"/>
    <w:rsid w:val="00D10B23"/>
    <w:rsid w:val="00D1125B"/>
    <w:rsid w:val="00D1136C"/>
    <w:rsid w:val="00D123F3"/>
    <w:rsid w:val="00D1247C"/>
    <w:rsid w:val="00D124C2"/>
    <w:rsid w:val="00D125D8"/>
    <w:rsid w:val="00D13305"/>
    <w:rsid w:val="00D13C65"/>
    <w:rsid w:val="00D13EE9"/>
    <w:rsid w:val="00D13FE0"/>
    <w:rsid w:val="00D1542C"/>
    <w:rsid w:val="00D154C9"/>
    <w:rsid w:val="00D160EB"/>
    <w:rsid w:val="00D164C9"/>
    <w:rsid w:val="00D203DA"/>
    <w:rsid w:val="00D20B4A"/>
    <w:rsid w:val="00D20C89"/>
    <w:rsid w:val="00D20F9F"/>
    <w:rsid w:val="00D21CD4"/>
    <w:rsid w:val="00D21FE7"/>
    <w:rsid w:val="00D221A1"/>
    <w:rsid w:val="00D22334"/>
    <w:rsid w:val="00D22451"/>
    <w:rsid w:val="00D2268D"/>
    <w:rsid w:val="00D231EC"/>
    <w:rsid w:val="00D234C4"/>
    <w:rsid w:val="00D23A18"/>
    <w:rsid w:val="00D24907"/>
    <w:rsid w:val="00D24ADD"/>
    <w:rsid w:val="00D2568F"/>
    <w:rsid w:val="00D25872"/>
    <w:rsid w:val="00D2587B"/>
    <w:rsid w:val="00D259C7"/>
    <w:rsid w:val="00D268A5"/>
    <w:rsid w:val="00D26A0B"/>
    <w:rsid w:val="00D2712A"/>
    <w:rsid w:val="00D274EC"/>
    <w:rsid w:val="00D2755F"/>
    <w:rsid w:val="00D27ACA"/>
    <w:rsid w:val="00D30CB3"/>
    <w:rsid w:val="00D311D2"/>
    <w:rsid w:val="00D31880"/>
    <w:rsid w:val="00D32427"/>
    <w:rsid w:val="00D32952"/>
    <w:rsid w:val="00D32F91"/>
    <w:rsid w:val="00D3365E"/>
    <w:rsid w:val="00D339D2"/>
    <w:rsid w:val="00D33CCD"/>
    <w:rsid w:val="00D33D0A"/>
    <w:rsid w:val="00D34265"/>
    <w:rsid w:val="00D34538"/>
    <w:rsid w:val="00D3464A"/>
    <w:rsid w:val="00D346F2"/>
    <w:rsid w:val="00D34E16"/>
    <w:rsid w:val="00D34FD4"/>
    <w:rsid w:val="00D356C6"/>
    <w:rsid w:val="00D362A0"/>
    <w:rsid w:val="00D36B20"/>
    <w:rsid w:val="00D36DA8"/>
    <w:rsid w:val="00D37474"/>
    <w:rsid w:val="00D375E3"/>
    <w:rsid w:val="00D37631"/>
    <w:rsid w:val="00D37975"/>
    <w:rsid w:val="00D37B04"/>
    <w:rsid w:val="00D405DC"/>
    <w:rsid w:val="00D4076C"/>
    <w:rsid w:val="00D409FD"/>
    <w:rsid w:val="00D40DD3"/>
    <w:rsid w:val="00D40F1B"/>
    <w:rsid w:val="00D41288"/>
    <w:rsid w:val="00D41302"/>
    <w:rsid w:val="00D414EB"/>
    <w:rsid w:val="00D415E9"/>
    <w:rsid w:val="00D41DC9"/>
    <w:rsid w:val="00D4276B"/>
    <w:rsid w:val="00D42B2E"/>
    <w:rsid w:val="00D4311B"/>
    <w:rsid w:val="00D4329F"/>
    <w:rsid w:val="00D432F9"/>
    <w:rsid w:val="00D43A36"/>
    <w:rsid w:val="00D43CBF"/>
    <w:rsid w:val="00D4413B"/>
    <w:rsid w:val="00D44C63"/>
    <w:rsid w:val="00D44FC0"/>
    <w:rsid w:val="00D45BEE"/>
    <w:rsid w:val="00D465B1"/>
    <w:rsid w:val="00D4684E"/>
    <w:rsid w:val="00D46EF7"/>
    <w:rsid w:val="00D4742A"/>
    <w:rsid w:val="00D47A0B"/>
    <w:rsid w:val="00D5183F"/>
    <w:rsid w:val="00D52BE6"/>
    <w:rsid w:val="00D53112"/>
    <w:rsid w:val="00D533A2"/>
    <w:rsid w:val="00D53891"/>
    <w:rsid w:val="00D53E60"/>
    <w:rsid w:val="00D53F37"/>
    <w:rsid w:val="00D548DA"/>
    <w:rsid w:val="00D54C03"/>
    <w:rsid w:val="00D55629"/>
    <w:rsid w:val="00D56684"/>
    <w:rsid w:val="00D57D26"/>
    <w:rsid w:val="00D609BD"/>
    <w:rsid w:val="00D60B87"/>
    <w:rsid w:val="00D60E47"/>
    <w:rsid w:val="00D61DDD"/>
    <w:rsid w:val="00D62EB1"/>
    <w:rsid w:val="00D635B0"/>
    <w:rsid w:val="00D63D98"/>
    <w:rsid w:val="00D63EF9"/>
    <w:rsid w:val="00D63FEF"/>
    <w:rsid w:val="00D640F7"/>
    <w:rsid w:val="00D6453C"/>
    <w:rsid w:val="00D65617"/>
    <w:rsid w:val="00D65B88"/>
    <w:rsid w:val="00D669BC"/>
    <w:rsid w:val="00D66C68"/>
    <w:rsid w:val="00D67824"/>
    <w:rsid w:val="00D67B6C"/>
    <w:rsid w:val="00D7053F"/>
    <w:rsid w:val="00D71F9B"/>
    <w:rsid w:val="00D728AF"/>
    <w:rsid w:val="00D732C3"/>
    <w:rsid w:val="00D73923"/>
    <w:rsid w:val="00D740B2"/>
    <w:rsid w:val="00D7472D"/>
    <w:rsid w:val="00D748B8"/>
    <w:rsid w:val="00D74A53"/>
    <w:rsid w:val="00D75139"/>
    <w:rsid w:val="00D7537F"/>
    <w:rsid w:val="00D762C2"/>
    <w:rsid w:val="00D7678D"/>
    <w:rsid w:val="00D773AD"/>
    <w:rsid w:val="00D77670"/>
    <w:rsid w:val="00D77707"/>
    <w:rsid w:val="00D77953"/>
    <w:rsid w:val="00D801F3"/>
    <w:rsid w:val="00D8051B"/>
    <w:rsid w:val="00D805E7"/>
    <w:rsid w:val="00D80DA5"/>
    <w:rsid w:val="00D8113B"/>
    <w:rsid w:val="00D8122F"/>
    <w:rsid w:val="00D814D5"/>
    <w:rsid w:val="00D820F7"/>
    <w:rsid w:val="00D82134"/>
    <w:rsid w:val="00D82BAD"/>
    <w:rsid w:val="00D84825"/>
    <w:rsid w:val="00D852CC"/>
    <w:rsid w:val="00D85641"/>
    <w:rsid w:val="00D860C5"/>
    <w:rsid w:val="00D86311"/>
    <w:rsid w:val="00D9014F"/>
    <w:rsid w:val="00D906E5"/>
    <w:rsid w:val="00D9086B"/>
    <w:rsid w:val="00D90EE2"/>
    <w:rsid w:val="00D91667"/>
    <w:rsid w:val="00D921DC"/>
    <w:rsid w:val="00D926CE"/>
    <w:rsid w:val="00D93067"/>
    <w:rsid w:val="00D941DB"/>
    <w:rsid w:val="00D9474D"/>
    <w:rsid w:val="00D954E5"/>
    <w:rsid w:val="00D95D94"/>
    <w:rsid w:val="00D95F99"/>
    <w:rsid w:val="00D960B7"/>
    <w:rsid w:val="00D96288"/>
    <w:rsid w:val="00D967F2"/>
    <w:rsid w:val="00D96E2F"/>
    <w:rsid w:val="00D97F1C"/>
    <w:rsid w:val="00DA08E3"/>
    <w:rsid w:val="00DA136A"/>
    <w:rsid w:val="00DA16F3"/>
    <w:rsid w:val="00DA1920"/>
    <w:rsid w:val="00DA1FA4"/>
    <w:rsid w:val="00DA36C8"/>
    <w:rsid w:val="00DA38D2"/>
    <w:rsid w:val="00DA395F"/>
    <w:rsid w:val="00DA39C3"/>
    <w:rsid w:val="00DA4637"/>
    <w:rsid w:val="00DA4A36"/>
    <w:rsid w:val="00DA4F08"/>
    <w:rsid w:val="00DA5111"/>
    <w:rsid w:val="00DA52CA"/>
    <w:rsid w:val="00DA5A00"/>
    <w:rsid w:val="00DA5C2F"/>
    <w:rsid w:val="00DA600A"/>
    <w:rsid w:val="00DA61B0"/>
    <w:rsid w:val="00DA6351"/>
    <w:rsid w:val="00DA6E3B"/>
    <w:rsid w:val="00DA78BA"/>
    <w:rsid w:val="00DA7DCA"/>
    <w:rsid w:val="00DB0AFD"/>
    <w:rsid w:val="00DB10FA"/>
    <w:rsid w:val="00DB1D97"/>
    <w:rsid w:val="00DB2399"/>
    <w:rsid w:val="00DB2E23"/>
    <w:rsid w:val="00DB30CB"/>
    <w:rsid w:val="00DB41D0"/>
    <w:rsid w:val="00DB498F"/>
    <w:rsid w:val="00DB4C63"/>
    <w:rsid w:val="00DB5E5A"/>
    <w:rsid w:val="00DB5F00"/>
    <w:rsid w:val="00DB650A"/>
    <w:rsid w:val="00DB6C4D"/>
    <w:rsid w:val="00DB6EA1"/>
    <w:rsid w:val="00DB75C9"/>
    <w:rsid w:val="00DC0034"/>
    <w:rsid w:val="00DC1E5B"/>
    <w:rsid w:val="00DC1FD2"/>
    <w:rsid w:val="00DC23C7"/>
    <w:rsid w:val="00DC25CC"/>
    <w:rsid w:val="00DC271A"/>
    <w:rsid w:val="00DC2AC7"/>
    <w:rsid w:val="00DC30B0"/>
    <w:rsid w:val="00DC342E"/>
    <w:rsid w:val="00DC3A18"/>
    <w:rsid w:val="00DC3FA8"/>
    <w:rsid w:val="00DC4F4A"/>
    <w:rsid w:val="00DC6545"/>
    <w:rsid w:val="00DC715E"/>
    <w:rsid w:val="00DC759C"/>
    <w:rsid w:val="00DD0675"/>
    <w:rsid w:val="00DD0951"/>
    <w:rsid w:val="00DD1003"/>
    <w:rsid w:val="00DD1257"/>
    <w:rsid w:val="00DD169A"/>
    <w:rsid w:val="00DD1885"/>
    <w:rsid w:val="00DD1957"/>
    <w:rsid w:val="00DD3222"/>
    <w:rsid w:val="00DD3430"/>
    <w:rsid w:val="00DD3F6A"/>
    <w:rsid w:val="00DD4714"/>
    <w:rsid w:val="00DD5146"/>
    <w:rsid w:val="00DD515F"/>
    <w:rsid w:val="00DD53A2"/>
    <w:rsid w:val="00DD551A"/>
    <w:rsid w:val="00DD6060"/>
    <w:rsid w:val="00DD6232"/>
    <w:rsid w:val="00DD6772"/>
    <w:rsid w:val="00DD69C3"/>
    <w:rsid w:val="00DD6FA0"/>
    <w:rsid w:val="00DD6FA2"/>
    <w:rsid w:val="00DD714F"/>
    <w:rsid w:val="00DD7721"/>
    <w:rsid w:val="00DD77F6"/>
    <w:rsid w:val="00DE0175"/>
    <w:rsid w:val="00DE0B18"/>
    <w:rsid w:val="00DE103B"/>
    <w:rsid w:val="00DE1965"/>
    <w:rsid w:val="00DE1A94"/>
    <w:rsid w:val="00DE1BB2"/>
    <w:rsid w:val="00DE1F4F"/>
    <w:rsid w:val="00DE3586"/>
    <w:rsid w:val="00DE488D"/>
    <w:rsid w:val="00DE4CD7"/>
    <w:rsid w:val="00DE59DE"/>
    <w:rsid w:val="00DE5A1B"/>
    <w:rsid w:val="00DE70D8"/>
    <w:rsid w:val="00DE76D1"/>
    <w:rsid w:val="00DE7B52"/>
    <w:rsid w:val="00DF0C24"/>
    <w:rsid w:val="00DF0E93"/>
    <w:rsid w:val="00DF0F2B"/>
    <w:rsid w:val="00DF0F4C"/>
    <w:rsid w:val="00DF10DA"/>
    <w:rsid w:val="00DF176E"/>
    <w:rsid w:val="00DF27EF"/>
    <w:rsid w:val="00DF352D"/>
    <w:rsid w:val="00DF360E"/>
    <w:rsid w:val="00DF3A80"/>
    <w:rsid w:val="00DF4C59"/>
    <w:rsid w:val="00DF4CC1"/>
    <w:rsid w:val="00DF510A"/>
    <w:rsid w:val="00DF55D4"/>
    <w:rsid w:val="00DF657D"/>
    <w:rsid w:val="00DF6641"/>
    <w:rsid w:val="00DF6971"/>
    <w:rsid w:val="00DF734A"/>
    <w:rsid w:val="00DF7682"/>
    <w:rsid w:val="00DF79CE"/>
    <w:rsid w:val="00E00820"/>
    <w:rsid w:val="00E00869"/>
    <w:rsid w:val="00E00A07"/>
    <w:rsid w:val="00E00C3D"/>
    <w:rsid w:val="00E01395"/>
    <w:rsid w:val="00E014DB"/>
    <w:rsid w:val="00E020DB"/>
    <w:rsid w:val="00E02447"/>
    <w:rsid w:val="00E02C59"/>
    <w:rsid w:val="00E02D52"/>
    <w:rsid w:val="00E032FF"/>
    <w:rsid w:val="00E04B2B"/>
    <w:rsid w:val="00E04D42"/>
    <w:rsid w:val="00E04EE7"/>
    <w:rsid w:val="00E0667E"/>
    <w:rsid w:val="00E06CDE"/>
    <w:rsid w:val="00E072AB"/>
    <w:rsid w:val="00E0757F"/>
    <w:rsid w:val="00E106ED"/>
    <w:rsid w:val="00E10DAA"/>
    <w:rsid w:val="00E11618"/>
    <w:rsid w:val="00E11A69"/>
    <w:rsid w:val="00E11B1B"/>
    <w:rsid w:val="00E11E56"/>
    <w:rsid w:val="00E1216C"/>
    <w:rsid w:val="00E12D3A"/>
    <w:rsid w:val="00E134DD"/>
    <w:rsid w:val="00E13E24"/>
    <w:rsid w:val="00E14E45"/>
    <w:rsid w:val="00E14ECB"/>
    <w:rsid w:val="00E1541A"/>
    <w:rsid w:val="00E15BC9"/>
    <w:rsid w:val="00E15F27"/>
    <w:rsid w:val="00E170F7"/>
    <w:rsid w:val="00E17F03"/>
    <w:rsid w:val="00E201FE"/>
    <w:rsid w:val="00E20E98"/>
    <w:rsid w:val="00E20EFE"/>
    <w:rsid w:val="00E20F45"/>
    <w:rsid w:val="00E21DDB"/>
    <w:rsid w:val="00E22C72"/>
    <w:rsid w:val="00E22ED0"/>
    <w:rsid w:val="00E2309D"/>
    <w:rsid w:val="00E231F6"/>
    <w:rsid w:val="00E23761"/>
    <w:rsid w:val="00E2388A"/>
    <w:rsid w:val="00E23D7D"/>
    <w:rsid w:val="00E241B5"/>
    <w:rsid w:val="00E2432B"/>
    <w:rsid w:val="00E2482E"/>
    <w:rsid w:val="00E249BC"/>
    <w:rsid w:val="00E26C04"/>
    <w:rsid w:val="00E276A3"/>
    <w:rsid w:val="00E27922"/>
    <w:rsid w:val="00E30446"/>
    <w:rsid w:val="00E31F7F"/>
    <w:rsid w:val="00E31FB8"/>
    <w:rsid w:val="00E321B3"/>
    <w:rsid w:val="00E32DE1"/>
    <w:rsid w:val="00E334EA"/>
    <w:rsid w:val="00E3361F"/>
    <w:rsid w:val="00E336EC"/>
    <w:rsid w:val="00E33C8E"/>
    <w:rsid w:val="00E357CE"/>
    <w:rsid w:val="00E35F52"/>
    <w:rsid w:val="00E36893"/>
    <w:rsid w:val="00E36B3B"/>
    <w:rsid w:val="00E370E8"/>
    <w:rsid w:val="00E373EB"/>
    <w:rsid w:val="00E402EF"/>
    <w:rsid w:val="00E40DDD"/>
    <w:rsid w:val="00E4103F"/>
    <w:rsid w:val="00E4108F"/>
    <w:rsid w:val="00E431C9"/>
    <w:rsid w:val="00E441D6"/>
    <w:rsid w:val="00E44454"/>
    <w:rsid w:val="00E448C8"/>
    <w:rsid w:val="00E44FAD"/>
    <w:rsid w:val="00E455FE"/>
    <w:rsid w:val="00E45B7D"/>
    <w:rsid w:val="00E5058B"/>
    <w:rsid w:val="00E50D56"/>
    <w:rsid w:val="00E5113D"/>
    <w:rsid w:val="00E51175"/>
    <w:rsid w:val="00E5133F"/>
    <w:rsid w:val="00E518F2"/>
    <w:rsid w:val="00E51CEF"/>
    <w:rsid w:val="00E51E07"/>
    <w:rsid w:val="00E524A6"/>
    <w:rsid w:val="00E525CF"/>
    <w:rsid w:val="00E52B9A"/>
    <w:rsid w:val="00E532A8"/>
    <w:rsid w:val="00E543B7"/>
    <w:rsid w:val="00E55DBB"/>
    <w:rsid w:val="00E563DF"/>
    <w:rsid w:val="00E569B2"/>
    <w:rsid w:val="00E569BB"/>
    <w:rsid w:val="00E56B37"/>
    <w:rsid w:val="00E5710A"/>
    <w:rsid w:val="00E57588"/>
    <w:rsid w:val="00E57881"/>
    <w:rsid w:val="00E57987"/>
    <w:rsid w:val="00E57C44"/>
    <w:rsid w:val="00E60091"/>
    <w:rsid w:val="00E6022A"/>
    <w:rsid w:val="00E6036C"/>
    <w:rsid w:val="00E607B1"/>
    <w:rsid w:val="00E61181"/>
    <w:rsid w:val="00E619BD"/>
    <w:rsid w:val="00E61B4A"/>
    <w:rsid w:val="00E61DA1"/>
    <w:rsid w:val="00E61E4E"/>
    <w:rsid w:val="00E61F0D"/>
    <w:rsid w:val="00E6239A"/>
    <w:rsid w:val="00E62794"/>
    <w:rsid w:val="00E62C23"/>
    <w:rsid w:val="00E62E67"/>
    <w:rsid w:val="00E62E6F"/>
    <w:rsid w:val="00E64671"/>
    <w:rsid w:val="00E648A0"/>
    <w:rsid w:val="00E64A53"/>
    <w:rsid w:val="00E65A08"/>
    <w:rsid w:val="00E65DD7"/>
    <w:rsid w:val="00E663E2"/>
    <w:rsid w:val="00E675BD"/>
    <w:rsid w:val="00E676E0"/>
    <w:rsid w:val="00E677EF"/>
    <w:rsid w:val="00E678EA"/>
    <w:rsid w:val="00E67F26"/>
    <w:rsid w:val="00E70430"/>
    <w:rsid w:val="00E7066E"/>
    <w:rsid w:val="00E713B2"/>
    <w:rsid w:val="00E7166A"/>
    <w:rsid w:val="00E73523"/>
    <w:rsid w:val="00E7444A"/>
    <w:rsid w:val="00E747B6"/>
    <w:rsid w:val="00E74C21"/>
    <w:rsid w:val="00E75357"/>
    <w:rsid w:val="00E757D7"/>
    <w:rsid w:val="00E759B4"/>
    <w:rsid w:val="00E7600E"/>
    <w:rsid w:val="00E760CA"/>
    <w:rsid w:val="00E763D1"/>
    <w:rsid w:val="00E76659"/>
    <w:rsid w:val="00E76787"/>
    <w:rsid w:val="00E80871"/>
    <w:rsid w:val="00E80C03"/>
    <w:rsid w:val="00E80E60"/>
    <w:rsid w:val="00E814AF"/>
    <w:rsid w:val="00E827AD"/>
    <w:rsid w:val="00E82AD8"/>
    <w:rsid w:val="00E82ADF"/>
    <w:rsid w:val="00E83797"/>
    <w:rsid w:val="00E83859"/>
    <w:rsid w:val="00E8597D"/>
    <w:rsid w:val="00E859FF"/>
    <w:rsid w:val="00E86150"/>
    <w:rsid w:val="00E86E8B"/>
    <w:rsid w:val="00E902CB"/>
    <w:rsid w:val="00E903E5"/>
    <w:rsid w:val="00E90C7D"/>
    <w:rsid w:val="00E91163"/>
    <w:rsid w:val="00E93A7F"/>
    <w:rsid w:val="00E9571E"/>
    <w:rsid w:val="00E95AFB"/>
    <w:rsid w:val="00E95F37"/>
    <w:rsid w:val="00E9633C"/>
    <w:rsid w:val="00E96735"/>
    <w:rsid w:val="00E97C4B"/>
    <w:rsid w:val="00E97E56"/>
    <w:rsid w:val="00E97FED"/>
    <w:rsid w:val="00EA013A"/>
    <w:rsid w:val="00EA09E8"/>
    <w:rsid w:val="00EA1234"/>
    <w:rsid w:val="00EA267F"/>
    <w:rsid w:val="00EA30B8"/>
    <w:rsid w:val="00EA34DD"/>
    <w:rsid w:val="00EA45AB"/>
    <w:rsid w:val="00EA4830"/>
    <w:rsid w:val="00EA5036"/>
    <w:rsid w:val="00EA628E"/>
    <w:rsid w:val="00EA6582"/>
    <w:rsid w:val="00EA6B80"/>
    <w:rsid w:val="00EA6C70"/>
    <w:rsid w:val="00EA6CFC"/>
    <w:rsid w:val="00EB04CF"/>
    <w:rsid w:val="00EB0BED"/>
    <w:rsid w:val="00EB0F39"/>
    <w:rsid w:val="00EB1BC9"/>
    <w:rsid w:val="00EB248A"/>
    <w:rsid w:val="00EB3016"/>
    <w:rsid w:val="00EB3AC3"/>
    <w:rsid w:val="00EB5401"/>
    <w:rsid w:val="00EB58CD"/>
    <w:rsid w:val="00EB5B1D"/>
    <w:rsid w:val="00EB5DD3"/>
    <w:rsid w:val="00EB5E2F"/>
    <w:rsid w:val="00EB69FD"/>
    <w:rsid w:val="00EB73C9"/>
    <w:rsid w:val="00EC1085"/>
    <w:rsid w:val="00EC1815"/>
    <w:rsid w:val="00EC2254"/>
    <w:rsid w:val="00EC346A"/>
    <w:rsid w:val="00EC3D9D"/>
    <w:rsid w:val="00EC406D"/>
    <w:rsid w:val="00EC426E"/>
    <w:rsid w:val="00EC44AD"/>
    <w:rsid w:val="00EC4BF3"/>
    <w:rsid w:val="00EC5209"/>
    <w:rsid w:val="00EC54FF"/>
    <w:rsid w:val="00EC7227"/>
    <w:rsid w:val="00EC7392"/>
    <w:rsid w:val="00EC7800"/>
    <w:rsid w:val="00EC7EBC"/>
    <w:rsid w:val="00EC7FB6"/>
    <w:rsid w:val="00ED0DD1"/>
    <w:rsid w:val="00ED1398"/>
    <w:rsid w:val="00ED1C82"/>
    <w:rsid w:val="00ED24A9"/>
    <w:rsid w:val="00ED32AD"/>
    <w:rsid w:val="00ED359D"/>
    <w:rsid w:val="00ED37A7"/>
    <w:rsid w:val="00ED3AD2"/>
    <w:rsid w:val="00ED3F4C"/>
    <w:rsid w:val="00ED4649"/>
    <w:rsid w:val="00ED52E5"/>
    <w:rsid w:val="00ED5E64"/>
    <w:rsid w:val="00ED73E9"/>
    <w:rsid w:val="00ED7598"/>
    <w:rsid w:val="00EE174F"/>
    <w:rsid w:val="00EE1EC7"/>
    <w:rsid w:val="00EE2770"/>
    <w:rsid w:val="00EE30B7"/>
    <w:rsid w:val="00EE3582"/>
    <w:rsid w:val="00EE386F"/>
    <w:rsid w:val="00EE39B4"/>
    <w:rsid w:val="00EE3C5F"/>
    <w:rsid w:val="00EE4428"/>
    <w:rsid w:val="00EE444C"/>
    <w:rsid w:val="00EE4622"/>
    <w:rsid w:val="00EE48EE"/>
    <w:rsid w:val="00EE4D21"/>
    <w:rsid w:val="00EE539D"/>
    <w:rsid w:val="00EE5808"/>
    <w:rsid w:val="00EE5B1F"/>
    <w:rsid w:val="00EE5CFD"/>
    <w:rsid w:val="00EE6018"/>
    <w:rsid w:val="00EE612D"/>
    <w:rsid w:val="00EE6375"/>
    <w:rsid w:val="00EE661C"/>
    <w:rsid w:val="00EE6881"/>
    <w:rsid w:val="00EE75B8"/>
    <w:rsid w:val="00EE7A9C"/>
    <w:rsid w:val="00EE7E01"/>
    <w:rsid w:val="00EE7E16"/>
    <w:rsid w:val="00EF00DC"/>
    <w:rsid w:val="00EF03C7"/>
    <w:rsid w:val="00EF0A10"/>
    <w:rsid w:val="00EF0A48"/>
    <w:rsid w:val="00EF0A89"/>
    <w:rsid w:val="00EF28CB"/>
    <w:rsid w:val="00EF28EF"/>
    <w:rsid w:val="00EF3137"/>
    <w:rsid w:val="00EF3808"/>
    <w:rsid w:val="00EF38A7"/>
    <w:rsid w:val="00EF3CD7"/>
    <w:rsid w:val="00EF402C"/>
    <w:rsid w:val="00EF4499"/>
    <w:rsid w:val="00EF5038"/>
    <w:rsid w:val="00EF53A8"/>
    <w:rsid w:val="00EF5A9B"/>
    <w:rsid w:val="00EF661C"/>
    <w:rsid w:val="00EF7A3A"/>
    <w:rsid w:val="00F00E70"/>
    <w:rsid w:val="00F01969"/>
    <w:rsid w:val="00F01D56"/>
    <w:rsid w:val="00F0319D"/>
    <w:rsid w:val="00F0356F"/>
    <w:rsid w:val="00F03D36"/>
    <w:rsid w:val="00F04ACB"/>
    <w:rsid w:val="00F04BAE"/>
    <w:rsid w:val="00F04DE1"/>
    <w:rsid w:val="00F055A2"/>
    <w:rsid w:val="00F056C9"/>
    <w:rsid w:val="00F075CD"/>
    <w:rsid w:val="00F1059D"/>
    <w:rsid w:val="00F113E6"/>
    <w:rsid w:val="00F11538"/>
    <w:rsid w:val="00F11C7A"/>
    <w:rsid w:val="00F12411"/>
    <w:rsid w:val="00F125BF"/>
    <w:rsid w:val="00F12D29"/>
    <w:rsid w:val="00F12D62"/>
    <w:rsid w:val="00F13CCC"/>
    <w:rsid w:val="00F1476E"/>
    <w:rsid w:val="00F14DD0"/>
    <w:rsid w:val="00F1507F"/>
    <w:rsid w:val="00F156B0"/>
    <w:rsid w:val="00F16FD1"/>
    <w:rsid w:val="00F17342"/>
    <w:rsid w:val="00F1741B"/>
    <w:rsid w:val="00F17BB0"/>
    <w:rsid w:val="00F17E4A"/>
    <w:rsid w:val="00F20140"/>
    <w:rsid w:val="00F208EA"/>
    <w:rsid w:val="00F20D06"/>
    <w:rsid w:val="00F21263"/>
    <w:rsid w:val="00F21480"/>
    <w:rsid w:val="00F2183B"/>
    <w:rsid w:val="00F21AF2"/>
    <w:rsid w:val="00F21D5F"/>
    <w:rsid w:val="00F21E8C"/>
    <w:rsid w:val="00F225E7"/>
    <w:rsid w:val="00F227CC"/>
    <w:rsid w:val="00F22A17"/>
    <w:rsid w:val="00F2336E"/>
    <w:rsid w:val="00F25DDF"/>
    <w:rsid w:val="00F25E92"/>
    <w:rsid w:val="00F26113"/>
    <w:rsid w:val="00F26120"/>
    <w:rsid w:val="00F261AE"/>
    <w:rsid w:val="00F26560"/>
    <w:rsid w:val="00F26F19"/>
    <w:rsid w:val="00F27343"/>
    <w:rsid w:val="00F276F1"/>
    <w:rsid w:val="00F27BAC"/>
    <w:rsid w:val="00F27DCA"/>
    <w:rsid w:val="00F27F3B"/>
    <w:rsid w:val="00F27F81"/>
    <w:rsid w:val="00F3039E"/>
    <w:rsid w:val="00F31008"/>
    <w:rsid w:val="00F31F6E"/>
    <w:rsid w:val="00F31FA6"/>
    <w:rsid w:val="00F32774"/>
    <w:rsid w:val="00F327D4"/>
    <w:rsid w:val="00F3296D"/>
    <w:rsid w:val="00F329E3"/>
    <w:rsid w:val="00F33E05"/>
    <w:rsid w:val="00F34202"/>
    <w:rsid w:val="00F344D6"/>
    <w:rsid w:val="00F34E77"/>
    <w:rsid w:val="00F354E2"/>
    <w:rsid w:val="00F35D7F"/>
    <w:rsid w:val="00F368D7"/>
    <w:rsid w:val="00F37028"/>
    <w:rsid w:val="00F3776A"/>
    <w:rsid w:val="00F37AFB"/>
    <w:rsid w:val="00F37D29"/>
    <w:rsid w:val="00F37DA9"/>
    <w:rsid w:val="00F37F00"/>
    <w:rsid w:val="00F405D3"/>
    <w:rsid w:val="00F40F38"/>
    <w:rsid w:val="00F40F51"/>
    <w:rsid w:val="00F41515"/>
    <w:rsid w:val="00F41D1D"/>
    <w:rsid w:val="00F41FE7"/>
    <w:rsid w:val="00F423F4"/>
    <w:rsid w:val="00F42405"/>
    <w:rsid w:val="00F42841"/>
    <w:rsid w:val="00F43A64"/>
    <w:rsid w:val="00F43DA1"/>
    <w:rsid w:val="00F458F7"/>
    <w:rsid w:val="00F462BF"/>
    <w:rsid w:val="00F46AB9"/>
    <w:rsid w:val="00F46B09"/>
    <w:rsid w:val="00F46D44"/>
    <w:rsid w:val="00F479B3"/>
    <w:rsid w:val="00F47B50"/>
    <w:rsid w:val="00F50C89"/>
    <w:rsid w:val="00F50CFA"/>
    <w:rsid w:val="00F5102D"/>
    <w:rsid w:val="00F515C2"/>
    <w:rsid w:val="00F51BA6"/>
    <w:rsid w:val="00F523ED"/>
    <w:rsid w:val="00F53B69"/>
    <w:rsid w:val="00F53D50"/>
    <w:rsid w:val="00F54F73"/>
    <w:rsid w:val="00F5508B"/>
    <w:rsid w:val="00F55CB1"/>
    <w:rsid w:val="00F5606B"/>
    <w:rsid w:val="00F5638B"/>
    <w:rsid w:val="00F5643C"/>
    <w:rsid w:val="00F57074"/>
    <w:rsid w:val="00F574EC"/>
    <w:rsid w:val="00F57C2C"/>
    <w:rsid w:val="00F57C5C"/>
    <w:rsid w:val="00F60970"/>
    <w:rsid w:val="00F61209"/>
    <w:rsid w:val="00F6120B"/>
    <w:rsid w:val="00F616E0"/>
    <w:rsid w:val="00F61AD6"/>
    <w:rsid w:val="00F61B6F"/>
    <w:rsid w:val="00F61F24"/>
    <w:rsid w:val="00F62E9B"/>
    <w:rsid w:val="00F631D6"/>
    <w:rsid w:val="00F633B1"/>
    <w:rsid w:val="00F63AB7"/>
    <w:rsid w:val="00F63D34"/>
    <w:rsid w:val="00F63D93"/>
    <w:rsid w:val="00F65480"/>
    <w:rsid w:val="00F65834"/>
    <w:rsid w:val="00F65ACC"/>
    <w:rsid w:val="00F66331"/>
    <w:rsid w:val="00F66718"/>
    <w:rsid w:val="00F667E1"/>
    <w:rsid w:val="00F67CC1"/>
    <w:rsid w:val="00F70408"/>
    <w:rsid w:val="00F71075"/>
    <w:rsid w:val="00F71138"/>
    <w:rsid w:val="00F711A6"/>
    <w:rsid w:val="00F7186F"/>
    <w:rsid w:val="00F71B8F"/>
    <w:rsid w:val="00F71F8D"/>
    <w:rsid w:val="00F7282C"/>
    <w:rsid w:val="00F73564"/>
    <w:rsid w:val="00F737D3"/>
    <w:rsid w:val="00F741C6"/>
    <w:rsid w:val="00F744B6"/>
    <w:rsid w:val="00F7637F"/>
    <w:rsid w:val="00F76B90"/>
    <w:rsid w:val="00F76C0D"/>
    <w:rsid w:val="00F76EEA"/>
    <w:rsid w:val="00F7722E"/>
    <w:rsid w:val="00F77F2F"/>
    <w:rsid w:val="00F8103E"/>
    <w:rsid w:val="00F810FE"/>
    <w:rsid w:val="00F81825"/>
    <w:rsid w:val="00F820C0"/>
    <w:rsid w:val="00F8222C"/>
    <w:rsid w:val="00F82607"/>
    <w:rsid w:val="00F82E98"/>
    <w:rsid w:val="00F830F9"/>
    <w:rsid w:val="00F83307"/>
    <w:rsid w:val="00F83848"/>
    <w:rsid w:val="00F84003"/>
    <w:rsid w:val="00F84859"/>
    <w:rsid w:val="00F84996"/>
    <w:rsid w:val="00F850CA"/>
    <w:rsid w:val="00F8583D"/>
    <w:rsid w:val="00F85AF7"/>
    <w:rsid w:val="00F85EF4"/>
    <w:rsid w:val="00F8615B"/>
    <w:rsid w:val="00F8699A"/>
    <w:rsid w:val="00F86BC2"/>
    <w:rsid w:val="00F87318"/>
    <w:rsid w:val="00F87401"/>
    <w:rsid w:val="00F875DF"/>
    <w:rsid w:val="00F877A6"/>
    <w:rsid w:val="00F87818"/>
    <w:rsid w:val="00F90FF2"/>
    <w:rsid w:val="00F911EA"/>
    <w:rsid w:val="00F9179E"/>
    <w:rsid w:val="00F91D6B"/>
    <w:rsid w:val="00F921EC"/>
    <w:rsid w:val="00F924BE"/>
    <w:rsid w:val="00F933CE"/>
    <w:rsid w:val="00F93583"/>
    <w:rsid w:val="00F93FA2"/>
    <w:rsid w:val="00F94AE6"/>
    <w:rsid w:val="00F94E98"/>
    <w:rsid w:val="00F95339"/>
    <w:rsid w:val="00F956B4"/>
    <w:rsid w:val="00F96D82"/>
    <w:rsid w:val="00F975B7"/>
    <w:rsid w:val="00FA03F6"/>
    <w:rsid w:val="00FA04CC"/>
    <w:rsid w:val="00FA0FEB"/>
    <w:rsid w:val="00FA108E"/>
    <w:rsid w:val="00FA17F8"/>
    <w:rsid w:val="00FA1A3C"/>
    <w:rsid w:val="00FA2005"/>
    <w:rsid w:val="00FA2133"/>
    <w:rsid w:val="00FA2188"/>
    <w:rsid w:val="00FA2871"/>
    <w:rsid w:val="00FA2F3E"/>
    <w:rsid w:val="00FA374B"/>
    <w:rsid w:val="00FA4F10"/>
    <w:rsid w:val="00FA533A"/>
    <w:rsid w:val="00FA548B"/>
    <w:rsid w:val="00FA71E7"/>
    <w:rsid w:val="00FA748B"/>
    <w:rsid w:val="00FA78EC"/>
    <w:rsid w:val="00FB0904"/>
    <w:rsid w:val="00FB09F1"/>
    <w:rsid w:val="00FB0E18"/>
    <w:rsid w:val="00FB1116"/>
    <w:rsid w:val="00FB15DD"/>
    <w:rsid w:val="00FB16F6"/>
    <w:rsid w:val="00FB17D9"/>
    <w:rsid w:val="00FB1D40"/>
    <w:rsid w:val="00FB2236"/>
    <w:rsid w:val="00FB24AB"/>
    <w:rsid w:val="00FB28FE"/>
    <w:rsid w:val="00FB2B42"/>
    <w:rsid w:val="00FB33E2"/>
    <w:rsid w:val="00FB3C23"/>
    <w:rsid w:val="00FB3DE2"/>
    <w:rsid w:val="00FB4B02"/>
    <w:rsid w:val="00FB5649"/>
    <w:rsid w:val="00FB5F6A"/>
    <w:rsid w:val="00FB6086"/>
    <w:rsid w:val="00FB63B1"/>
    <w:rsid w:val="00FB6504"/>
    <w:rsid w:val="00FC00BC"/>
    <w:rsid w:val="00FC1554"/>
    <w:rsid w:val="00FC19AD"/>
    <w:rsid w:val="00FC1A16"/>
    <w:rsid w:val="00FC1FF2"/>
    <w:rsid w:val="00FC2028"/>
    <w:rsid w:val="00FC22FA"/>
    <w:rsid w:val="00FC26E7"/>
    <w:rsid w:val="00FC2C31"/>
    <w:rsid w:val="00FC3165"/>
    <w:rsid w:val="00FC47A4"/>
    <w:rsid w:val="00FC4A6A"/>
    <w:rsid w:val="00FC4EE9"/>
    <w:rsid w:val="00FC59A6"/>
    <w:rsid w:val="00FC5B9D"/>
    <w:rsid w:val="00FC6077"/>
    <w:rsid w:val="00FC7756"/>
    <w:rsid w:val="00FD0608"/>
    <w:rsid w:val="00FD0D46"/>
    <w:rsid w:val="00FD1719"/>
    <w:rsid w:val="00FD1E7E"/>
    <w:rsid w:val="00FD24B7"/>
    <w:rsid w:val="00FD274A"/>
    <w:rsid w:val="00FD2DCA"/>
    <w:rsid w:val="00FD3812"/>
    <w:rsid w:val="00FD3A8F"/>
    <w:rsid w:val="00FD3AF4"/>
    <w:rsid w:val="00FD5746"/>
    <w:rsid w:val="00FD5EED"/>
    <w:rsid w:val="00FD6F05"/>
    <w:rsid w:val="00FD6FAB"/>
    <w:rsid w:val="00FD7715"/>
    <w:rsid w:val="00FD7DFB"/>
    <w:rsid w:val="00FE0EF5"/>
    <w:rsid w:val="00FE128F"/>
    <w:rsid w:val="00FE1D43"/>
    <w:rsid w:val="00FE2927"/>
    <w:rsid w:val="00FE2C75"/>
    <w:rsid w:val="00FE2FA3"/>
    <w:rsid w:val="00FE2FA4"/>
    <w:rsid w:val="00FE38D6"/>
    <w:rsid w:val="00FE4049"/>
    <w:rsid w:val="00FE42CB"/>
    <w:rsid w:val="00FE4526"/>
    <w:rsid w:val="00FE5806"/>
    <w:rsid w:val="00FE6427"/>
    <w:rsid w:val="00FE646C"/>
    <w:rsid w:val="00FE6ECB"/>
    <w:rsid w:val="00FE75D6"/>
    <w:rsid w:val="00FE7699"/>
    <w:rsid w:val="00FE7B47"/>
    <w:rsid w:val="00FE7D84"/>
    <w:rsid w:val="00FF0DDC"/>
    <w:rsid w:val="00FF1883"/>
    <w:rsid w:val="00FF1C4A"/>
    <w:rsid w:val="00FF241C"/>
    <w:rsid w:val="00FF4BB3"/>
    <w:rsid w:val="00FF5104"/>
    <w:rsid w:val="00FF515D"/>
    <w:rsid w:val="00FF538F"/>
    <w:rsid w:val="00FF550A"/>
    <w:rsid w:val="00FF592F"/>
    <w:rsid w:val="00FF630D"/>
    <w:rsid w:val="00FF67C0"/>
    <w:rsid w:val="00FF68E6"/>
    <w:rsid w:val="00FF77AD"/>
    <w:rsid w:val="00FF7881"/>
    <w:rsid w:val="022C5CCC"/>
    <w:rsid w:val="035A541C"/>
    <w:rsid w:val="03E75234"/>
    <w:rsid w:val="0409646A"/>
    <w:rsid w:val="077713F5"/>
    <w:rsid w:val="08AC6127"/>
    <w:rsid w:val="0CA74839"/>
    <w:rsid w:val="0F3420BD"/>
    <w:rsid w:val="0F5F5FC3"/>
    <w:rsid w:val="107F26DA"/>
    <w:rsid w:val="10F259CB"/>
    <w:rsid w:val="1100339F"/>
    <w:rsid w:val="136A1C5A"/>
    <w:rsid w:val="13D124F4"/>
    <w:rsid w:val="13D62F2B"/>
    <w:rsid w:val="1487023C"/>
    <w:rsid w:val="14DF0DB5"/>
    <w:rsid w:val="159D717D"/>
    <w:rsid w:val="15FB249C"/>
    <w:rsid w:val="16777AA9"/>
    <w:rsid w:val="17F81389"/>
    <w:rsid w:val="18E91C8E"/>
    <w:rsid w:val="19633427"/>
    <w:rsid w:val="1C163B8C"/>
    <w:rsid w:val="1DAE55A6"/>
    <w:rsid w:val="201E0D0F"/>
    <w:rsid w:val="22CF4E22"/>
    <w:rsid w:val="231F2F2B"/>
    <w:rsid w:val="259614D3"/>
    <w:rsid w:val="25E87F6B"/>
    <w:rsid w:val="281D0A49"/>
    <w:rsid w:val="28F43C01"/>
    <w:rsid w:val="29180BBD"/>
    <w:rsid w:val="2A557F75"/>
    <w:rsid w:val="2B0F0030"/>
    <w:rsid w:val="2BE6682C"/>
    <w:rsid w:val="2C5524AE"/>
    <w:rsid w:val="2CEA52EC"/>
    <w:rsid w:val="2D671DA6"/>
    <w:rsid w:val="2F3508FD"/>
    <w:rsid w:val="2F72338C"/>
    <w:rsid w:val="309B079A"/>
    <w:rsid w:val="337D0287"/>
    <w:rsid w:val="341936A6"/>
    <w:rsid w:val="34FA6363"/>
    <w:rsid w:val="36F525CA"/>
    <w:rsid w:val="38042FD6"/>
    <w:rsid w:val="38107BD1"/>
    <w:rsid w:val="390123BC"/>
    <w:rsid w:val="3A6A5DD7"/>
    <w:rsid w:val="3CC7395A"/>
    <w:rsid w:val="3EB16C27"/>
    <w:rsid w:val="3EC33CF2"/>
    <w:rsid w:val="40FC4327"/>
    <w:rsid w:val="41A860D3"/>
    <w:rsid w:val="422E6C98"/>
    <w:rsid w:val="44181BDF"/>
    <w:rsid w:val="4499423D"/>
    <w:rsid w:val="46874E3A"/>
    <w:rsid w:val="472E643E"/>
    <w:rsid w:val="4A1E0464"/>
    <w:rsid w:val="4BEB211D"/>
    <w:rsid w:val="4C5854A8"/>
    <w:rsid w:val="4D5D0D6B"/>
    <w:rsid w:val="4E702C28"/>
    <w:rsid w:val="4E745E92"/>
    <w:rsid w:val="4EC5306C"/>
    <w:rsid w:val="4F2026F6"/>
    <w:rsid w:val="51464D47"/>
    <w:rsid w:val="533E20DC"/>
    <w:rsid w:val="55202F57"/>
    <w:rsid w:val="59367040"/>
    <w:rsid w:val="59EF443C"/>
    <w:rsid w:val="5B5610DB"/>
    <w:rsid w:val="5C145701"/>
    <w:rsid w:val="5C780810"/>
    <w:rsid w:val="5DA9139E"/>
    <w:rsid w:val="5F707468"/>
    <w:rsid w:val="62C966B1"/>
    <w:rsid w:val="66635524"/>
    <w:rsid w:val="66A75076"/>
    <w:rsid w:val="67DB6D28"/>
    <w:rsid w:val="69805A97"/>
    <w:rsid w:val="6BBD539F"/>
    <w:rsid w:val="6C35422E"/>
    <w:rsid w:val="6E5047C8"/>
    <w:rsid w:val="6F4D407C"/>
    <w:rsid w:val="71586291"/>
    <w:rsid w:val="75066AF8"/>
    <w:rsid w:val="75962863"/>
    <w:rsid w:val="76E32304"/>
    <w:rsid w:val="771C30D8"/>
    <w:rsid w:val="78C75C05"/>
    <w:rsid w:val="79B80F53"/>
    <w:rsid w:val="7B2F8E55"/>
    <w:rsid w:val="7C3D10F1"/>
    <w:rsid w:val="7C814127"/>
    <w:rsid w:val="7E6F2369"/>
    <w:rsid w:val="7FF838E5"/>
    <w:rsid w:val="DE57C4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20"/>
    <w:qFormat/>
    <w:uiPriority w:val="9"/>
    <w:pPr>
      <w:keepNext/>
      <w:keepLines/>
      <w:tabs>
        <w:tab w:val="left" w:pos="432"/>
      </w:tabs>
      <w:outlineLvl w:val="0"/>
    </w:pPr>
    <w:rPr>
      <w:b/>
      <w:bCs/>
      <w:kern w:val="44"/>
      <w:sz w:val="28"/>
      <w:szCs w:val="44"/>
    </w:rPr>
  </w:style>
  <w:style w:type="paragraph" w:styleId="5">
    <w:name w:val="heading 2"/>
    <w:basedOn w:val="1"/>
    <w:next w:val="1"/>
    <w:link w:val="84"/>
    <w:qFormat/>
    <w:uiPriority w:val="9"/>
    <w:pPr>
      <w:keepNext/>
      <w:keepLines/>
      <w:tabs>
        <w:tab w:val="left" w:pos="576"/>
      </w:tabs>
      <w:spacing w:line="360" w:lineRule="auto"/>
      <w:outlineLvl w:val="1"/>
    </w:pPr>
    <w:rPr>
      <w:b/>
      <w:bCs/>
      <w:sz w:val="24"/>
      <w:szCs w:val="32"/>
      <w:lang w:val="zh-CN"/>
    </w:rPr>
  </w:style>
  <w:style w:type="paragraph" w:styleId="6">
    <w:name w:val="heading 3"/>
    <w:basedOn w:val="1"/>
    <w:next w:val="1"/>
    <w:link w:val="221"/>
    <w:qFormat/>
    <w:uiPriority w:val="9"/>
    <w:pPr>
      <w:keepNext/>
      <w:keepLines/>
      <w:adjustRightInd w:val="0"/>
      <w:spacing w:line="360" w:lineRule="auto"/>
      <w:ind w:firstLine="482" w:firstLineChars="200"/>
      <w:outlineLvl w:val="2"/>
    </w:pPr>
    <w:rPr>
      <w:b/>
      <w:bCs/>
      <w:sz w:val="24"/>
    </w:rPr>
  </w:style>
  <w:style w:type="paragraph" w:styleId="7">
    <w:name w:val="heading 4"/>
    <w:basedOn w:val="1"/>
    <w:next w:val="1"/>
    <w:link w:val="226"/>
    <w:qFormat/>
    <w:uiPriority w:val="9"/>
    <w:pPr>
      <w:keepNext/>
      <w:keepLines/>
      <w:tabs>
        <w:tab w:val="left" w:pos="864"/>
      </w:tabs>
      <w:spacing w:before="280" w:after="290" w:line="376" w:lineRule="auto"/>
      <w:ind w:left="864" w:hanging="864"/>
      <w:outlineLvl w:val="3"/>
    </w:pPr>
    <w:rPr>
      <w:rFonts w:ascii="Arial" w:hAnsi="Arial" w:eastAsia="黑体"/>
      <w:b/>
      <w:bCs/>
      <w:sz w:val="28"/>
      <w:szCs w:val="28"/>
    </w:rPr>
  </w:style>
  <w:style w:type="paragraph" w:styleId="8">
    <w:name w:val="heading 5"/>
    <w:basedOn w:val="1"/>
    <w:next w:val="1"/>
    <w:link w:val="227"/>
    <w:qFormat/>
    <w:uiPriority w:val="9"/>
    <w:pPr>
      <w:keepNext/>
      <w:keepLines/>
      <w:tabs>
        <w:tab w:val="left" w:pos="1008"/>
      </w:tabs>
      <w:spacing w:before="280" w:after="290" w:line="376" w:lineRule="auto"/>
      <w:ind w:left="1008" w:hanging="1008"/>
      <w:outlineLvl w:val="4"/>
    </w:pPr>
    <w:rPr>
      <w:b/>
      <w:bCs/>
      <w:sz w:val="28"/>
      <w:szCs w:val="28"/>
    </w:rPr>
  </w:style>
  <w:style w:type="paragraph" w:styleId="9">
    <w:name w:val="heading 6"/>
    <w:basedOn w:val="1"/>
    <w:next w:val="1"/>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0">
    <w:name w:val="heading 7"/>
    <w:basedOn w:val="1"/>
    <w:next w:val="1"/>
    <w:qFormat/>
    <w:uiPriority w:val="0"/>
    <w:pPr>
      <w:keepNext/>
      <w:keepLines/>
      <w:tabs>
        <w:tab w:val="left" w:pos="1296"/>
      </w:tabs>
      <w:spacing w:before="240" w:after="64" w:line="320" w:lineRule="auto"/>
      <w:ind w:left="1296" w:hanging="1296"/>
      <w:outlineLvl w:val="6"/>
    </w:pPr>
    <w:rPr>
      <w:b/>
      <w:bCs/>
      <w:sz w:val="24"/>
    </w:rPr>
  </w:style>
  <w:style w:type="paragraph" w:styleId="11">
    <w:name w:val="heading 8"/>
    <w:basedOn w:val="1"/>
    <w:next w:val="1"/>
    <w:link w:val="56"/>
    <w:qFormat/>
    <w:uiPriority w:val="0"/>
    <w:pPr>
      <w:keepNext/>
      <w:keepLines/>
      <w:numPr>
        <w:ilvl w:val="0"/>
        <w:numId w:val="1"/>
      </w:numPr>
      <w:jc w:val="center"/>
      <w:outlineLvl w:val="7"/>
    </w:pPr>
    <w:rPr>
      <w:b/>
      <w:lang w:val="zh-CN"/>
    </w:rPr>
  </w:style>
  <w:style w:type="paragraph" w:styleId="12">
    <w:name w:val="heading 9"/>
    <w:basedOn w:val="1"/>
    <w:next w:val="1"/>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47">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next w:val="3"/>
    <w:link w:val="93"/>
    <w:qFormat/>
    <w:uiPriority w:val="99"/>
    <w:pPr>
      <w:snapToGrid w:val="0"/>
      <w:spacing w:line="360" w:lineRule="auto"/>
      <w:ind w:firstLine="200" w:firstLineChars="200"/>
    </w:pPr>
    <w:rPr>
      <w:b/>
      <w:sz w:val="24"/>
      <w:szCs w:val="20"/>
      <w:lang w:val="zh-CN"/>
    </w:rPr>
  </w:style>
  <w:style w:type="paragraph" w:styleId="3">
    <w:name w:val="Body Text"/>
    <w:basedOn w:val="1"/>
    <w:link w:val="66"/>
    <w:qFormat/>
    <w:uiPriority w:val="99"/>
    <w:pPr>
      <w:adjustRightInd w:val="0"/>
      <w:spacing w:line="400" w:lineRule="atLeast"/>
      <w:textAlignment w:val="baseline"/>
    </w:pPr>
    <w:rPr>
      <w:kern w:val="0"/>
      <w:sz w:val="28"/>
      <w:szCs w:val="20"/>
      <w:lang w:val="zh-CN"/>
    </w:rPr>
  </w:style>
  <w:style w:type="paragraph" w:styleId="13">
    <w:name w:val="List 3"/>
    <w:basedOn w:val="1"/>
    <w:qFormat/>
    <w:uiPriority w:val="0"/>
    <w:pPr>
      <w:ind w:left="100" w:leftChars="400" w:hanging="200" w:hangingChars="200"/>
      <w:contextualSpacing/>
    </w:pPr>
  </w:style>
  <w:style w:type="paragraph" w:styleId="14">
    <w:name w:val="toc 7"/>
    <w:basedOn w:val="1"/>
    <w:next w:val="1"/>
    <w:unhideWhenUsed/>
    <w:qFormat/>
    <w:uiPriority w:val="39"/>
    <w:pPr>
      <w:ind w:left="2520" w:leftChars="1200"/>
    </w:pPr>
    <w:rPr>
      <w:rFonts w:cstheme="minorBidi"/>
      <w:szCs w:val="22"/>
    </w:rPr>
  </w:style>
  <w:style w:type="paragraph" w:styleId="15">
    <w:name w:val="Normal Indent"/>
    <w:basedOn w:val="1"/>
    <w:link w:val="52"/>
    <w:qFormat/>
    <w:uiPriority w:val="0"/>
    <w:pPr>
      <w:ind w:firstLine="420" w:firstLineChars="200"/>
    </w:pPr>
    <w:rPr>
      <w:lang w:val="zh-CN"/>
    </w:rPr>
  </w:style>
  <w:style w:type="paragraph" w:styleId="16">
    <w:name w:val="caption"/>
    <w:basedOn w:val="1"/>
    <w:next w:val="1"/>
    <w:link w:val="91"/>
    <w:qFormat/>
    <w:uiPriority w:val="35"/>
    <w:rPr>
      <w:rFonts w:ascii="Cambria" w:hAnsi="Cambria" w:eastAsia="黑体"/>
      <w:sz w:val="20"/>
      <w:szCs w:val="20"/>
      <w:lang w:val="zh-CN"/>
    </w:rPr>
  </w:style>
  <w:style w:type="paragraph" w:styleId="17">
    <w:name w:val="Document Map"/>
    <w:basedOn w:val="1"/>
    <w:qFormat/>
    <w:uiPriority w:val="0"/>
    <w:pPr>
      <w:shd w:val="clear" w:color="auto" w:fill="000080"/>
    </w:pPr>
  </w:style>
  <w:style w:type="paragraph" w:styleId="18">
    <w:name w:val="annotation text"/>
    <w:basedOn w:val="1"/>
    <w:link w:val="85"/>
    <w:qFormat/>
    <w:uiPriority w:val="0"/>
    <w:pPr>
      <w:jc w:val="left"/>
    </w:pPr>
    <w:rPr>
      <w:lang w:val="zh-CN"/>
    </w:rPr>
  </w:style>
  <w:style w:type="paragraph" w:styleId="19">
    <w:name w:val="Body Text Indent"/>
    <w:basedOn w:val="1"/>
    <w:link w:val="76"/>
    <w:qFormat/>
    <w:uiPriority w:val="0"/>
    <w:pPr>
      <w:adjustRightInd w:val="0"/>
      <w:spacing w:line="360" w:lineRule="auto"/>
      <w:ind w:firstLine="600"/>
      <w:textAlignment w:val="baseline"/>
    </w:pPr>
    <w:rPr>
      <w:spacing w:val="4"/>
      <w:kern w:val="0"/>
      <w:sz w:val="28"/>
      <w:szCs w:val="20"/>
      <w:lang w:val="zh-CN"/>
    </w:rPr>
  </w:style>
  <w:style w:type="paragraph" w:styleId="20">
    <w:name w:val="Block Text"/>
    <w:basedOn w:val="1"/>
    <w:qFormat/>
    <w:uiPriority w:val="0"/>
    <w:pPr>
      <w:snapToGrid w:val="0"/>
      <w:spacing w:before="180" w:line="380" w:lineRule="atLeast"/>
      <w:ind w:left="142" w:right="170" w:firstLine="476"/>
    </w:pPr>
    <w:rPr>
      <w:sz w:val="24"/>
      <w:szCs w:val="20"/>
    </w:rPr>
  </w:style>
  <w:style w:type="paragraph" w:styleId="21">
    <w:name w:val="toc 5"/>
    <w:basedOn w:val="1"/>
    <w:next w:val="1"/>
    <w:qFormat/>
    <w:uiPriority w:val="39"/>
    <w:pPr>
      <w:ind w:left="1680" w:leftChars="800"/>
    </w:pPr>
  </w:style>
  <w:style w:type="paragraph" w:styleId="22">
    <w:name w:val="toc 3"/>
    <w:basedOn w:val="1"/>
    <w:next w:val="1"/>
    <w:qFormat/>
    <w:uiPriority w:val="39"/>
    <w:pPr>
      <w:ind w:left="840" w:leftChars="400"/>
    </w:pPr>
  </w:style>
  <w:style w:type="paragraph" w:styleId="23">
    <w:name w:val="Plain Text"/>
    <w:basedOn w:val="1"/>
    <w:link w:val="104"/>
    <w:qFormat/>
    <w:uiPriority w:val="0"/>
    <w:pPr>
      <w:autoSpaceDE w:val="0"/>
      <w:autoSpaceDN w:val="0"/>
      <w:adjustRightInd w:val="0"/>
      <w:spacing w:line="312" w:lineRule="atLeast"/>
      <w:textAlignment w:val="baseline"/>
    </w:pPr>
    <w:rPr>
      <w:rFonts w:ascii="宋体" w:hAnsi="Tms Rmn"/>
      <w:kern w:val="0"/>
      <w:szCs w:val="20"/>
      <w:lang w:val="zh-CN"/>
    </w:rPr>
  </w:style>
  <w:style w:type="paragraph" w:styleId="24">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25">
    <w:name w:val="Date"/>
    <w:basedOn w:val="1"/>
    <w:next w:val="1"/>
    <w:qFormat/>
    <w:uiPriority w:val="0"/>
    <w:pPr>
      <w:ind w:left="100" w:leftChars="2500"/>
    </w:pPr>
    <w:rPr>
      <w:sz w:val="28"/>
      <w:szCs w:val="20"/>
    </w:rPr>
  </w:style>
  <w:style w:type="paragraph" w:styleId="26">
    <w:name w:val="Balloon Text"/>
    <w:basedOn w:val="1"/>
    <w:link w:val="229"/>
    <w:qFormat/>
    <w:uiPriority w:val="99"/>
    <w:rPr>
      <w:sz w:val="18"/>
      <w:szCs w:val="18"/>
    </w:rPr>
  </w:style>
  <w:style w:type="paragraph" w:styleId="27">
    <w:name w:val="footer"/>
    <w:basedOn w:val="1"/>
    <w:link w:val="94"/>
    <w:qFormat/>
    <w:uiPriority w:val="99"/>
    <w:pPr>
      <w:tabs>
        <w:tab w:val="center" w:pos="4153"/>
        <w:tab w:val="right" w:pos="8306"/>
      </w:tabs>
      <w:snapToGrid w:val="0"/>
      <w:jc w:val="left"/>
    </w:pPr>
    <w:rPr>
      <w:sz w:val="18"/>
      <w:szCs w:val="18"/>
      <w:lang w:val="zh-CN"/>
    </w:rPr>
  </w:style>
  <w:style w:type="paragraph" w:styleId="28">
    <w:name w:val="header"/>
    <w:basedOn w:val="1"/>
    <w:link w:val="86"/>
    <w:qFormat/>
    <w:uiPriority w:val="99"/>
    <w:pPr>
      <w:pBdr>
        <w:bottom w:val="single" w:color="auto" w:sz="6" w:space="1"/>
      </w:pBdr>
      <w:tabs>
        <w:tab w:val="center" w:pos="4153"/>
        <w:tab w:val="right" w:pos="8306"/>
      </w:tabs>
      <w:adjustRightInd w:val="0"/>
      <w:snapToGrid w:val="0"/>
      <w:spacing w:line="240" w:lineRule="atLeast"/>
      <w:jc w:val="center"/>
      <w:textAlignment w:val="baseline"/>
    </w:pPr>
    <w:rPr>
      <w:kern w:val="0"/>
      <w:sz w:val="18"/>
      <w:szCs w:val="20"/>
      <w:lang w:val="zh-CN"/>
    </w:rPr>
  </w:style>
  <w:style w:type="paragraph" w:styleId="29">
    <w:name w:val="toc 1"/>
    <w:next w:val="30"/>
    <w:qFormat/>
    <w:uiPriority w:val="39"/>
    <w:rPr>
      <w:rFonts w:ascii="Times New Roman" w:hAnsi="宋体" w:eastAsia="宋体" w:cs="Times New Roman"/>
      <w:bCs/>
      <w:caps/>
      <w:w w:val="80"/>
      <w:kern w:val="2"/>
      <w:sz w:val="24"/>
      <w:szCs w:val="24"/>
      <w:lang w:val="en-US" w:eastAsia="zh-CN" w:bidi="ar-SA"/>
    </w:rPr>
  </w:style>
  <w:style w:type="paragraph" w:styleId="30">
    <w:name w:val="Body Text First Indent"/>
    <w:basedOn w:val="3"/>
    <w:qFormat/>
    <w:uiPriority w:val="0"/>
    <w:pPr>
      <w:adjustRightInd/>
      <w:spacing w:after="120" w:line="240" w:lineRule="auto"/>
      <w:ind w:firstLine="420" w:firstLineChars="100"/>
      <w:textAlignment w:val="auto"/>
    </w:pPr>
    <w:rPr>
      <w:kern w:val="2"/>
      <w:sz w:val="21"/>
      <w:szCs w:val="24"/>
    </w:rPr>
  </w:style>
  <w:style w:type="paragraph" w:styleId="31">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32">
    <w:name w:val="Subtitle"/>
    <w:basedOn w:val="1"/>
    <w:next w:val="1"/>
    <w:link w:val="59"/>
    <w:qFormat/>
    <w:uiPriority w:val="0"/>
    <w:pPr>
      <w:spacing w:line="360" w:lineRule="auto"/>
      <w:ind w:firstLine="200" w:firstLineChars="200"/>
      <w:jc w:val="left"/>
    </w:pPr>
    <w:rPr>
      <w:b/>
      <w:bCs/>
      <w:kern w:val="28"/>
      <w:sz w:val="24"/>
      <w:szCs w:val="32"/>
      <w:lang w:val="zh-CN"/>
    </w:rPr>
  </w:style>
  <w:style w:type="paragraph" w:styleId="33">
    <w:name w:val="List"/>
    <w:basedOn w:val="1"/>
    <w:qFormat/>
    <w:uiPriority w:val="0"/>
    <w:pPr>
      <w:widowControl/>
      <w:ind w:left="200" w:hanging="200" w:hangingChars="200"/>
      <w:jc w:val="left"/>
    </w:pPr>
    <w:rPr>
      <w:rFonts w:eastAsia="仿宋_GB2312"/>
      <w:kern w:val="0"/>
      <w:sz w:val="24"/>
      <w:szCs w:val="20"/>
    </w:rPr>
  </w:style>
  <w:style w:type="paragraph" w:styleId="34">
    <w:name w:val="toc 6"/>
    <w:basedOn w:val="1"/>
    <w:next w:val="1"/>
    <w:unhideWhenUsed/>
    <w:qFormat/>
    <w:uiPriority w:val="39"/>
    <w:pPr>
      <w:ind w:left="2100" w:leftChars="1000"/>
    </w:pPr>
    <w:rPr>
      <w:rFonts w:cstheme="minorBidi"/>
      <w:szCs w:val="22"/>
    </w:rPr>
  </w:style>
  <w:style w:type="paragraph" w:styleId="35">
    <w:name w:val="Body Text Indent 3"/>
    <w:basedOn w:val="1"/>
    <w:link w:val="69"/>
    <w:qFormat/>
    <w:uiPriority w:val="0"/>
    <w:pPr>
      <w:adjustRightInd w:val="0"/>
      <w:spacing w:line="360" w:lineRule="auto"/>
      <w:ind w:firstLine="570"/>
      <w:textAlignment w:val="baseline"/>
    </w:pPr>
    <w:rPr>
      <w:kern w:val="0"/>
      <w:sz w:val="28"/>
      <w:szCs w:val="20"/>
      <w:lang w:val="zh-CN"/>
    </w:rPr>
  </w:style>
  <w:style w:type="paragraph" w:styleId="36">
    <w:name w:val="toc 2"/>
    <w:basedOn w:val="1"/>
    <w:next w:val="1"/>
    <w:qFormat/>
    <w:uiPriority w:val="39"/>
    <w:pPr>
      <w:ind w:left="420" w:leftChars="200"/>
    </w:pPr>
  </w:style>
  <w:style w:type="paragraph" w:styleId="37">
    <w:name w:val="toc 9"/>
    <w:basedOn w:val="1"/>
    <w:next w:val="1"/>
    <w:unhideWhenUsed/>
    <w:qFormat/>
    <w:uiPriority w:val="39"/>
    <w:pPr>
      <w:ind w:left="3360" w:leftChars="1600"/>
    </w:pPr>
    <w:rPr>
      <w:rFonts w:asciiTheme="minorHAnsi" w:hAnsiTheme="minorHAnsi" w:eastAsiaTheme="minorEastAsia" w:cstheme="minorBidi"/>
      <w:szCs w:val="22"/>
    </w:rPr>
  </w:style>
  <w:style w:type="paragraph" w:styleId="38">
    <w:name w:val="Body Text 2"/>
    <w:basedOn w:val="1"/>
    <w:link w:val="89"/>
    <w:qFormat/>
    <w:uiPriority w:val="0"/>
    <w:pPr>
      <w:spacing w:after="120" w:line="480" w:lineRule="auto"/>
    </w:pPr>
    <w:rPr>
      <w:lang w:val="zh-CN"/>
    </w:rPr>
  </w:style>
  <w:style w:type="paragraph" w:styleId="39">
    <w:name w:val="Normal (Web)"/>
    <w:basedOn w:val="1"/>
    <w:link w:val="163"/>
    <w:qFormat/>
    <w:uiPriority w:val="99"/>
    <w:pPr>
      <w:widowControl/>
      <w:spacing w:before="100" w:beforeAutospacing="1" w:after="100" w:afterAutospacing="1"/>
      <w:jc w:val="left"/>
    </w:pPr>
    <w:rPr>
      <w:rFonts w:ascii="宋体" w:hAnsi="宋体"/>
      <w:kern w:val="0"/>
      <w:sz w:val="24"/>
    </w:rPr>
  </w:style>
  <w:style w:type="paragraph" w:styleId="40">
    <w:name w:val="Title"/>
    <w:basedOn w:val="1"/>
    <w:next w:val="1"/>
    <w:link w:val="51"/>
    <w:qFormat/>
    <w:uiPriority w:val="0"/>
    <w:pPr>
      <w:spacing w:before="240" w:after="240"/>
      <w:jc w:val="center"/>
      <w:outlineLvl w:val="0"/>
    </w:pPr>
    <w:rPr>
      <w:rFonts w:eastAsia="黑体"/>
      <w:bCs/>
      <w:sz w:val="30"/>
      <w:szCs w:val="32"/>
      <w:lang w:val="zh-CN"/>
    </w:rPr>
  </w:style>
  <w:style w:type="paragraph" w:styleId="41">
    <w:name w:val="annotation subject"/>
    <w:basedOn w:val="18"/>
    <w:next w:val="18"/>
    <w:link w:val="231"/>
    <w:qFormat/>
    <w:uiPriority w:val="99"/>
    <w:rPr>
      <w:b/>
      <w:bCs/>
    </w:rPr>
  </w:style>
  <w:style w:type="paragraph" w:styleId="42">
    <w:name w:val="Body Text First Indent 2"/>
    <w:basedOn w:val="19"/>
    <w:link w:val="184"/>
    <w:unhideWhenUsed/>
    <w:qFormat/>
    <w:uiPriority w:val="99"/>
    <w:pPr>
      <w:adjustRightInd/>
      <w:spacing w:after="120"/>
      <w:ind w:left="420" w:leftChars="200" w:firstLine="420" w:firstLineChars="200"/>
      <w:textAlignment w:val="auto"/>
    </w:pPr>
    <w:rPr>
      <w:kern w:val="2"/>
      <w:sz w:val="24"/>
      <w:szCs w:val="24"/>
      <w:lang w:val="en-US"/>
    </w:rPr>
  </w:style>
  <w:style w:type="table" w:styleId="44">
    <w:name w:val="Table Grid"/>
    <w:basedOn w:val="4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5">
    <w:name w:val="Table Theme"/>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6">
    <w:name w:val="Table Grid 1"/>
    <w:basedOn w:val="4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48">
    <w:name w:val="page number"/>
    <w:basedOn w:val="47"/>
    <w:qFormat/>
    <w:uiPriority w:val="0"/>
  </w:style>
  <w:style w:type="character" w:styleId="49">
    <w:name w:val="Hyperlink"/>
    <w:qFormat/>
    <w:uiPriority w:val="99"/>
    <w:rPr>
      <w:rFonts w:ascii="宋体" w:hAnsi="宋体" w:eastAsia="宋体" w:cs="宋体"/>
      <w:color w:val="0000FF"/>
      <w:kern w:val="2"/>
      <w:sz w:val="24"/>
      <w:szCs w:val="24"/>
      <w:u w:val="single"/>
      <w:lang w:val="en-US" w:eastAsia="zh-CN" w:bidi="ar-SA"/>
    </w:rPr>
  </w:style>
  <w:style w:type="character" w:styleId="50">
    <w:name w:val="annotation reference"/>
    <w:qFormat/>
    <w:uiPriority w:val="0"/>
    <w:rPr>
      <w:sz w:val="21"/>
      <w:szCs w:val="21"/>
    </w:rPr>
  </w:style>
  <w:style w:type="character" w:customStyle="1" w:styleId="51">
    <w:name w:val="标题 字符1"/>
    <w:link w:val="40"/>
    <w:qFormat/>
    <w:uiPriority w:val="0"/>
    <w:rPr>
      <w:rFonts w:eastAsia="黑体"/>
      <w:bCs/>
      <w:kern w:val="2"/>
      <w:sz w:val="30"/>
      <w:szCs w:val="32"/>
      <w:lang w:val="zh-CN" w:eastAsia="zh-CN"/>
    </w:rPr>
  </w:style>
  <w:style w:type="character" w:customStyle="1" w:styleId="52">
    <w:name w:val="正文缩进 字符"/>
    <w:link w:val="15"/>
    <w:qFormat/>
    <w:uiPriority w:val="0"/>
    <w:rPr>
      <w:kern w:val="2"/>
      <w:sz w:val="21"/>
      <w:szCs w:val="24"/>
    </w:rPr>
  </w:style>
  <w:style w:type="character" w:customStyle="1" w:styleId="53">
    <w:name w:val="表格内容 Char"/>
    <w:qFormat/>
    <w:uiPriority w:val="0"/>
    <w:rPr>
      <w:rFonts w:ascii="宋体" w:hAnsi="宋体" w:eastAsia="宋体" w:cs="宋体"/>
      <w:color w:val="000000"/>
      <w:kern w:val="2"/>
      <w:sz w:val="21"/>
      <w:szCs w:val="16"/>
      <w:lang w:val="en-US" w:eastAsia="zh-CN" w:bidi="ar-SA"/>
    </w:rPr>
  </w:style>
  <w:style w:type="character" w:customStyle="1" w:styleId="54">
    <w:name w:val="报告表  段 Char"/>
    <w:link w:val="55"/>
    <w:qFormat/>
    <w:uiPriority w:val="0"/>
    <w:rPr>
      <w:rFonts w:ascii="宋体"/>
      <w:sz w:val="24"/>
    </w:rPr>
  </w:style>
  <w:style w:type="paragraph" w:customStyle="1" w:styleId="55">
    <w:name w:val="报告表  段"/>
    <w:basedOn w:val="1"/>
    <w:link w:val="54"/>
    <w:qFormat/>
    <w:uiPriority w:val="0"/>
    <w:pPr>
      <w:adjustRightInd w:val="0"/>
      <w:spacing w:line="360" w:lineRule="auto"/>
      <w:ind w:firstLine="505"/>
      <w:textAlignment w:val="baseline"/>
    </w:pPr>
    <w:rPr>
      <w:rFonts w:ascii="宋体"/>
      <w:kern w:val="0"/>
      <w:sz w:val="24"/>
      <w:szCs w:val="20"/>
      <w:lang w:val="zh-CN"/>
    </w:rPr>
  </w:style>
  <w:style w:type="character" w:customStyle="1" w:styleId="56">
    <w:name w:val="标题 8 字符"/>
    <w:link w:val="11"/>
    <w:qFormat/>
    <w:uiPriority w:val="0"/>
    <w:rPr>
      <w:b/>
      <w:kern w:val="2"/>
      <w:sz w:val="21"/>
      <w:szCs w:val="24"/>
      <w:lang w:val="zh-CN"/>
    </w:rPr>
  </w:style>
  <w:style w:type="character" w:customStyle="1" w:styleId="57">
    <w:name w:val="表格内容格式 Char"/>
    <w:link w:val="58"/>
    <w:qFormat/>
    <w:uiPriority w:val="0"/>
    <w:rPr>
      <w:bCs/>
      <w:sz w:val="21"/>
      <w:szCs w:val="21"/>
    </w:rPr>
  </w:style>
  <w:style w:type="paragraph" w:customStyle="1" w:styleId="58">
    <w:name w:val="表格内容格式"/>
    <w:basedOn w:val="1"/>
    <w:link w:val="57"/>
    <w:qFormat/>
    <w:uiPriority w:val="0"/>
    <w:pPr>
      <w:widowControl/>
      <w:jc w:val="center"/>
    </w:pPr>
    <w:rPr>
      <w:bCs/>
      <w:kern w:val="0"/>
      <w:szCs w:val="21"/>
      <w:lang w:val="zh-CN"/>
    </w:rPr>
  </w:style>
  <w:style w:type="character" w:customStyle="1" w:styleId="59">
    <w:name w:val="副标题 字符"/>
    <w:link w:val="32"/>
    <w:qFormat/>
    <w:uiPriority w:val="0"/>
    <w:rPr>
      <w:b/>
      <w:bCs/>
      <w:kern w:val="28"/>
      <w:sz w:val="24"/>
      <w:szCs w:val="32"/>
    </w:rPr>
  </w:style>
  <w:style w:type="character" w:customStyle="1" w:styleId="60">
    <w:name w:val="style151"/>
    <w:qFormat/>
    <w:uiPriority w:val="0"/>
    <w:rPr>
      <w:color w:val="743E07"/>
      <w:sz w:val="21"/>
      <w:szCs w:val="21"/>
    </w:rPr>
  </w:style>
  <w:style w:type="character" w:customStyle="1" w:styleId="61">
    <w:name w:val="自定正文 Char"/>
    <w:link w:val="62"/>
    <w:qFormat/>
    <w:uiPriority w:val="0"/>
    <w:rPr>
      <w:snapToGrid/>
      <w:kern w:val="2"/>
      <w:sz w:val="24"/>
      <w:szCs w:val="21"/>
    </w:rPr>
  </w:style>
  <w:style w:type="paragraph" w:customStyle="1" w:styleId="62">
    <w:name w:val="自定正文"/>
    <w:basedOn w:val="1"/>
    <w:link w:val="61"/>
    <w:qFormat/>
    <w:uiPriority w:val="0"/>
    <w:pPr>
      <w:tabs>
        <w:tab w:val="left" w:pos="1685"/>
      </w:tabs>
      <w:snapToGrid w:val="0"/>
      <w:spacing w:line="360" w:lineRule="auto"/>
      <w:ind w:firstLine="480"/>
      <w:textAlignment w:val="center"/>
    </w:pPr>
    <w:rPr>
      <w:sz w:val="24"/>
      <w:szCs w:val="21"/>
      <w:lang w:val="zh-CN"/>
    </w:rPr>
  </w:style>
  <w:style w:type="character" w:customStyle="1" w:styleId="63">
    <w:name w:val="ddjj Char"/>
    <w:link w:val="64"/>
    <w:qFormat/>
    <w:uiPriority w:val="0"/>
    <w:rPr>
      <w:kern w:val="2"/>
      <w:sz w:val="28"/>
      <w:lang w:bidi="ar-SA"/>
    </w:rPr>
  </w:style>
  <w:style w:type="paragraph" w:customStyle="1" w:styleId="64">
    <w:name w:val="ddjj"/>
    <w:basedOn w:val="1"/>
    <w:link w:val="63"/>
    <w:qFormat/>
    <w:uiPriority w:val="0"/>
    <w:pPr>
      <w:spacing w:line="360" w:lineRule="auto"/>
      <w:ind w:firstLine="200" w:firstLineChars="200"/>
    </w:pPr>
    <w:rPr>
      <w:sz w:val="28"/>
      <w:szCs w:val="20"/>
      <w:lang w:val="zh-CN"/>
    </w:rPr>
  </w:style>
  <w:style w:type="character" w:customStyle="1" w:styleId="65">
    <w:name w:val="s1"/>
    <w:qFormat/>
    <w:uiPriority w:val="0"/>
    <w:rPr>
      <w:sz w:val="18"/>
      <w:szCs w:val="18"/>
    </w:rPr>
  </w:style>
  <w:style w:type="character" w:customStyle="1" w:styleId="66">
    <w:name w:val="正文文本 字符1"/>
    <w:link w:val="3"/>
    <w:qFormat/>
    <w:uiPriority w:val="99"/>
    <w:rPr>
      <w:sz w:val="28"/>
    </w:rPr>
  </w:style>
  <w:style w:type="character" w:customStyle="1" w:styleId="67">
    <w:name w:val="宗兴正文 Char Char"/>
    <w:link w:val="68"/>
    <w:qFormat/>
    <w:uiPriority w:val="0"/>
    <w:rPr>
      <w:kern w:val="2"/>
      <w:sz w:val="24"/>
      <w:szCs w:val="24"/>
    </w:rPr>
  </w:style>
  <w:style w:type="paragraph" w:customStyle="1" w:styleId="68">
    <w:name w:val="宗兴正文"/>
    <w:basedOn w:val="1"/>
    <w:link w:val="67"/>
    <w:qFormat/>
    <w:uiPriority w:val="0"/>
    <w:pPr>
      <w:spacing w:before="93" w:after="93" w:line="360" w:lineRule="auto"/>
      <w:ind w:firstLine="480" w:firstLineChars="200"/>
      <w:jc w:val="left"/>
    </w:pPr>
    <w:rPr>
      <w:sz w:val="24"/>
      <w:lang w:val="zh-CN"/>
    </w:rPr>
  </w:style>
  <w:style w:type="character" w:customStyle="1" w:styleId="69">
    <w:name w:val="正文文本缩进 3 字符"/>
    <w:link w:val="35"/>
    <w:qFormat/>
    <w:uiPriority w:val="0"/>
    <w:rPr>
      <w:sz w:val="28"/>
    </w:rPr>
  </w:style>
  <w:style w:type="character" w:customStyle="1" w:styleId="70">
    <w:name w:val="description"/>
    <w:qFormat/>
    <w:uiPriority w:val="0"/>
  </w:style>
  <w:style w:type="character" w:customStyle="1" w:styleId="71">
    <w:name w:val="表格内容 Char1"/>
    <w:link w:val="72"/>
    <w:qFormat/>
    <w:uiPriority w:val="0"/>
    <w:rPr>
      <w:kern w:val="2"/>
      <w:sz w:val="21"/>
      <w:szCs w:val="21"/>
    </w:rPr>
  </w:style>
  <w:style w:type="paragraph" w:customStyle="1" w:styleId="72">
    <w:name w:val="表格内容"/>
    <w:basedOn w:val="1"/>
    <w:link w:val="71"/>
    <w:qFormat/>
    <w:uiPriority w:val="0"/>
    <w:pPr>
      <w:jc w:val="center"/>
    </w:pPr>
    <w:rPr>
      <w:szCs w:val="21"/>
      <w:lang w:val="zh-CN"/>
    </w:rPr>
  </w:style>
  <w:style w:type="character" w:customStyle="1" w:styleId="73">
    <w:name w:val="表头 Char"/>
    <w:link w:val="74"/>
    <w:qFormat/>
    <w:uiPriority w:val="0"/>
    <w:rPr>
      <w:b/>
      <w:kern w:val="2"/>
      <w:sz w:val="21"/>
    </w:rPr>
  </w:style>
  <w:style w:type="paragraph" w:customStyle="1" w:styleId="74">
    <w:name w:val="表头"/>
    <w:basedOn w:val="16"/>
    <w:link w:val="73"/>
    <w:qFormat/>
    <w:uiPriority w:val="0"/>
    <w:pPr>
      <w:keepNext/>
      <w:spacing w:line="100" w:lineRule="atLeast"/>
      <w:jc w:val="center"/>
    </w:pPr>
    <w:rPr>
      <w:rFonts w:ascii="Times New Roman" w:hAnsi="Times New Roman" w:eastAsia="宋体"/>
      <w:b/>
      <w:sz w:val="21"/>
    </w:rPr>
  </w:style>
  <w:style w:type="character" w:customStyle="1" w:styleId="75">
    <w:name w:val="14p2"/>
    <w:qFormat/>
    <w:uiPriority w:val="0"/>
    <w:rPr>
      <w:color w:val="666666"/>
      <w:sz w:val="21"/>
      <w:szCs w:val="21"/>
    </w:rPr>
  </w:style>
  <w:style w:type="character" w:customStyle="1" w:styleId="76">
    <w:name w:val="正文文本缩进 字符"/>
    <w:link w:val="19"/>
    <w:qFormat/>
    <w:uiPriority w:val="0"/>
    <w:rPr>
      <w:spacing w:val="4"/>
      <w:sz w:val="28"/>
    </w:rPr>
  </w:style>
  <w:style w:type="character" w:customStyle="1" w:styleId="77">
    <w:name w:val="样式 正文首行缩进:  2 字符 + 首行缩进:  2 字符 Char"/>
    <w:link w:val="78"/>
    <w:qFormat/>
    <w:uiPriority w:val="0"/>
    <w:rPr>
      <w:rFonts w:cs="宋体"/>
      <w:kern w:val="2"/>
      <w:sz w:val="24"/>
    </w:rPr>
  </w:style>
  <w:style w:type="paragraph" w:customStyle="1" w:styleId="78">
    <w:name w:val="样式 正文首行缩进:  2 字符 + 首行缩进:  2 字符"/>
    <w:basedOn w:val="1"/>
    <w:link w:val="77"/>
    <w:qFormat/>
    <w:uiPriority w:val="0"/>
    <w:pPr>
      <w:spacing w:line="360" w:lineRule="auto"/>
      <w:ind w:firstLine="480" w:firstLineChars="200"/>
    </w:pPr>
    <w:rPr>
      <w:sz w:val="24"/>
      <w:szCs w:val="20"/>
      <w:lang w:val="zh-CN"/>
    </w:rPr>
  </w:style>
  <w:style w:type="character" w:customStyle="1" w:styleId="79">
    <w:name w:val="Char Char1 Char"/>
    <w:link w:val="80"/>
    <w:qFormat/>
    <w:uiPriority w:val="0"/>
    <w:rPr>
      <w:rFonts w:ascii="宋体" w:hAnsi="宋体" w:cs="宋体"/>
      <w:kern w:val="2"/>
      <w:sz w:val="24"/>
      <w:szCs w:val="24"/>
    </w:rPr>
  </w:style>
  <w:style w:type="paragraph" w:customStyle="1" w:styleId="80">
    <w:name w:val="Char Char1"/>
    <w:basedOn w:val="1"/>
    <w:link w:val="79"/>
    <w:qFormat/>
    <w:uiPriority w:val="0"/>
    <w:pPr>
      <w:spacing w:line="360" w:lineRule="auto"/>
      <w:ind w:firstLine="200" w:firstLineChars="200"/>
    </w:pPr>
    <w:rPr>
      <w:rFonts w:ascii="宋体" w:hAnsi="宋体"/>
      <w:sz w:val="24"/>
      <w:lang w:val="zh-CN"/>
    </w:rPr>
  </w:style>
  <w:style w:type="character" w:customStyle="1" w:styleId="81">
    <w:name w:val="14p"/>
    <w:basedOn w:val="47"/>
    <w:qFormat/>
    <w:uiPriority w:val="0"/>
  </w:style>
  <w:style w:type="character" w:customStyle="1" w:styleId="82">
    <w:name w:val="正文何黎 Char1"/>
    <w:link w:val="83"/>
    <w:qFormat/>
    <w:uiPriority w:val="0"/>
    <w:rPr>
      <w:rFonts w:hAnsi="宋体" w:cs="宋体"/>
      <w:sz w:val="24"/>
      <w:szCs w:val="24"/>
    </w:rPr>
  </w:style>
  <w:style w:type="paragraph" w:customStyle="1" w:styleId="83">
    <w:name w:val="正文何黎"/>
    <w:basedOn w:val="1"/>
    <w:link w:val="82"/>
    <w:qFormat/>
    <w:uiPriority w:val="0"/>
    <w:pPr>
      <w:spacing w:line="360" w:lineRule="auto"/>
      <w:ind w:firstLine="480" w:firstLineChars="200"/>
    </w:pPr>
    <w:rPr>
      <w:rFonts w:hAnsi="宋体"/>
      <w:kern w:val="0"/>
      <w:sz w:val="24"/>
      <w:lang w:val="zh-CN"/>
    </w:rPr>
  </w:style>
  <w:style w:type="character" w:customStyle="1" w:styleId="84">
    <w:name w:val="标题 2 字符"/>
    <w:link w:val="5"/>
    <w:qFormat/>
    <w:uiPriority w:val="9"/>
    <w:rPr>
      <w:b/>
      <w:bCs/>
      <w:kern w:val="2"/>
      <w:sz w:val="24"/>
      <w:szCs w:val="32"/>
    </w:rPr>
  </w:style>
  <w:style w:type="character" w:customStyle="1" w:styleId="85">
    <w:name w:val="批注文字 字符"/>
    <w:link w:val="18"/>
    <w:qFormat/>
    <w:uiPriority w:val="0"/>
    <w:rPr>
      <w:kern w:val="2"/>
      <w:sz w:val="21"/>
      <w:szCs w:val="24"/>
    </w:rPr>
  </w:style>
  <w:style w:type="character" w:customStyle="1" w:styleId="86">
    <w:name w:val="页眉 字符1"/>
    <w:link w:val="28"/>
    <w:qFormat/>
    <w:uiPriority w:val="99"/>
    <w:rPr>
      <w:sz w:val="18"/>
    </w:rPr>
  </w:style>
  <w:style w:type="character" w:customStyle="1" w:styleId="87">
    <w:name w:val="样式14 Char"/>
    <w:link w:val="88"/>
    <w:qFormat/>
    <w:uiPriority w:val="0"/>
    <w:rPr>
      <w:color w:val="000000"/>
      <w:sz w:val="24"/>
      <w:szCs w:val="24"/>
      <w:shd w:val="clear" w:color="auto" w:fill="FFFFFF"/>
    </w:rPr>
  </w:style>
  <w:style w:type="paragraph" w:customStyle="1" w:styleId="88">
    <w:name w:val="样式14"/>
    <w:basedOn w:val="1"/>
    <w:link w:val="87"/>
    <w:qFormat/>
    <w:uiPriority w:val="0"/>
    <w:pPr>
      <w:shd w:val="clear" w:color="auto" w:fill="FFFFFF"/>
      <w:spacing w:beforeLines="50" w:afterLines="50" w:line="360" w:lineRule="auto"/>
      <w:ind w:left="708" w:hanging="708"/>
    </w:pPr>
    <w:rPr>
      <w:color w:val="000000"/>
      <w:kern w:val="0"/>
      <w:sz w:val="24"/>
      <w:lang w:val="zh-CN"/>
    </w:rPr>
  </w:style>
  <w:style w:type="character" w:customStyle="1" w:styleId="89">
    <w:name w:val="正文文本 2 字符"/>
    <w:link w:val="38"/>
    <w:qFormat/>
    <w:uiPriority w:val="0"/>
    <w:rPr>
      <w:kern w:val="2"/>
      <w:sz w:val="21"/>
      <w:szCs w:val="24"/>
    </w:rPr>
  </w:style>
  <w:style w:type="character" w:customStyle="1" w:styleId="90">
    <w:name w:val="正文缩进 Char1"/>
    <w:qFormat/>
    <w:uiPriority w:val="0"/>
    <w:rPr>
      <w:kern w:val="2"/>
      <w:sz w:val="21"/>
    </w:rPr>
  </w:style>
  <w:style w:type="character" w:customStyle="1" w:styleId="91">
    <w:name w:val="题注 字符"/>
    <w:link w:val="16"/>
    <w:qFormat/>
    <w:uiPriority w:val="35"/>
    <w:rPr>
      <w:rFonts w:ascii="Cambria" w:hAnsi="Cambria" w:eastAsia="黑体"/>
      <w:kern w:val="2"/>
    </w:rPr>
  </w:style>
  <w:style w:type="character" w:styleId="92">
    <w:name w:val="Placeholder Text"/>
    <w:unhideWhenUsed/>
    <w:qFormat/>
    <w:uiPriority w:val="99"/>
    <w:rPr>
      <w:color w:val="808080"/>
    </w:rPr>
  </w:style>
  <w:style w:type="character" w:customStyle="1" w:styleId="93">
    <w:name w:val="正文文本缩进 2 字符"/>
    <w:link w:val="2"/>
    <w:qFormat/>
    <w:uiPriority w:val="99"/>
    <w:rPr>
      <w:b/>
      <w:kern w:val="2"/>
      <w:sz w:val="24"/>
    </w:rPr>
  </w:style>
  <w:style w:type="character" w:customStyle="1" w:styleId="94">
    <w:name w:val="页脚 字符"/>
    <w:link w:val="27"/>
    <w:qFormat/>
    <w:uiPriority w:val="99"/>
    <w:rPr>
      <w:kern w:val="2"/>
      <w:sz w:val="18"/>
      <w:szCs w:val="18"/>
    </w:rPr>
  </w:style>
  <w:style w:type="character" w:customStyle="1" w:styleId="95">
    <w:name w:val="bw"/>
    <w:basedOn w:val="47"/>
    <w:qFormat/>
    <w:uiPriority w:val="0"/>
  </w:style>
  <w:style w:type="character" w:customStyle="1" w:styleId="96">
    <w:name w:val="A正文 Char"/>
    <w:link w:val="97"/>
    <w:qFormat/>
    <w:uiPriority w:val="0"/>
    <w:rPr>
      <w:b/>
      <w:sz w:val="24"/>
      <w:szCs w:val="21"/>
    </w:rPr>
  </w:style>
  <w:style w:type="paragraph" w:customStyle="1" w:styleId="97">
    <w:name w:val="A正文"/>
    <w:basedOn w:val="1"/>
    <w:next w:val="3"/>
    <w:link w:val="96"/>
    <w:qFormat/>
    <w:uiPriority w:val="0"/>
    <w:pPr>
      <w:framePr w:hSpace="180" w:wrap="around" w:vAnchor="text" w:hAnchor="text" w:xAlign="center" w:y="1"/>
      <w:suppressOverlap/>
      <w:spacing w:line="360" w:lineRule="auto"/>
      <w:ind w:firstLine="482" w:firstLineChars="200"/>
    </w:pPr>
    <w:rPr>
      <w:b/>
      <w:kern w:val="0"/>
      <w:sz w:val="24"/>
      <w:szCs w:val="21"/>
    </w:rPr>
  </w:style>
  <w:style w:type="character" w:customStyle="1" w:styleId="98">
    <w:name w:val="15"/>
    <w:qFormat/>
    <w:uiPriority w:val="0"/>
    <w:rPr>
      <w:rFonts w:hint="eastAsia" w:ascii="宋体" w:hAnsi="宋体" w:eastAsia="宋体"/>
      <w:color w:val="000000"/>
      <w:kern w:val="2"/>
      <w:sz w:val="21"/>
      <w:szCs w:val="21"/>
    </w:rPr>
  </w:style>
  <w:style w:type="character" w:customStyle="1" w:styleId="99">
    <w:name w:val="style11"/>
    <w:qFormat/>
    <w:uiPriority w:val="0"/>
    <w:rPr>
      <w:color w:val="FF0000"/>
    </w:rPr>
  </w:style>
  <w:style w:type="character" w:customStyle="1" w:styleId="100">
    <w:name w:val="A（1）级标题 Char"/>
    <w:link w:val="101"/>
    <w:qFormat/>
    <w:uiPriority w:val="0"/>
    <w:rPr>
      <w:kern w:val="2"/>
      <w:sz w:val="24"/>
      <w:szCs w:val="24"/>
    </w:rPr>
  </w:style>
  <w:style w:type="paragraph" w:customStyle="1" w:styleId="101">
    <w:name w:val="A（1）级标题"/>
    <w:basedOn w:val="1"/>
    <w:next w:val="3"/>
    <w:link w:val="100"/>
    <w:qFormat/>
    <w:uiPriority w:val="0"/>
    <w:pPr>
      <w:spacing w:line="360" w:lineRule="auto"/>
      <w:ind w:firstLine="200" w:firstLineChars="200"/>
    </w:pPr>
    <w:rPr>
      <w:sz w:val="24"/>
      <w:lang w:val="zh-CN"/>
    </w:rPr>
  </w:style>
  <w:style w:type="character" w:customStyle="1" w:styleId="102">
    <w:name w:val="表格文字 Char1"/>
    <w:link w:val="103"/>
    <w:qFormat/>
    <w:uiPriority w:val="0"/>
    <w:rPr>
      <w:kern w:val="2"/>
      <w:position w:val="-10"/>
      <w:sz w:val="21"/>
    </w:rPr>
  </w:style>
  <w:style w:type="paragraph" w:customStyle="1" w:styleId="103">
    <w:name w:val="表格文字"/>
    <w:basedOn w:val="1"/>
    <w:link w:val="102"/>
    <w:qFormat/>
    <w:uiPriority w:val="0"/>
    <w:pPr>
      <w:tabs>
        <w:tab w:val="left" w:pos="-2848"/>
      </w:tabs>
      <w:spacing w:beforeLines="20" w:afterLines="20"/>
      <w:jc w:val="center"/>
    </w:pPr>
    <w:rPr>
      <w:position w:val="-10"/>
      <w:szCs w:val="20"/>
      <w:lang w:val="zh-CN"/>
    </w:rPr>
  </w:style>
  <w:style w:type="character" w:customStyle="1" w:styleId="104">
    <w:name w:val="纯文本 字符"/>
    <w:link w:val="23"/>
    <w:qFormat/>
    <w:uiPriority w:val="0"/>
    <w:rPr>
      <w:rFonts w:ascii="宋体" w:hAnsi="Tms Rmn"/>
      <w:sz w:val="21"/>
    </w:rPr>
  </w:style>
  <w:style w:type="character" w:customStyle="1" w:styleId="105">
    <w:name w:val="正文 首行缩进:  2 字符 SL CON Char"/>
    <w:link w:val="106"/>
    <w:qFormat/>
    <w:uiPriority w:val="0"/>
    <w:rPr>
      <w:rFonts w:ascii="宋体" w:cs="宋体"/>
      <w:sz w:val="24"/>
      <w:szCs w:val="24"/>
    </w:rPr>
  </w:style>
  <w:style w:type="paragraph" w:customStyle="1" w:styleId="106">
    <w:name w:val="正文 首行缩进:  2 字符 SL CON"/>
    <w:basedOn w:val="1"/>
    <w:link w:val="105"/>
    <w:qFormat/>
    <w:uiPriority w:val="0"/>
    <w:pPr>
      <w:widowControl/>
      <w:tabs>
        <w:tab w:val="left" w:pos="377"/>
      </w:tabs>
      <w:spacing w:line="360" w:lineRule="auto"/>
      <w:ind w:firstLine="200" w:firstLineChars="200"/>
    </w:pPr>
    <w:rPr>
      <w:rFonts w:ascii="宋体"/>
      <w:kern w:val="0"/>
      <w:sz w:val="24"/>
      <w:lang w:val="zh-CN"/>
    </w:rPr>
  </w:style>
  <w:style w:type="character" w:customStyle="1" w:styleId="107">
    <w:name w:val="style181"/>
    <w:qFormat/>
    <w:uiPriority w:val="0"/>
    <w:rPr>
      <w:color w:val="844508"/>
      <w:sz w:val="21"/>
      <w:szCs w:val="21"/>
    </w:rPr>
  </w:style>
  <w:style w:type="character" w:customStyle="1" w:styleId="108">
    <w:name w:val="fontstyle01"/>
    <w:qFormat/>
    <w:uiPriority w:val="0"/>
    <w:rPr>
      <w:rFonts w:hint="eastAsia" w:ascii="宋体" w:hAnsi="宋体" w:eastAsia="宋体"/>
      <w:color w:val="000000"/>
      <w:sz w:val="22"/>
      <w:szCs w:val="22"/>
    </w:rPr>
  </w:style>
  <w:style w:type="character" w:customStyle="1" w:styleId="109">
    <w:name w:val="表格表头 Char"/>
    <w:link w:val="110"/>
    <w:qFormat/>
    <w:uiPriority w:val="0"/>
    <w:rPr>
      <w:b/>
      <w:kern w:val="2"/>
      <w:sz w:val="21"/>
      <w:szCs w:val="24"/>
      <w:lang w:val="zh-CN"/>
    </w:rPr>
  </w:style>
  <w:style w:type="paragraph" w:customStyle="1" w:styleId="110">
    <w:name w:val="表格表头"/>
    <w:basedOn w:val="11"/>
    <w:link w:val="109"/>
    <w:qFormat/>
    <w:uiPriority w:val="0"/>
    <w:pPr>
      <w:tabs>
        <w:tab w:val="left" w:pos="210"/>
      </w:tabs>
      <w:ind w:left="0" w:firstLine="0"/>
    </w:pPr>
  </w:style>
  <w:style w:type="paragraph" w:customStyle="1" w:styleId="111">
    <w:name w:val="Char2"/>
    <w:basedOn w:val="1"/>
    <w:qFormat/>
    <w:uiPriority w:val="0"/>
    <w:pPr>
      <w:ind w:firstLine="200" w:firstLineChars="200"/>
    </w:pPr>
  </w:style>
  <w:style w:type="paragraph" w:customStyle="1" w:styleId="112">
    <w:name w:val="样式 样式 题注 + 首行缩进:  2 字符 + 首行缩进:  2 字符"/>
    <w:basedOn w:val="1"/>
    <w:qFormat/>
    <w:uiPriority w:val="0"/>
    <w:pPr>
      <w:spacing w:line="480" w:lineRule="auto"/>
      <w:ind w:firstLine="480" w:firstLineChars="200"/>
      <w:jc w:val="center"/>
    </w:pPr>
    <w:rPr>
      <w:rFonts w:ascii="Arial" w:hAnsi="Arial" w:eastAsia="黑体"/>
      <w:sz w:val="24"/>
      <w:szCs w:val="20"/>
    </w:rPr>
  </w:style>
  <w:style w:type="paragraph" w:customStyle="1" w:styleId="113">
    <w:name w:val="样式2"/>
    <w:basedOn w:val="1"/>
    <w:qFormat/>
    <w:uiPriority w:val="0"/>
    <w:pPr>
      <w:spacing w:line="300" w:lineRule="exact"/>
      <w:jc w:val="center"/>
    </w:pPr>
    <w:rPr>
      <w:rFonts w:ascii="宋体" w:hAnsi="宋体"/>
      <w:spacing w:val="4"/>
      <w:szCs w:val="20"/>
    </w:rPr>
  </w:style>
  <w:style w:type="paragraph" w:customStyle="1" w:styleId="114">
    <w:name w:val="_Style 27"/>
    <w:basedOn w:val="1"/>
    <w:qFormat/>
    <w:uiPriority w:val="0"/>
    <w:rPr>
      <w:szCs w:val="20"/>
    </w:rPr>
  </w:style>
  <w:style w:type="paragraph" w:customStyle="1" w:styleId="115">
    <w:name w:val="Char24"/>
    <w:basedOn w:val="1"/>
    <w:semiHidden/>
    <w:qFormat/>
    <w:uiPriority w:val="0"/>
    <w:pPr>
      <w:spacing w:line="360" w:lineRule="auto"/>
      <w:ind w:firstLine="200" w:firstLineChars="200"/>
    </w:pPr>
    <w:rPr>
      <w:rFonts w:ascii="宋体" w:hAnsi="宋体" w:cs="宋体"/>
      <w:sz w:val="24"/>
    </w:rPr>
  </w:style>
  <w:style w:type="paragraph" w:customStyle="1" w:styleId="116">
    <w:name w:val="Char23"/>
    <w:basedOn w:val="1"/>
    <w:semiHidden/>
    <w:qFormat/>
    <w:uiPriority w:val="0"/>
    <w:pPr>
      <w:spacing w:line="360" w:lineRule="auto"/>
      <w:ind w:firstLine="200" w:firstLineChars="200"/>
    </w:pPr>
    <w:rPr>
      <w:rFonts w:ascii="宋体" w:hAnsi="宋体" w:cs="宋体"/>
      <w:sz w:val="24"/>
    </w:rPr>
  </w:style>
  <w:style w:type="paragraph" w:customStyle="1" w:styleId="117">
    <w:name w:val="Char1"/>
    <w:basedOn w:val="1"/>
    <w:qFormat/>
    <w:uiPriority w:val="0"/>
    <w:pPr>
      <w:snapToGrid w:val="0"/>
      <w:spacing w:line="360" w:lineRule="auto"/>
      <w:ind w:firstLine="529" w:firstLineChars="200"/>
    </w:pPr>
    <w:rPr>
      <w:rFonts w:ascii="宋体" w:hAnsi="宋体"/>
      <w:b/>
    </w:rPr>
  </w:style>
  <w:style w:type="paragraph" w:customStyle="1" w:styleId="118">
    <w:name w:val="样式 两端对齐 行距: 1.5 倍行距 首行缩进:  2 字符"/>
    <w:basedOn w:val="1"/>
    <w:qFormat/>
    <w:uiPriority w:val="0"/>
    <w:pPr>
      <w:widowControl/>
      <w:spacing w:line="360" w:lineRule="auto"/>
      <w:ind w:firstLine="200" w:firstLineChars="200"/>
    </w:pPr>
    <w:rPr>
      <w:rFonts w:cs="PMingLiU"/>
      <w:kern w:val="0"/>
      <w:sz w:val="24"/>
      <w:szCs w:val="20"/>
    </w:rPr>
  </w:style>
  <w:style w:type="paragraph" w:customStyle="1" w:styleId="119">
    <w:name w:val="列出段落1"/>
    <w:basedOn w:val="1"/>
    <w:unhideWhenUsed/>
    <w:qFormat/>
    <w:uiPriority w:val="0"/>
    <w:pPr>
      <w:ind w:firstLine="420" w:firstLineChars="200"/>
    </w:pPr>
  </w:style>
  <w:style w:type="paragraph" w:customStyle="1" w:styleId="120">
    <w:name w:val="样式 段落 Char + Char"/>
    <w:basedOn w:val="1"/>
    <w:qFormat/>
    <w:uiPriority w:val="0"/>
    <w:pPr>
      <w:topLinePunct/>
      <w:snapToGrid w:val="0"/>
      <w:spacing w:line="360" w:lineRule="auto"/>
      <w:ind w:firstLine="200" w:firstLineChars="200"/>
    </w:pPr>
    <w:rPr>
      <w:sz w:val="24"/>
    </w:rPr>
  </w:style>
  <w:style w:type="paragraph" w:customStyle="1" w:styleId="121">
    <w:name w:val="样式16"/>
    <w:basedOn w:val="1"/>
    <w:qFormat/>
    <w:uiPriority w:val="0"/>
    <w:pPr>
      <w:spacing w:beforeLines="50" w:afterLines="50"/>
    </w:pPr>
    <w:rPr>
      <w:b/>
      <w:bCs/>
      <w:szCs w:val="21"/>
    </w:rPr>
  </w:style>
  <w:style w:type="paragraph" w:customStyle="1" w:styleId="122">
    <w:name w:val="普通文字 Char"/>
    <w:basedOn w:val="1"/>
    <w:next w:val="15"/>
    <w:qFormat/>
    <w:uiPriority w:val="0"/>
    <w:pPr>
      <w:ind w:firstLine="420" w:firstLineChars="200"/>
    </w:pPr>
  </w:style>
  <w:style w:type="paragraph" w:customStyle="1" w:styleId="123">
    <w:name w:val="Char Char Char Char Char Char"/>
    <w:basedOn w:val="1"/>
    <w:qFormat/>
    <w:uiPriority w:val="0"/>
    <w:rPr>
      <w:sz w:val="24"/>
    </w:rPr>
  </w:style>
  <w:style w:type="paragraph" w:customStyle="1" w:styleId="124">
    <w:name w:val="Char"/>
    <w:basedOn w:val="1"/>
    <w:qFormat/>
    <w:uiPriority w:val="0"/>
    <w:pPr>
      <w:snapToGrid w:val="0"/>
      <w:spacing w:line="360" w:lineRule="auto"/>
      <w:ind w:firstLine="529" w:firstLineChars="200"/>
    </w:pPr>
    <w:rPr>
      <w:rFonts w:ascii="宋体" w:hAnsi="宋体"/>
      <w:b/>
    </w:rPr>
  </w:style>
  <w:style w:type="paragraph" w:customStyle="1" w:styleId="125">
    <w:name w:val="Char Char Char"/>
    <w:basedOn w:val="1"/>
    <w:qFormat/>
    <w:uiPriority w:val="0"/>
  </w:style>
  <w:style w:type="paragraph" w:customStyle="1" w:styleId="126">
    <w:name w:val="样式 自动A +"/>
    <w:basedOn w:val="1"/>
    <w:qFormat/>
    <w:uiPriority w:val="0"/>
    <w:pPr>
      <w:spacing w:beforeLines="50" w:afterLines="50" w:line="360" w:lineRule="auto"/>
      <w:ind w:firstLine="480" w:firstLineChars="200"/>
    </w:pPr>
    <w:rPr>
      <w:rFonts w:ascii="宋体" w:hAnsi="宋体" w:cs="宋体"/>
      <w:color w:val="000000"/>
      <w:sz w:val="24"/>
    </w:rPr>
  </w:style>
  <w:style w:type="paragraph" w:customStyle="1" w:styleId="127">
    <w:name w:val="样式 四号 黑色 行距: 1.5 倍行距 首行缩进:  2 字符"/>
    <w:basedOn w:val="1"/>
    <w:qFormat/>
    <w:uiPriority w:val="0"/>
    <w:pPr>
      <w:spacing w:line="360" w:lineRule="auto"/>
      <w:ind w:firstLine="560" w:firstLineChars="200"/>
    </w:pPr>
    <w:rPr>
      <w:rFonts w:eastAsia="仿宋_GB2312" w:cs="宋体"/>
      <w:color w:val="000000"/>
      <w:sz w:val="28"/>
      <w:szCs w:val="20"/>
    </w:rPr>
  </w:style>
  <w:style w:type="paragraph" w:styleId="128">
    <w:name w:val="List Paragraph"/>
    <w:basedOn w:val="1"/>
    <w:link w:val="169"/>
    <w:qFormat/>
    <w:uiPriority w:val="1"/>
    <w:pPr>
      <w:ind w:firstLine="420" w:firstLineChars="200"/>
    </w:pPr>
  </w:style>
  <w:style w:type="paragraph" w:customStyle="1" w:styleId="129">
    <w:name w:val="默认段落字体 Para Char Char Char Char Char Char Char"/>
    <w:basedOn w:val="1"/>
    <w:qFormat/>
    <w:uiPriority w:val="0"/>
    <w:pPr>
      <w:spacing w:line="360" w:lineRule="auto"/>
      <w:ind w:firstLine="200" w:firstLineChars="200"/>
    </w:pPr>
  </w:style>
  <w:style w:type="paragraph" w:customStyle="1" w:styleId="130">
    <w:name w:val="Char Char Char Char Char Char Char"/>
    <w:basedOn w:val="1"/>
    <w:qFormat/>
    <w:uiPriority w:val="0"/>
  </w:style>
  <w:style w:type="paragraph" w:customStyle="1" w:styleId="131">
    <w:name w:val="Char21"/>
    <w:basedOn w:val="1"/>
    <w:qFormat/>
    <w:uiPriority w:val="0"/>
    <w:pPr>
      <w:snapToGrid w:val="0"/>
      <w:spacing w:line="360" w:lineRule="auto"/>
      <w:ind w:firstLine="529" w:firstLineChars="200"/>
    </w:pPr>
    <w:rPr>
      <w:rFonts w:ascii="宋体" w:hAnsi="宋体"/>
      <w:b/>
    </w:rPr>
  </w:style>
  <w:style w:type="paragraph" w:customStyle="1" w:styleId="132">
    <w:name w:val="默认段落字体 Para Char Char Char Char"/>
    <w:basedOn w:val="1"/>
    <w:qFormat/>
    <w:uiPriority w:val="0"/>
  </w:style>
  <w:style w:type="paragraph" w:customStyle="1" w:styleId="1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4">
    <w:name w:val="Char Char Char Char Char Char2 Char"/>
    <w:basedOn w:val="1"/>
    <w:qFormat/>
    <w:uiPriority w:val="0"/>
    <w:pPr>
      <w:spacing w:line="360" w:lineRule="auto"/>
      <w:ind w:firstLine="200" w:firstLineChars="200"/>
    </w:pPr>
    <w:rPr>
      <w:rFonts w:ascii="宋体" w:hAnsi="宋体" w:cs="宋体"/>
      <w:sz w:val="24"/>
    </w:rPr>
  </w:style>
  <w:style w:type="paragraph" w:customStyle="1" w:styleId="135">
    <w:name w:val="样式 表格 32 + 首行缩进:  2 字符"/>
    <w:basedOn w:val="1"/>
    <w:qFormat/>
    <w:uiPriority w:val="0"/>
    <w:pPr>
      <w:autoSpaceDE w:val="0"/>
      <w:autoSpaceDN w:val="0"/>
      <w:adjustRightInd w:val="0"/>
      <w:spacing w:line="0" w:lineRule="atLeast"/>
      <w:ind w:firstLine="200" w:firstLineChars="200"/>
      <w:jc w:val="center"/>
      <w:textAlignment w:val="baseline"/>
    </w:pPr>
    <w:rPr>
      <w:kern w:val="0"/>
      <w:sz w:val="24"/>
      <w:szCs w:val="20"/>
    </w:rPr>
  </w:style>
  <w:style w:type="paragraph" w:customStyle="1" w:styleId="136">
    <w:name w:val="小四行居中"/>
    <w:basedOn w:val="1"/>
    <w:qFormat/>
    <w:uiPriority w:val="0"/>
    <w:pPr>
      <w:autoSpaceDE w:val="0"/>
      <w:autoSpaceDN w:val="0"/>
      <w:adjustRightInd w:val="0"/>
      <w:snapToGrid w:val="0"/>
      <w:spacing w:line="480" w:lineRule="exact"/>
      <w:ind w:left="-6" w:firstLine="401" w:firstLineChars="167"/>
      <w:textAlignment w:val="center"/>
    </w:pPr>
    <w:rPr>
      <w:rFonts w:ascii="宋体" w:hAnsi="宋体"/>
      <w:sz w:val="24"/>
    </w:rPr>
  </w:style>
  <w:style w:type="paragraph" w:customStyle="1" w:styleId="137">
    <w:name w:val="标准正文"/>
    <w:basedOn w:val="1"/>
    <w:qFormat/>
    <w:uiPriority w:val="0"/>
    <w:pPr>
      <w:spacing w:line="360" w:lineRule="auto"/>
      <w:ind w:firstLine="480" w:firstLineChars="200"/>
      <w:jc w:val="center"/>
    </w:pPr>
    <w:rPr>
      <w:rFonts w:ascii="宋体" w:hAnsi="宋体" w:cs="宋体"/>
      <w:bCs/>
      <w:kern w:val="0"/>
      <w:sz w:val="24"/>
    </w:rPr>
  </w:style>
  <w:style w:type="paragraph" w:customStyle="1" w:styleId="138">
    <w:name w:val="xzz"/>
    <w:basedOn w:val="1"/>
    <w:qFormat/>
    <w:uiPriority w:val="0"/>
    <w:pPr>
      <w:ind w:firstLine="480" w:firstLineChars="200"/>
    </w:pPr>
    <w:rPr>
      <w:sz w:val="24"/>
    </w:rPr>
  </w:style>
  <w:style w:type="paragraph" w:customStyle="1" w:styleId="139">
    <w:name w:val="Char221"/>
    <w:basedOn w:val="1"/>
    <w:qFormat/>
    <w:uiPriority w:val="0"/>
    <w:pPr>
      <w:spacing w:line="360" w:lineRule="auto"/>
      <w:ind w:firstLine="200" w:firstLineChars="200"/>
    </w:pPr>
    <w:rPr>
      <w:rFonts w:ascii="宋体" w:hAnsi="宋体" w:cs="宋体"/>
      <w:sz w:val="24"/>
    </w:rPr>
  </w:style>
  <w:style w:type="paragraph" w:customStyle="1" w:styleId="140">
    <w:name w:val="Char Char Char1"/>
    <w:basedOn w:val="1"/>
    <w:qFormat/>
    <w:uiPriority w:val="0"/>
    <w:rPr>
      <w:sz w:val="24"/>
    </w:rPr>
  </w:style>
  <w:style w:type="paragraph" w:customStyle="1" w:styleId="141">
    <w:name w:val="a表格"/>
    <w:basedOn w:val="1"/>
    <w:qFormat/>
    <w:uiPriority w:val="0"/>
    <w:pPr>
      <w:snapToGrid w:val="0"/>
      <w:jc w:val="center"/>
      <w:outlineLvl w:val="2"/>
    </w:pPr>
    <w:rPr>
      <w:szCs w:val="21"/>
    </w:rPr>
  </w:style>
  <w:style w:type="paragraph" w:customStyle="1" w:styleId="142">
    <w:name w:val="A1级标题"/>
    <w:basedOn w:val="1"/>
    <w:qFormat/>
    <w:uiPriority w:val="0"/>
    <w:pPr>
      <w:spacing w:afterLines="50"/>
    </w:pPr>
    <w:rPr>
      <w:b/>
      <w:sz w:val="28"/>
    </w:rPr>
  </w:style>
  <w:style w:type="paragraph" w:customStyle="1" w:styleId="143">
    <w:name w:val="表格 32"/>
    <w:basedOn w:val="1"/>
    <w:qFormat/>
    <w:uiPriority w:val="0"/>
    <w:pPr>
      <w:autoSpaceDE w:val="0"/>
      <w:autoSpaceDN w:val="0"/>
      <w:adjustRightInd w:val="0"/>
      <w:jc w:val="center"/>
    </w:pPr>
    <w:rPr>
      <w:rFonts w:ascii="宋体" w:hAnsi="Impact"/>
      <w:kern w:val="24"/>
      <w:sz w:val="24"/>
      <w:szCs w:val="20"/>
    </w:rPr>
  </w:style>
  <w:style w:type="paragraph" w:customStyle="1" w:styleId="144">
    <w:name w:val="Char22"/>
    <w:basedOn w:val="1"/>
    <w:semiHidden/>
    <w:qFormat/>
    <w:uiPriority w:val="0"/>
    <w:pPr>
      <w:spacing w:line="360" w:lineRule="auto"/>
      <w:ind w:firstLine="200" w:firstLineChars="200"/>
    </w:pPr>
    <w:rPr>
      <w:rFonts w:ascii="宋体" w:hAnsi="宋体" w:cs="宋体"/>
      <w:sz w:val="24"/>
      <w:szCs w:val="20"/>
    </w:rPr>
  </w:style>
  <w:style w:type="paragraph" w:customStyle="1" w:styleId="145">
    <w:name w:val="3"/>
    <w:basedOn w:val="1"/>
    <w:qFormat/>
    <w:uiPriority w:val="0"/>
  </w:style>
  <w:style w:type="paragraph" w:customStyle="1" w:styleId="146">
    <w:name w:val="样式 样式1 + 非加宽量 / 紧缩量  行距: 1.5 倍行距"/>
    <w:basedOn w:val="1"/>
    <w:qFormat/>
    <w:uiPriority w:val="0"/>
    <w:pPr>
      <w:spacing w:before="120" w:after="120"/>
      <w:ind w:firstLine="523" w:firstLineChars="218"/>
    </w:pPr>
    <w:rPr>
      <w:rFonts w:cs="宋体"/>
      <w:sz w:val="24"/>
      <w:szCs w:val="20"/>
    </w:rPr>
  </w:style>
  <w:style w:type="paragraph" w:customStyle="1" w:styleId="147">
    <w:name w:val="样式1"/>
    <w:basedOn w:val="1"/>
    <w:qFormat/>
    <w:uiPriority w:val="0"/>
    <w:pPr>
      <w:spacing w:line="500" w:lineRule="exact"/>
      <w:ind w:firstLine="496" w:firstLineChars="200"/>
    </w:pPr>
    <w:rPr>
      <w:spacing w:val="4"/>
      <w:sz w:val="24"/>
      <w:szCs w:val="20"/>
    </w:rPr>
  </w:style>
  <w:style w:type="paragraph" w:customStyle="1" w:styleId="148">
    <w:name w:val="Char Char Char Char Char Char Char1"/>
    <w:basedOn w:val="1"/>
    <w:qFormat/>
    <w:uiPriority w:val="0"/>
  </w:style>
  <w:style w:type="paragraph" w:customStyle="1" w:styleId="149">
    <w:name w:val="表格2"/>
    <w:basedOn w:val="1"/>
    <w:next w:val="1"/>
    <w:qFormat/>
    <w:uiPriority w:val="0"/>
    <w:pPr>
      <w:topLinePunct/>
      <w:autoSpaceDE w:val="0"/>
      <w:autoSpaceDN w:val="0"/>
      <w:adjustRightInd w:val="0"/>
      <w:jc w:val="center"/>
      <w:textAlignment w:val="baseline"/>
    </w:pPr>
    <w:rPr>
      <w:rFonts w:ascii="宋体" w:hAnsi="Impact"/>
      <w:kern w:val="24"/>
      <w:position w:val="-28"/>
      <w:szCs w:val="20"/>
    </w:rPr>
  </w:style>
  <w:style w:type="paragraph" w:customStyle="1" w:styleId="150">
    <w:name w:val="Char Char"/>
    <w:basedOn w:val="1"/>
    <w:qFormat/>
    <w:uiPriority w:val="0"/>
    <w:pPr>
      <w:snapToGrid w:val="0"/>
      <w:spacing w:line="440" w:lineRule="atLeast"/>
    </w:pPr>
    <w:rPr>
      <w:szCs w:val="20"/>
    </w:rPr>
  </w:style>
  <w:style w:type="paragraph" w:customStyle="1" w:styleId="151">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152">
    <w:name w:val="Char Char Char2 Char"/>
    <w:basedOn w:val="1"/>
    <w:qFormat/>
    <w:uiPriority w:val="0"/>
    <w:pPr>
      <w:numPr>
        <w:ilvl w:val="0"/>
        <w:numId w:val="2"/>
      </w:numPr>
      <w:tabs>
        <w:tab w:val="left" w:pos="425"/>
      </w:tabs>
    </w:pPr>
    <w:rPr>
      <w:rFonts w:ascii="宋体"/>
      <w:sz w:val="28"/>
      <w:szCs w:val="20"/>
    </w:rPr>
  </w:style>
  <w:style w:type="paragraph" w:customStyle="1" w:styleId="153">
    <w:name w:val="样式 报告1 + 左侧:  0 厘米"/>
    <w:basedOn w:val="1"/>
    <w:qFormat/>
    <w:uiPriority w:val="0"/>
    <w:pPr>
      <w:tabs>
        <w:tab w:val="left" w:pos="851"/>
        <w:tab w:val="left" w:pos="5220"/>
      </w:tabs>
      <w:adjustRightInd w:val="0"/>
      <w:spacing w:line="360" w:lineRule="auto"/>
      <w:ind w:firstLine="480"/>
      <w:textAlignment w:val="baseline"/>
    </w:pPr>
    <w:rPr>
      <w:rFonts w:ascii="宋体" w:hAnsi="宋体" w:cs="宋体"/>
      <w:color w:val="FF0000"/>
      <w:spacing w:val="8"/>
      <w:kern w:val="0"/>
      <w:sz w:val="24"/>
    </w:rPr>
  </w:style>
  <w:style w:type="paragraph" w:customStyle="1" w:styleId="154">
    <w:name w:val="TOC 标题1"/>
    <w:basedOn w:val="4"/>
    <w:next w:val="1"/>
    <w:qFormat/>
    <w:uiPriority w:val="39"/>
    <w:pPr>
      <w:widowControl/>
      <w:tabs>
        <w:tab w:val="clear" w:pos="432"/>
      </w:tabs>
      <w:spacing w:before="240" w:line="259" w:lineRule="auto"/>
      <w:jc w:val="left"/>
      <w:outlineLvl w:val="9"/>
    </w:pPr>
    <w:rPr>
      <w:rFonts w:ascii="Calibri Light" w:hAnsi="Calibri Light"/>
      <w:b w:val="0"/>
      <w:bCs w:val="0"/>
      <w:color w:val="2E74B5"/>
      <w:kern w:val="0"/>
      <w:sz w:val="32"/>
      <w:szCs w:val="32"/>
    </w:rPr>
  </w:style>
  <w:style w:type="paragraph" w:customStyle="1" w:styleId="155">
    <w:name w:val="样式 样式 (中文) 仿宋_GB2312 居中1 + 小四"/>
    <w:basedOn w:val="1"/>
    <w:qFormat/>
    <w:uiPriority w:val="0"/>
    <w:pPr>
      <w:jc w:val="center"/>
    </w:pPr>
    <w:rPr>
      <w:rFonts w:cs="宋体"/>
      <w:b/>
      <w:color w:val="000000"/>
      <w:szCs w:val="21"/>
    </w:rPr>
  </w:style>
  <w:style w:type="paragraph" w:customStyle="1" w:styleId="156">
    <w:name w:val="Char3"/>
    <w:basedOn w:val="1"/>
    <w:qFormat/>
    <w:uiPriority w:val="0"/>
    <w:pPr>
      <w:snapToGrid w:val="0"/>
      <w:spacing w:line="360" w:lineRule="auto"/>
      <w:ind w:firstLine="529" w:firstLineChars="200"/>
    </w:pPr>
    <w:rPr>
      <w:rFonts w:ascii="宋体" w:hAnsi="宋体"/>
      <w:b/>
    </w:rPr>
  </w:style>
  <w:style w:type="paragraph" w:customStyle="1" w:styleId="157">
    <w:name w:val="正文 32"/>
    <w:basedOn w:val="1"/>
    <w:qFormat/>
    <w:uiPriority w:val="0"/>
    <w:pPr>
      <w:autoSpaceDE w:val="0"/>
      <w:autoSpaceDN w:val="0"/>
      <w:adjustRightInd w:val="0"/>
      <w:spacing w:line="300" w:lineRule="auto"/>
      <w:ind w:firstLine="567"/>
    </w:pPr>
    <w:rPr>
      <w:rFonts w:eastAsia="楷体_GB2312"/>
      <w:kern w:val="0"/>
      <w:sz w:val="24"/>
      <w:szCs w:val="20"/>
    </w:rPr>
  </w:style>
  <w:style w:type="character" w:customStyle="1" w:styleId="158">
    <w:name w:val="报告表正文 Char"/>
    <w:link w:val="159"/>
    <w:qFormat/>
    <w:uiPriority w:val="0"/>
    <w:rPr>
      <w:bCs/>
      <w:smallCaps/>
      <w:color w:val="000000" w:themeColor="text1"/>
      <w:kern w:val="2"/>
      <w:sz w:val="24"/>
      <w:szCs w:val="24"/>
      <w:lang w:val="zh-CN"/>
      <w14:textFill>
        <w14:solidFill>
          <w14:schemeClr w14:val="tx1"/>
        </w14:solidFill>
      </w14:textFill>
    </w:rPr>
  </w:style>
  <w:style w:type="paragraph" w:customStyle="1" w:styleId="159">
    <w:name w:val="报告表正文"/>
    <w:basedOn w:val="1"/>
    <w:link w:val="158"/>
    <w:qFormat/>
    <w:uiPriority w:val="0"/>
    <w:pPr>
      <w:spacing w:line="360" w:lineRule="auto"/>
      <w:ind w:firstLine="480" w:firstLineChars="200"/>
    </w:pPr>
    <w:rPr>
      <w:bCs/>
      <w:smallCaps/>
      <w:color w:val="000000" w:themeColor="text1"/>
      <w:sz w:val="24"/>
      <w:lang w:val="zh-CN"/>
      <w14:textFill>
        <w14:solidFill>
          <w14:schemeClr w14:val="tx1"/>
        </w14:solidFill>
      </w14:textFill>
    </w:rPr>
  </w:style>
  <w:style w:type="table" w:customStyle="1" w:styleId="160">
    <w:name w:val="网格型1"/>
    <w:basedOn w:val="43"/>
    <w:qFormat/>
    <w:uiPriority w:val="39"/>
    <w:pPr>
      <w:widowControl w:val="0"/>
      <w:adjustRightInd w:val="0"/>
      <w:snapToGrid w:val="0"/>
      <w:jc w:val="both"/>
    </w:p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rPr>
        <w:rFonts w:eastAsia="Arial"/>
        <w:sz w:val="21"/>
      </w:rPr>
      <w:tcPr>
        <w:tcBorders>
          <w:top w:val="single" w:color="auto" w:sz="12" w:space="0"/>
          <w:left w:val="single" w:color="auto" w:sz="4" w:space="0"/>
          <w:bottom w:val="single" w:color="auto" w:sz="12" w:space="0"/>
          <w:right w:val="single" w:color="auto" w:sz="12" w:space="0"/>
          <w:insideH w:val="nil"/>
          <w:insideV w:val="single" w:sz="4" w:space="0"/>
          <w:tl2br w:val="nil"/>
          <w:tr2bl w:val="nil"/>
        </w:tcBorders>
        <w:shd w:val="clear" w:color="auto" w:fill="D8D8D8"/>
      </w:tcPr>
    </w:tblStylePr>
  </w:style>
  <w:style w:type="paragraph" w:customStyle="1" w:styleId="161">
    <w:name w:val="图题"/>
    <w:basedOn w:val="11"/>
    <w:qFormat/>
    <w:uiPriority w:val="0"/>
    <w:pPr>
      <w:numPr>
        <w:numId w:val="3"/>
      </w:numPr>
    </w:pPr>
    <w:rPr>
      <w:lang w:val="en-US"/>
    </w:rPr>
  </w:style>
  <w:style w:type="paragraph" w:customStyle="1" w:styleId="162">
    <w:name w:val="报告表表格"/>
    <w:qFormat/>
    <w:uiPriority w:val="0"/>
    <w:pPr>
      <w:jc w:val="center"/>
    </w:pPr>
    <w:rPr>
      <w:rFonts w:ascii="Times New Roman" w:hAnsi="Times New Roman" w:eastAsia="宋体" w:cs="Times New Roman"/>
      <w:color w:val="000000"/>
      <w:kern w:val="2"/>
      <w:sz w:val="21"/>
      <w:szCs w:val="22"/>
      <w:lang w:val="en-US" w:eastAsia="zh-CN" w:bidi="ar-SA"/>
    </w:rPr>
  </w:style>
  <w:style w:type="character" w:customStyle="1" w:styleId="163">
    <w:name w:val="普通(网站) 字符1"/>
    <w:link w:val="39"/>
    <w:qFormat/>
    <w:locked/>
    <w:uiPriority w:val="0"/>
    <w:rPr>
      <w:rFonts w:ascii="宋体" w:hAnsi="宋体"/>
      <w:sz w:val="24"/>
      <w:szCs w:val="24"/>
    </w:rPr>
  </w:style>
  <w:style w:type="character" w:customStyle="1" w:styleId="164">
    <w:name w:val="表格 Char"/>
    <w:link w:val="165"/>
    <w:qFormat/>
    <w:locked/>
    <w:uiPriority w:val="0"/>
    <w:rPr>
      <w:snapToGrid w:val="0"/>
      <w:kern w:val="21"/>
      <w:sz w:val="21"/>
      <w:szCs w:val="21"/>
    </w:rPr>
  </w:style>
  <w:style w:type="paragraph" w:customStyle="1" w:styleId="165">
    <w:name w:val="表格"/>
    <w:basedOn w:val="1"/>
    <w:next w:val="1"/>
    <w:link w:val="164"/>
    <w:qFormat/>
    <w:uiPriority w:val="0"/>
    <w:pPr>
      <w:framePr w:hSpace="180" w:wrap="around" w:vAnchor="text" w:hAnchor="text" w:xAlign="center" w:y="1"/>
      <w:suppressOverlap/>
      <w:adjustRightInd w:val="0"/>
      <w:snapToGrid w:val="0"/>
      <w:jc w:val="center"/>
    </w:pPr>
    <w:rPr>
      <w:snapToGrid w:val="0"/>
      <w:kern w:val="21"/>
      <w:szCs w:val="21"/>
    </w:rPr>
  </w:style>
  <w:style w:type="character" w:customStyle="1" w:styleId="166">
    <w:name w:val="font31"/>
    <w:basedOn w:val="47"/>
    <w:qFormat/>
    <w:uiPriority w:val="0"/>
    <w:rPr>
      <w:rFonts w:hint="eastAsia" w:ascii="宋体" w:hAnsi="宋体" w:eastAsia="宋体"/>
      <w:color w:val="000000"/>
      <w:sz w:val="21"/>
      <w:szCs w:val="21"/>
      <w:u w:val="none"/>
    </w:rPr>
  </w:style>
  <w:style w:type="character" w:customStyle="1" w:styleId="167">
    <w:name w:val="font21"/>
    <w:basedOn w:val="47"/>
    <w:qFormat/>
    <w:uiPriority w:val="0"/>
    <w:rPr>
      <w:rFonts w:hint="default" w:ascii="Times New Roman" w:hAnsi="Times New Roman" w:cs="Times New Roman"/>
      <w:color w:val="000000"/>
      <w:sz w:val="21"/>
      <w:szCs w:val="21"/>
      <w:u w:val="none"/>
    </w:rPr>
  </w:style>
  <w:style w:type="character" w:customStyle="1" w:styleId="168">
    <w:name w:val="font11"/>
    <w:basedOn w:val="47"/>
    <w:qFormat/>
    <w:uiPriority w:val="0"/>
    <w:rPr>
      <w:rFonts w:hint="default" w:ascii="Times New Roman" w:hAnsi="Times New Roman" w:cs="Times New Roman"/>
      <w:color w:val="000000"/>
      <w:sz w:val="21"/>
      <w:szCs w:val="21"/>
      <w:u w:val="none"/>
      <w:vertAlign w:val="superscript"/>
    </w:rPr>
  </w:style>
  <w:style w:type="character" w:customStyle="1" w:styleId="169">
    <w:name w:val="列表段落 字符1"/>
    <w:link w:val="128"/>
    <w:qFormat/>
    <w:uiPriority w:val="34"/>
    <w:rPr>
      <w:kern w:val="2"/>
      <w:sz w:val="21"/>
      <w:szCs w:val="24"/>
    </w:rPr>
  </w:style>
  <w:style w:type="table" w:customStyle="1" w:styleId="170">
    <w:name w:val="标准表格"/>
    <w:basedOn w:val="43"/>
    <w:qFormat/>
    <w:uiPriority w:val="99"/>
    <w:pPr>
      <w:spacing w:before="74"/>
      <w:jc w:val="center"/>
    </w:pPr>
    <w:rPr>
      <w:sz w:val="18"/>
    </w:rPr>
    <w:tblPr>
      <w:jc w:val="center"/>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6" w:space="0"/>
        <w:insideV w:val="single" w:color="000000" w:themeColor="text1" w:sz="6" w:space="0"/>
      </w:tblBorders>
    </w:tblPr>
    <w:trPr>
      <w:jc w:val="center"/>
    </w:trPr>
    <w:tcPr>
      <w:shd w:val="clear" w:color="auto" w:fill="FFFFFF" w:themeFill="background1"/>
      <w:vAlign w:val="center"/>
    </w:tcPr>
    <w:tblStylePr w:type="firstRow">
      <w:pPr>
        <w:wordWrap/>
        <w:spacing w:beforeLines="0" w:beforeAutospacing="0" w:afterLines="0" w:afterAutospacing="0" w:line="240" w:lineRule="auto"/>
        <w:ind w:left="0" w:leftChars="0" w:right="0" w:rightChars="0" w:firstLine="0" w:firstLineChars="0"/>
        <w:jc w:val="center"/>
      </w:pPr>
      <w:rPr>
        <w:rFonts w:eastAsia="宋体"/>
        <w:sz w:val="18"/>
      </w:rPr>
      <w:tblPr/>
      <w:trPr>
        <w:tblHeader/>
      </w:trPr>
    </w:tblStylePr>
    <w:tblStylePr w:type="firstCol">
      <w:pPr>
        <w:jc w:val="center"/>
      </w:pPr>
    </w:tblStylePr>
  </w:style>
  <w:style w:type="paragraph" w:customStyle="1" w:styleId="171">
    <w:name w:val="表格填充内容"/>
    <w:basedOn w:val="18"/>
    <w:link w:val="173"/>
    <w:qFormat/>
    <w:uiPriority w:val="0"/>
    <w:rPr>
      <w:color w:val="FF0000"/>
    </w:rPr>
  </w:style>
  <w:style w:type="paragraph" w:customStyle="1" w:styleId="172">
    <w:name w:val="报告表正文标注文字"/>
    <w:basedOn w:val="159"/>
    <w:link w:val="174"/>
    <w:qFormat/>
    <w:uiPriority w:val="0"/>
    <w:pPr>
      <w:ind w:firstLine="482"/>
    </w:pPr>
    <w:rPr>
      <w:b/>
      <w:color w:val="FF0000"/>
    </w:rPr>
  </w:style>
  <w:style w:type="character" w:customStyle="1" w:styleId="173">
    <w:name w:val="表格填充内容 Char"/>
    <w:basedOn w:val="85"/>
    <w:link w:val="171"/>
    <w:qFormat/>
    <w:uiPriority w:val="0"/>
    <w:rPr>
      <w:color w:val="FF0000"/>
      <w:kern w:val="2"/>
      <w:sz w:val="21"/>
      <w:szCs w:val="24"/>
      <w:lang w:val="zh-CN"/>
    </w:rPr>
  </w:style>
  <w:style w:type="character" w:customStyle="1" w:styleId="174">
    <w:name w:val="报告表正文标注文字 Char"/>
    <w:basedOn w:val="158"/>
    <w:link w:val="172"/>
    <w:qFormat/>
    <w:uiPriority w:val="0"/>
    <w:rPr>
      <w:b/>
      <w:color w:val="FF0000"/>
      <w:kern w:val="2"/>
      <w:sz w:val="24"/>
      <w:szCs w:val="24"/>
      <w:lang w:val="zh-CN"/>
    </w:rPr>
  </w:style>
  <w:style w:type="paragraph" w:customStyle="1" w:styleId="175">
    <w:name w:val="修订1"/>
    <w:unhideWhenUsed/>
    <w:qFormat/>
    <w:uiPriority w:val="99"/>
    <w:rPr>
      <w:rFonts w:ascii="等线" w:hAnsi="等线" w:eastAsia="等线" w:cs="Times New Roman"/>
      <w:kern w:val="2"/>
      <w:sz w:val="21"/>
      <w:szCs w:val="24"/>
      <w:lang w:val="en-US" w:eastAsia="zh-CN" w:bidi="ar-SA"/>
    </w:rPr>
  </w:style>
  <w:style w:type="paragraph" w:customStyle="1" w:styleId="176">
    <w:name w:val="正文(邵)"/>
    <w:basedOn w:val="1"/>
    <w:qFormat/>
    <w:uiPriority w:val="0"/>
    <w:pPr>
      <w:widowControl/>
      <w:adjustRightInd w:val="0"/>
      <w:snapToGrid w:val="0"/>
      <w:spacing w:line="360" w:lineRule="auto"/>
      <w:ind w:firstLine="480"/>
      <w:jc w:val="left"/>
    </w:pPr>
    <w:rPr>
      <w:rFonts w:ascii="宋体" w:hAnsi="宋体" w:cs="宋体"/>
      <w:kern w:val="0"/>
      <w:sz w:val="24"/>
      <w:szCs w:val="20"/>
      <w:lang w:bidi="en-US"/>
    </w:rPr>
  </w:style>
  <w:style w:type="character" w:customStyle="1" w:styleId="177">
    <w:name w:val="报告正文 Char1"/>
    <w:link w:val="178"/>
    <w:qFormat/>
    <w:uiPriority w:val="0"/>
    <w:rPr>
      <w:rFonts w:eastAsia="仿宋_GB2312"/>
      <w:kern w:val="2"/>
      <w:sz w:val="24"/>
      <w:szCs w:val="24"/>
      <w:lang w:val="en-GB"/>
    </w:rPr>
  </w:style>
  <w:style w:type="paragraph" w:customStyle="1" w:styleId="178">
    <w:name w:val="报告正文"/>
    <w:basedOn w:val="1"/>
    <w:link w:val="177"/>
    <w:qFormat/>
    <w:uiPriority w:val="0"/>
    <w:pPr>
      <w:adjustRightInd w:val="0"/>
      <w:spacing w:line="360" w:lineRule="auto"/>
      <w:ind w:firstLine="480" w:firstLineChars="200"/>
    </w:pPr>
    <w:rPr>
      <w:rFonts w:eastAsia="仿宋_GB2312"/>
      <w:sz w:val="24"/>
      <w:lang w:val="en-GB"/>
    </w:rPr>
  </w:style>
  <w:style w:type="character" w:customStyle="1" w:styleId="179">
    <w:name w:val="a表格标题 Char"/>
    <w:link w:val="180"/>
    <w:qFormat/>
    <w:uiPriority w:val="0"/>
    <w:rPr>
      <w:b/>
      <w:sz w:val="21"/>
      <w:szCs w:val="21"/>
    </w:rPr>
  </w:style>
  <w:style w:type="paragraph" w:customStyle="1" w:styleId="180">
    <w:name w:val="a表格标题"/>
    <w:basedOn w:val="1"/>
    <w:link w:val="179"/>
    <w:qFormat/>
    <w:uiPriority w:val="0"/>
    <w:pPr>
      <w:widowControl/>
      <w:spacing w:line="360" w:lineRule="auto"/>
      <w:jc w:val="center"/>
    </w:pPr>
    <w:rPr>
      <w:b/>
      <w:kern w:val="0"/>
      <w:szCs w:val="21"/>
    </w:rPr>
  </w:style>
  <w:style w:type="paragraph" w:customStyle="1" w:styleId="181">
    <w:name w:val="Default1"/>
    <w:next w:val="1"/>
    <w:qFormat/>
    <w:uiPriority w:val="0"/>
    <w:pPr>
      <w:framePr w:hSpace="180" w:wrap="around" w:vAnchor="text" w:hAnchor="text" w:xAlign="center" w:y="1"/>
      <w:suppressOverlap/>
      <w:widowControl w:val="0"/>
      <w:autoSpaceDE w:val="0"/>
      <w:autoSpaceDN w:val="0"/>
      <w:adjustRightInd w:val="0"/>
      <w:jc w:val="center"/>
    </w:pPr>
    <w:rPr>
      <w:rFonts w:ascii="Times New Roman" w:hAnsi="Times New Roman" w:eastAsia="宋体" w:cs="Times New Roman"/>
      <w:color w:val="FF0000"/>
      <w:sz w:val="21"/>
      <w:szCs w:val="21"/>
      <w:lang w:val="en-US" w:eastAsia="zh-CN" w:bidi="ar-SA"/>
    </w:rPr>
  </w:style>
  <w:style w:type="character" w:customStyle="1" w:styleId="182">
    <w:name w:val="zw1"/>
    <w:qFormat/>
    <w:uiPriority w:val="0"/>
    <w:rPr>
      <w:rFonts w:hint="eastAsia" w:ascii="宋体" w:hAnsi="宋体" w:eastAsia="宋体"/>
      <w:sz w:val="22"/>
    </w:rPr>
  </w:style>
  <w:style w:type="paragraph" w:customStyle="1" w:styleId="183">
    <w:name w:val="表1表2"/>
    <w:basedOn w:val="1"/>
    <w:qFormat/>
    <w:uiPriority w:val="0"/>
    <w:pPr>
      <w:autoSpaceDE w:val="0"/>
      <w:autoSpaceDN w:val="0"/>
      <w:adjustRightInd w:val="0"/>
      <w:jc w:val="center"/>
      <w:textAlignment w:val="center"/>
    </w:pPr>
    <w:rPr>
      <w:rFonts w:eastAsia="仿宋体"/>
      <w:kern w:val="0"/>
      <w:sz w:val="24"/>
      <w:szCs w:val="20"/>
    </w:rPr>
  </w:style>
  <w:style w:type="character" w:customStyle="1" w:styleId="184">
    <w:name w:val="正文文本首行缩进 2 字符"/>
    <w:basedOn w:val="76"/>
    <w:link w:val="42"/>
    <w:qFormat/>
    <w:uiPriority w:val="99"/>
    <w:rPr>
      <w:spacing w:val="4"/>
      <w:kern w:val="2"/>
      <w:sz w:val="24"/>
      <w:szCs w:val="24"/>
    </w:rPr>
  </w:style>
  <w:style w:type="paragraph" w:customStyle="1" w:styleId="185">
    <w:name w:val="表格五号"/>
    <w:basedOn w:val="23"/>
    <w:qFormat/>
    <w:uiPriority w:val="0"/>
    <w:pPr>
      <w:autoSpaceDE/>
      <w:autoSpaceDN/>
      <w:snapToGrid w:val="0"/>
      <w:spacing w:line="240" w:lineRule="auto"/>
      <w:jc w:val="center"/>
    </w:pPr>
    <w:rPr>
      <w:rFonts w:ascii="Times New Roman" w:hAnsi="Times New Roman" w:cs="Courier New"/>
      <w:lang w:val="en-US"/>
    </w:rPr>
  </w:style>
  <w:style w:type="character" w:customStyle="1" w:styleId="186">
    <w:name w:val="表格中文字 Char"/>
    <w:link w:val="187"/>
    <w:qFormat/>
    <w:uiPriority w:val="0"/>
    <w:rPr>
      <w:kern w:val="18"/>
      <w:sz w:val="21"/>
      <w:szCs w:val="21"/>
    </w:rPr>
  </w:style>
  <w:style w:type="paragraph" w:customStyle="1" w:styleId="187">
    <w:name w:val="表格中文字"/>
    <w:basedOn w:val="1"/>
    <w:link w:val="186"/>
    <w:qFormat/>
    <w:uiPriority w:val="0"/>
    <w:pPr>
      <w:adjustRightInd w:val="0"/>
      <w:snapToGrid w:val="0"/>
      <w:jc w:val="center"/>
    </w:pPr>
    <w:rPr>
      <w:kern w:val="18"/>
      <w:szCs w:val="21"/>
    </w:rPr>
  </w:style>
  <w:style w:type="paragraph" w:customStyle="1" w:styleId="188">
    <w:name w:val="六表内容"/>
    <w:basedOn w:val="1"/>
    <w:qFormat/>
    <w:uiPriority w:val="0"/>
    <w:pPr>
      <w:spacing w:line="340" w:lineRule="exact"/>
      <w:jc w:val="center"/>
    </w:pPr>
    <w:rPr>
      <w:szCs w:val="21"/>
    </w:rPr>
  </w:style>
  <w:style w:type="character" w:customStyle="1" w:styleId="189">
    <w:name w:val="表格正文 Char Char"/>
    <w:link w:val="190"/>
    <w:qFormat/>
    <w:uiPriority w:val="0"/>
    <w:rPr>
      <w:rFonts w:ascii="宋体"/>
      <w:snapToGrid w:val="0"/>
      <w:spacing w:val="4"/>
      <w:sz w:val="21"/>
      <w:szCs w:val="21"/>
    </w:rPr>
  </w:style>
  <w:style w:type="paragraph" w:customStyle="1" w:styleId="190">
    <w:name w:val="表格正文"/>
    <w:basedOn w:val="1"/>
    <w:next w:val="1"/>
    <w:link w:val="189"/>
    <w:qFormat/>
    <w:uiPriority w:val="0"/>
    <w:pPr>
      <w:adjustRightInd w:val="0"/>
      <w:snapToGrid w:val="0"/>
      <w:jc w:val="center"/>
      <w:textAlignment w:val="baseline"/>
    </w:pPr>
    <w:rPr>
      <w:rFonts w:ascii="宋体"/>
      <w:snapToGrid w:val="0"/>
      <w:spacing w:val="4"/>
      <w:kern w:val="0"/>
      <w:szCs w:val="21"/>
    </w:rPr>
  </w:style>
  <w:style w:type="paragraph" w:customStyle="1" w:styleId="191">
    <w:name w:val="样式 标题 2"/>
    <w:basedOn w:val="5"/>
    <w:qFormat/>
    <w:uiPriority w:val="0"/>
    <w:pPr>
      <w:tabs>
        <w:tab w:val="clear" w:pos="576"/>
      </w:tabs>
      <w:adjustRightInd w:val="0"/>
      <w:snapToGrid w:val="0"/>
      <w:spacing w:beforeLines="50" w:after="50"/>
      <w:ind w:firstLine="510"/>
      <w:jc w:val="left"/>
      <w:textAlignment w:val="baseline"/>
    </w:pPr>
    <w:rPr>
      <w:rFonts w:ascii="黑体" w:hAnsi="Arial" w:eastAsia="黑体"/>
      <w:b w:val="0"/>
      <w:bCs w:val="0"/>
      <w:snapToGrid w:val="0"/>
      <w:spacing w:val="4"/>
      <w:kern w:val="0"/>
      <w:sz w:val="28"/>
      <w:szCs w:val="28"/>
      <w:lang w:val="en-US"/>
    </w:rPr>
  </w:style>
  <w:style w:type="paragraph" w:customStyle="1" w:styleId="192">
    <w:name w:val="表中正文标题"/>
    <w:basedOn w:val="1"/>
    <w:qFormat/>
    <w:uiPriority w:val="0"/>
    <w:pPr>
      <w:spacing w:line="360" w:lineRule="auto"/>
      <w:jc w:val="left"/>
    </w:pPr>
    <w:rPr>
      <w:b/>
      <w:spacing w:val="4"/>
      <w:sz w:val="28"/>
    </w:rPr>
  </w:style>
  <w:style w:type="character" w:customStyle="1" w:styleId="193">
    <w:name w:val="表头 Char1"/>
    <w:qFormat/>
    <w:uiPriority w:val="0"/>
    <w:rPr>
      <w:rFonts w:ascii="宋体"/>
      <w:spacing w:val="4"/>
      <w:kern w:val="2"/>
      <w:sz w:val="24"/>
      <w:szCs w:val="24"/>
    </w:rPr>
  </w:style>
  <w:style w:type="paragraph" w:customStyle="1" w:styleId="194">
    <w:name w:val="D正文"/>
    <w:basedOn w:val="1"/>
    <w:qFormat/>
    <w:uiPriority w:val="0"/>
    <w:pPr>
      <w:widowControl/>
      <w:snapToGrid w:val="0"/>
      <w:spacing w:line="360" w:lineRule="auto"/>
      <w:ind w:firstLine="480" w:firstLineChars="200"/>
    </w:pPr>
    <w:rPr>
      <w:color w:val="000000"/>
      <w:sz w:val="24"/>
      <w:szCs w:val="20"/>
    </w:rPr>
  </w:style>
  <w:style w:type="paragraph" w:customStyle="1" w:styleId="195">
    <w:name w:val="a表格内容1"/>
    <w:basedOn w:val="1"/>
    <w:link w:val="196"/>
    <w:qFormat/>
    <w:uiPriority w:val="0"/>
    <w:pPr>
      <w:widowControl/>
      <w:spacing w:line="360" w:lineRule="exact"/>
      <w:jc w:val="center"/>
    </w:pPr>
    <w:rPr>
      <w:iCs/>
      <w:color w:val="000000"/>
      <w:szCs w:val="21"/>
    </w:rPr>
  </w:style>
  <w:style w:type="character" w:customStyle="1" w:styleId="196">
    <w:name w:val="a表格内容1 Char"/>
    <w:link w:val="195"/>
    <w:qFormat/>
    <w:uiPriority w:val="0"/>
    <w:rPr>
      <w:iCs/>
      <w:color w:val="000000"/>
      <w:kern w:val="2"/>
      <w:sz w:val="21"/>
      <w:szCs w:val="21"/>
    </w:rPr>
  </w:style>
  <w:style w:type="paragraph" w:styleId="197">
    <w:name w:val="No Spacing"/>
    <w:link w:val="198"/>
    <w:qFormat/>
    <w:uiPriority w:val="1"/>
    <w:rPr>
      <w:rFonts w:asciiTheme="minorHAnsi" w:hAnsiTheme="minorHAnsi" w:eastAsiaTheme="minorEastAsia" w:cstheme="minorBidi"/>
      <w:sz w:val="22"/>
      <w:szCs w:val="22"/>
      <w:lang w:val="en-US" w:eastAsia="zh-CN" w:bidi="ar-SA"/>
    </w:rPr>
  </w:style>
  <w:style w:type="character" w:customStyle="1" w:styleId="198">
    <w:name w:val="无间隔 字符"/>
    <w:basedOn w:val="47"/>
    <w:link w:val="197"/>
    <w:qFormat/>
    <w:uiPriority w:val="1"/>
    <w:rPr>
      <w:rFonts w:asciiTheme="minorHAnsi" w:hAnsiTheme="minorHAnsi" w:eastAsiaTheme="minorEastAsia" w:cstheme="minorBidi"/>
      <w:sz w:val="22"/>
      <w:szCs w:val="22"/>
    </w:rPr>
  </w:style>
  <w:style w:type="paragraph" w:customStyle="1" w:styleId="199">
    <w:name w:val="TOC 标题2"/>
    <w:basedOn w:val="4"/>
    <w:next w:val="1"/>
    <w:unhideWhenUsed/>
    <w:qFormat/>
    <w:uiPriority w:val="39"/>
    <w:pPr>
      <w:widowControl/>
      <w:tabs>
        <w:tab w:val="clear" w:pos="432"/>
      </w:tabs>
      <w:spacing w:before="480" w:line="276" w:lineRule="auto"/>
      <w:jc w:val="left"/>
      <w:outlineLvl w:val="9"/>
    </w:pPr>
    <w:rPr>
      <w:rFonts w:asciiTheme="majorHAnsi" w:hAnsiTheme="majorHAnsi" w:eastAsiaTheme="majorEastAsia" w:cstheme="majorBidi"/>
      <w:color w:val="2E75B6" w:themeColor="accent1" w:themeShade="BF"/>
      <w:kern w:val="0"/>
      <w:szCs w:val="28"/>
    </w:rPr>
  </w:style>
  <w:style w:type="paragraph" w:customStyle="1" w:styleId="200">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201">
    <w:name w:val="l-btn-left2"/>
    <w:basedOn w:val="47"/>
    <w:qFormat/>
    <w:uiPriority w:val="0"/>
    <w:rPr>
      <w:kern w:val="2"/>
      <w:sz w:val="21"/>
    </w:rPr>
  </w:style>
  <w:style w:type="paragraph" w:customStyle="1" w:styleId="202">
    <w:name w:val="font5"/>
    <w:basedOn w:val="1"/>
    <w:qFormat/>
    <w:uiPriority w:val="0"/>
    <w:pPr>
      <w:widowControl/>
      <w:spacing w:before="100" w:beforeAutospacing="1" w:after="100" w:afterAutospacing="1"/>
      <w:jc w:val="left"/>
    </w:pPr>
    <w:rPr>
      <w:rFonts w:hint="eastAsia" w:ascii="宋体" w:hAnsi="宋体" w:eastAsia="华康简宋"/>
      <w:kern w:val="0"/>
      <w:sz w:val="18"/>
      <w:szCs w:val="18"/>
    </w:rPr>
  </w:style>
  <w:style w:type="paragraph" w:customStyle="1" w:styleId="203">
    <w:name w:val="aa正文"/>
    <w:basedOn w:val="1"/>
    <w:qFormat/>
    <w:uiPriority w:val="0"/>
    <w:pPr>
      <w:spacing w:line="360" w:lineRule="auto"/>
      <w:ind w:firstLine="200" w:firstLineChars="200"/>
    </w:pPr>
    <w:rPr>
      <w:rFonts w:ascii="Calibri" w:hAnsi="Calibri"/>
      <w:sz w:val="24"/>
    </w:rPr>
  </w:style>
  <w:style w:type="paragraph" w:customStyle="1" w:styleId="204">
    <w:name w:val="B正文"/>
    <w:basedOn w:val="1"/>
    <w:qFormat/>
    <w:uiPriority w:val="0"/>
    <w:pPr>
      <w:spacing w:line="360" w:lineRule="auto"/>
      <w:ind w:firstLine="200" w:firstLineChars="200"/>
    </w:pPr>
    <w:rPr>
      <w:kern w:val="0"/>
      <w:sz w:val="24"/>
    </w:rPr>
  </w:style>
  <w:style w:type="paragraph" w:customStyle="1" w:styleId="205">
    <w:name w:val="Table Paragraph"/>
    <w:basedOn w:val="1"/>
    <w:unhideWhenUsed/>
    <w:qFormat/>
    <w:uiPriority w:val="1"/>
    <w:rPr>
      <w:szCs w:val="20"/>
    </w:rPr>
  </w:style>
  <w:style w:type="paragraph" w:customStyle="1" w:styleId="206">
    <w:name w:val="A0正文"/>
    <w:basedOn w:val="1"/>
    <w:link w:val="207"/>
    <w:qFormat/>
    <w:uiPriority w:val="0"/>
    <w:pPr>
      <w:spacing w:line="560" w:lineRule="exact"/>
      <w:ind w:firstLine="200" w:firstLineChars="200"/>
    </w:pPr>
    <w:rPr>
      <w:rFonts w:cs="宋体"/>
      <w:sz w:val="24"/>
      <w:szCs w:val="20"/>
      <w:lang w:val="zh-CN"/>
    </w:rPr>
  </w:style>
  <w:style w:type="character" w:customStyle="1" w:styleId="207">
    <w:name w:val="A0正文 Char"/>
    <w:link w:val="206"/>
    <w:qFormat/>
    <w:uiPriority w:val="0"/>
    <w:rPr>
      <w:rFonts w:cs="宋体"/>
      <w:kern w:val="2"/>
      <w:sz w:val="24"/>
      <w:lang w:val="zh-CN"/>
    </w:rPr>
  </w:style>
  <w:style w:type="paragraph" w:customStyle="1" w:styleId="208">
    <w:name w:val="A表内"/>
    <w:basedOn w:val="1"/>
    <w:link w:val="209"/>
    <w:qFormat/>
    <w:uiPriority w:val="0"/>
    <w:pPr>
      <w:spacing w:line="0" w:lineRule="atLeast"/>
      <w:jc w:val="center"/>
    </w:pPr>
    <w:rPr>
      <w:rFonts w:cs="宋体"/>
      <w:szCs w:val="20"/>
    </w:rPr>
  </w:style>
  <w:style w:type="character" w:customStyle="1" w:styleId="209">
    <w:name w:val="A表内 Char"/>
    <w:link w:val="208"/>
    <w:qFormat/>
    <w:locked/>
    <w:uiPriority w:val="0"/>
    <w:rPr>
      <w:rFonts w:cs="宋体"/>
      <w:kern w:val="2"/>
      <w:sz w:val="21"/>
    </w:rPr>
  </w:style>
  <w:style w:type="paragraph" w:customStyle="1" w:styleId="210">
    <w:name w:val="【】1级"/>
    <w:basedOn w:val="4"/>
    <w:next w:val="1"/>
    <w:qFormat/>
    <w:uiPriority w:val="0"/>
    <w:pPr>
      <w:pageBreakBefore/>
      <w:numPr>
        <w:ilvl w:val="0"/>
        <w:numId w:val="4"/>
      </w:numPr>
      <w:tabs>
        <w:tab w:val="clear" w:pos="432"/>
      </w:tabs>
      <w:spacing w:beforeLines="50"/>
      <w:jc w:val="left"/>
    </w:pPr>
    <w:rPr>
      <w:rFonts w:eastAsia="黑体" w:cs="宋体"/>
      <w:kern w:val="2"/>
      <w:sz w:val="32"/>
      <w:szCs w:val="20"/>
    </w:rPr>
  </w:style>
  <w:style w:type="paragraph" w:customStyle="1" w:styleId="211">
    <w:name w:val="【】2级"/>
    <w:basedOn w:val="5"/>
    <w:next w:val="212"/>
    <w:qFormat/>
    <w:uiPriority w:val="0"/>
    <w:pPr>
      <w:keepNext w:val="0"/>
      <w:keepLines w:val="0"/>
      <w:numPr>
        <w:ilvl w:val="1"/>
        <w:numId w:val="4"/>
      </w:numPr>
      <w:tabs>
        <w:tab w:val="clear" w:pos="576"/>
      </w:tabs>
      <w:spacing w:line="500" w:lineRule="exact"/>
    </w:pPr>
    <w:rPr>
      <w:rFonts w:eastAsia="黑体" w:cs="宋体"/>
      <w:b w:val="0"/>
      <w:bCs w:val="0"/>
      <w:sz w:val="28"/>
      <w:szCs w:val="20"/>
      <w:lang w:val="en-US"/>
    </w:rPr>
  </w:style>
  <w:style w:type="paragraph" w:customStyle="1" w:styleId="212">
    <w:name w:val="【】3级"/>
    <w:basedOn w:val="6"/>
    <w:next w:val="213"/>
    <w:qFormat/>
    <w:uiPriority w:val="0"/>
    <w:pPr>
      <w:numPr>
        <w:ilvl w:val="2"/>
        <w:numId w:val="4"/>
      </w:numPr>
      <w:adjustRightInd/>
      <w:spacing w:line="500" w:lineRule="exact"/>
      <w:ind w:firstLineChars="0"/>
    </w:pPr>
    <w:rPr>
      <w:rFonts w:eastAsia="黑体" w:cs="宋体"/>
      <w:b w:val="0"/>
      <w:spacing w:val="6"/>
      <w:kern w:val="0"/>
      <w:szCs w:val="20"/>
    </w:rPr>
  </w:style>
  <w:style w:type="paragraph" w:customStyle="1" w:styleId="213">
    <w:name w:val="【】4级"/>
    <w:basedOn w:val="7"/>
    <w:next w:val="214"/>
    <w:qFormat/>
    <w:uiPriority w:val="0"/>
    <w:pPr>
      <w:numPr>
        <w:ilvl w:val="3"/>
        <w:numId w:val="4"/>
      </w:numPr>
      <w:tabs>
        <w:tab w:val="clear" w:pos="864"/>
      </w:tabs>
      <w:spacing w:before="0" w:after="0" w:line="500" w:lineRule="exact"/>
      <w:outlineLvl w:val="9"/>
    </w:pPr>
    <w:rPr>
      <w:rFonts w:ascii="Times New Roman" w:hAnsi="Times New Roman" w:cstheme="majorBidi"/>
      <w:b w:val="0"/>
      <w:sz w:val="24"/>
    </w:rPr>
  </w:style>
  <w:style w:type="paragraph" w:customStyle="1" w:styleId="214">
    <w:name w:val="【】5级"/>
    <w:basedOn w:val="8"/>
    <w:next w:val="206"/>
    <w:qFormat/>
    <w:uiPriority w:val="0"/>
    <w:pPr>
      <w:numPr>
        <w:ilvl w:val="4"/>
        <w:numId w:val="4"/>
      </w:numPr>
      <w:tabs>
        <w:tab w:val="clear" w:pos="1008"/>
      </w:tabs>
      <w:spacing w:before="0" w:after="0" w:line="500" w:lineRule="exact"/>
      <w:outlineLvl w:val="9"/>
    </w:pPr>
    <w:rPr>
      <w:rFonts w:eastAsia="黑体" w:cstheme="minorBidi"/>
      <w:b w:val="0"/>
      <w:sz w:val="24"/>
    </w:rPr>
  </w:style>
  <w:style w:type="paragraph" w:customStyle="1" w:styleId="215">
    <w:name w:val="【】表头"/>
    <w:basedOn w:val="1"/>
    <w:next w:val="208"/>
    <w:qFormat/>
    <w:uiPriority w:val="0"/>
    <w:pPr>
      <w:numPr>
        <w:ilvl w:val="5"/>
        <w:numId w:val="4"/>
      </w:numPr>
      <w:spacing w:beforeLines="50" w:line="240" w:lineRule="atLeast"/>
      <w:jc w:val="center"/>
      <w:outlineLvl w:val="5"/>
    </w:pPr>
    <w:rPr>
      <w:rFonts w:eastAsia="黑体" w:cs="宋体"/>
      <w:sz w:val="22"/>
      <w:szCs w:val="20"/>
    </w:rPr>
  </w:style>
  <w:style w:type="paragraph" w:customStyle="1" w:styleId="216">
    <w:name w:val="【】图名"/>
    <w:basedOn w:val="215"/>
    <w:next w:val="206"/>
    <w:qFormat/>
    <w:uiPriority w:val="0"/>
    <w:pPr>
      <w:numPr>
        <w:ilvl w:val="6"/>
      </w:numPr>
      <w:spacing w:beforeLines="0" w:afterLines="50"/>
      <w:outlineLvl w:val="6"/>
    </w:pPr>
  </w:style>
  <w:style w:type="table" w:customStyle="1" w:styleId="217">
    <w:name w:val="A表格样式2"/>
    <w:basedOn w:val="43"/>
    <w:qFormat/>
    <w:uiPriority w:val="0"/>
    <w:pPr>
      <w:widowControl w:val="0"/>
      <w:jc w:val="center"/>
    </w:pPr>
    <w:tblPr>
      <w:tblBorders>
        <w:top w:val="single" w:color="000000" w:sz="12" w:space="0"/>
        <w:bottom w:val="single" w:color="000000" w:sz="12" w:space="0"/>
        <w:insideH w:val="single" w:color="auto" w:sz="4" w:space="0"/>
        <w:insideV w:val="single" w:color="auto" w:sz="4" w:space="0"/>
      </w:tblBorders>
      <w:tblCellMar>
        <w:left w:w="0" w:type="dxa"/>
        <w:right w:w="0" w:type="dxa"/>
      </w:tblCellMar>
    </w:tblPr>
    <w:tcPr>
      <w:vAlign w:val="center"/>
    </w:tcPr>
    <w:tblStylePr w:type="firstRow">
      <w:rPr>
        <w:rFonts w:ascii="宋体" w:hAnsi="宋体" w:eastAsia="宋体"/>
        <w:b/>
        <w:sz w:val="21"/>
      </w:rPr>
    </w:tblStylePr>
  </w:style>
  <w:style w:type="table" w:customStyle="1" w:styleId="218">
    <w:name w:val="A表格样式"/>
    <w:basedOn w:val="43"/>
    <w:qFormat/>
    <w:uiPriority w:val="0"/>
    <w:pPr>
      <w:widowControl w:val="0"/>
      <w:jc w:val="center"/>
    </w:pPr>
    <w:tblPr>
      <w:tblBorders>
        <w:top w:val="single" w:color="000000" w:sz="12" w:space="0"/>
        <w:bottom w:val="single" w:color="000000" w:sz="12" w:space="0"/>
        <w:insideH w:val="single" w:color="auto" w:sz="4" w:space="0"/>
        <w:insideV w:val="single" w:color="auto" w:sz="4" w:space="0"/>
      </w:tblBorders>
      <w:tblCellMar>
        <w:left w:w="0" w:type="dxa"/>
        <w:right w:w="0" w:type="dxa"/>
      </w:tblCellMar>
    </w:tblPr>
    <w:tcPr>
      <w:vAlign w:val="center"/>
    </w:tcPr>
    <w:tblStylePr w:type="firstRow">
      <w:rPr>
        <w:rFonts w:ascii="宋体" w:hAnsi="宋体" w:eastAsia="宋体"/>
        <w:b/>
        <w:sz w:val="21"/>
      </w:rPr>
    </w:tblStylePr>
  </w:style>
  <w:style w:type="paragraph" w:customStyle="1" w:styleId="219">
    <w:name w:val="【】正文"/>
    <w:basedOn w:val="206"/>
    <w:qFormat/>
    <w:uiPriority w:val="0"/>
    <w:pPr>
      <w:spacing w:line="240" w:lineRule="auto"/>
      <w:ind w:firstLine="0" w:firstLineChars="0"/>
      <w:jc w:val="left"/>
    </w:pPr>
    <w:rPr>
      <w:lang w:val="en-US"/>
    </w:rPr>
  </w:style>
  <w:style w:type="character" w:customStyle="1" w:styleId="220">
    <w:name w:val="标题 1 字符"/>
    <w:basedOn w:val="47"/>
    <w:link w:val="4"/>
    <w:qFormat/>
    <w:uiPriority w:val="9"/>
    <w:rPr>
      <w:b/>
      <w:bCs/>
      <w:kern w:val="44"/>
      <w:sz w:val="28"/>
      <w:szCs w:val="44"/>
    </w:rPr>
  </w:style>
  <w:style w:type="character" w:customStyle="1" w:styleId="221">
    <w:name w:val="标题 3 字符"/>
    <w:basedOn w:val="47"/>
    <w:link w:val="6"/>
    <w:qFormat/>
    <w:uiPriority w:val="9"/>
    <w:rPr>
      <w:b/>
      <w:bCs/>
      <w:kern w:val="2"/>
      <w:sz w:val="24"/>
      <w:szCs w:val="24"/>
    </w:rPr>
  </w:style>
  <w:style w:type="table" w:customStyle="1" w:styleId="222">
    <w:name w:val="A表格样式1"/>
    <w:basedOn w:val="43"/>
    <w:qFormat/>
    <w:uiPriority w:val="0"/>
    <w:pPr>
      <w:widowControl w:val="0"/>
      <w:jc w:val="center"/>
    </w:pPr>
    <w:rPr>
      <w:rFonts w:ascii="Calibri" w:hAnsi="Calibri"/>
    </w:rPr>
    <w:tblPr>
      <w:tblBorders>
        <w:top w:val="single" w:color="000000" w:sz="12" w:space="0"/>
        <w:bottom w:val="single" w:color="000000" w:sz="12" w:space="0"/>
        <w:insideH w:val="single" w:color="auto" w:sz="4" w:space="0"/>
        <w:insideV w:val="single" w:color="auto" w:sz="4" w:space="0"/>
      </w:tblBorders>
    </w:tblPr>
    <w:tcPr>
      <w:vAlign w:val="center"/>
    </w:tcPr>
  </w:style>
  <w:style w:type="table" w:customStyle="1" w:styleId="223">
    <w:name w:val="A表样式1"/>
    <w:basedOn w:val="43"/>
    <w:qFormat/>
    <w:uiPriority w:val="99"/>
    <w:pPr>
      <w:widowControl w:val="0"/>
      <w:jc w:val="center"/>
    </w:pPr>
    <w:rPr>
      <w:rFonts w:ascii="Calibri" w:hAnsi="Calibri"/>
    </w:rPr>
    <w:tblPr>
      <w:tblBorders>
        <w:top w:val="single" w:color="auto" w:sz="4" w:space="0"/>
        <w:bottom w:val="single" w:color="auto" w:sz="4" w:space="0"/>
        <w:insideH w:val="single" w:color="auto" w:sz="4" w:space="0"/>
        <w:insideV w:val="single" w:color="auto" w:sz="4" w:space="0"/>
      </w:tblBorders>
    </w:tblPr>
    <w:tcPr>
      <w:shd w:val="clear" w:color="auto" w:fill="auto"/>
      <w:vAlign w:val="center"/>
    </w:tcPr>
    <w:tblStylePr w:type="firstRow">
      <w:tcPr>
        <w:tcBorders>
          <w:top w:val="single" w:color="auto" w:sz="12" w:space="0"/>
          <w:left w:val="nil"/>
          <w:bottom w:val="nil"/>
          <w:right w:val="nil"/>
          <w:insideH w:val="nil"/>
          <w:insideV w:val="nil"/>
          <w:tl2br w:val="nil"/>
          <w:tr2bl w:val="nil"/>
        </w:tcBorders>
        <w:shd w:val="clear" w:color="auto" w:fill="auto"/>
      </w:tcPr>
    </w:tblStylePr>
    <w:tblStylePr w:type="lastRow">
      <w:tcPr>
        <w:tcBorders>
          <w:top w:val="single" w:color="008000" w:sz="6" w:space="0"/>
          <w:left w:val="nil"/>
          <w:bottom w:val="single" w:color="auto" w:sz="4" w:space="0"/>
          <w:right w:val="nil"/>
          <w:insideH w:val="nil"/>
          <w:insideV w:val="nil"/>
          <w:tl2br w:val="nil"/>
          <w:tr2bl w:val="nil"/>
        </w:tcBorders>
        <w:shd w:val="clear" w:color="auto" w:fill="auto"/>
      </w:tcPr>
    </w:tblStylePr>
  </w:style>
  <w:style w:type="paragraph" w:customStyle="1" w:styleId="224">
    <w:name w:val="A图片"/>
    <w:basedOn w:val="216"/>
    <w:next w:val="216"/>
    <w:qFormat/>
    <w:uiPriority w:val="0"/>
    <w:pPr>
      <w:numPr>
        <w:ilvl w:val="0"/>
        <w:numId w:val="0"/>
      </w:numPr>
      <w:spacing w:afterLines="0"/>
      <w:outlineLvl w:val="9"/>
    </w:pPr>
  </w:style>
  <w:style w:type="paragraph" w:customStyle="1" w:styleId="225">
    <w:name w:val="A注明"/>
    <w:basedOn w:val="1"/>
    <w:qFormat/>
    <w:uiPriority w:val="0"/>
    <w:rPr>
      <w:b/>
      <w:color w:val="000000"/>
      <w:sz w:val="18"/>
      <w:szCs w:val="18"/>
    </w:rPr>
  </w:style>
  <w:style w:type="character" w:customStyle="1" w:styleId="226">
    <w:name w:val="标题 4 字符"/>
    <w:basedOn w:val="47"/>
    <w:link w:val="7"/>
    <w:qFormat/>
    <w:uiPriority w:val="9"/>
    <w:rPr>
      <w:rFonts w:ascii="Arial" w:hAnsi="Arial" w:eastAsia="黑体"/>
      <w:b/>
      <w:bCs/>
      <w:kern w:val="2"/>
      <w:sz w:val="28"/>
      <w:szCs w:val="28"/>
    </w:rPr>
  </w:style>
  <w:style w:type="character" w:customStyle="1" w:styleId="227">
    <w:name w:val="标题 5 字符"/>
    <w:basedOn w:val="47"/>
    <w:link w:val="8"/>
    <w:qFormat/>
    <w:uiPriority w:val="9"/>
    <w:rPr>
      <w:b/>
      <w:bCs/>
      <w:kern w:val="2"/>
      <w:sz w:val="28"/>
      <w:szCs w:val="28"/>
    </w:rPr>
  </w:style>
  <w:style w:type="paragraph" w:customStyle="1" w:styleId="228">
    <w:name w:val="A表左"/>
    <w:basedOn w:val="208"/>
    <w:qFormat/>
    <w:uiPriority w:val="0"/>
    <w:pPr>
      <w:jc w:val="left"/>
    </w:pPr>
  </w:style>
  <w:style w:type="character" w:customStyle="1" w:styleId="229">
    <w:name w:val="批注框文本 字符"/>
    <w:basedOn w:val="47"/>
    <w:link w:val="26"/>
    <w:qFormat/>
    <w:uiPriority w:val="99"/>
    <w:rPr>
      <w:kern w:val="2"/>
      <w:sz w:val="18"/>
      <w:szCs w:val="18"/>
    </w:rPr>
  </w:style>
  <w:style w:type="paragraph" w:customStyle="1" w:styleId="230">
    <w:name w:val="A专题标题"/>
    <w:basedOn w:val="210"/>
    <w:next w:val="211"/>
    <w:qFormat/>
    <w:uiPriority w:val="0"/>
    <w:pPr>
      <w:numPr>
        <w:numId w:val="5"/>
      </w:numPr>
    </w:pPr>
  </w:style>
  <w:style w:type="character" w:customStyle="1" w:styleId="231">
    <w:name w:val="批注主题 字符"/>
    <w:basedOn w:val="85"/>
    <w:link w:val="41"/>
    <w:qFormat/>
    <w:uiPriority w:val="99"/>
    <w:rPr>
      <w:b/>
      <w:bCs/>
      <w:kern w:val="2"/>
      <w:sz w:val="21"/>
      <w:szCs w:val="24"/>
      <w:lang w:val="zh-CN"/>
    </w:rPr>
  </w:style>
  <w:style w:type="paragraph" w:customStyle="1" w:styleId="232">
    <w:name w:val="A标题1级"/>
    <w:basedOn w:val="4"/>
    <w:next w:val="1"/>
    <w:qFormat/>
    <w:uiPriority w:val="0"/>
    <w:pPr>
      <w:pageBreakBefore/>
      <w:numPr>
        <w:ilvl w:val="0"/>
        <w:numId w:val="6"/>
      </w:numPr>
      <w:tabs>
        <w:tab w:val="clear" w:pos="432"/>
      </w:tabs>
      <w:spacing w:afterLines="100" w:line="500" w:lineRule="exact"/>
      <w:jc w:val="center"/>
    </w:pPr>
    <w:rPr>
      <w:rFonts w:eastAsia="黑体" w:cs="宋体"/>
      <w:kern w:val="2"/>
      <w:sz w:val="32"/>
      <w:szCs w:val="20"/>
    </w:rPr>
  </w:style>
  <w:style w:type="paragraph" w:customStyle="1" w:styleId="233">
    <w:name w:val="A标题2级"/>
    <w:basedOn w:val="5"/>
    <w:next w:val="1"/>
    <w:qFormat/>
    <w:uiPriority w:val="0"/>
    <w:pPr>
      <w:numPr>
        <w:ilvl w:val="1"/>
        <w:numId w:val="6"/>
      </w:numPr>
      <w:tabs>
        <w:tab w:val="clear" w:pos="576"/>
      </w:tabs>
      <w:spacing w:beforeLines="50" w:line="500" w:lineRule="exact"/>
    </w:pPr>
    <w:rPr>
      <w:rFonts w:eastAsia="黑体" w:cs="宋体"/>
      <w:b w:val="0"/>
      <w:bCs w:val="0"/>
      <w:sz w:val="28"/>
      <w:szCs w:val="20"/>
      <w:lang w:val="en-US"/>
    </w:rPr>
  </w:style>
  <w:style w:type="paragraph" w:customStyle="1" w:styleId="234">
    <w:name w:val="A标题3级"/>
    <w:basedOn w:val="6"/>
    <w:next w:val="1"/>
    <w:qFormat/>
    <w:uiPriority w:val="0"/>
    <w:pPr>
      <w:numPr>
        <w:ilvl w:val="2"/>
        <w:numId w:val="6"/>
      </w:numPr>
      <w:adjustRightInd/>
      <w:spacing w:beforeLines="50" w:line="500" w:lineRule="exact"/>
      <w:ind w:firstLineChars="0"/>
    </w:pPr>
    <w:rPr>
      <w:rFonts w:eastAsia="黑体" w:cs="宋体"/>
      <w:b w:val="0"/>
      <w:spacing w:val="6"/>
      <w:kern w:val="0"/>
      <w:szCs w:val="20"/>
    </w:rPr>
  </w:style>
  <w:style w:type="paragraph" w:customStyle="1" w:styleId="235">
    <w:name w:val="A标题4级"/>
    <w:basedOn w:val="7"/>
    <w:next w:val="1"/>
    <w:qFormat/>
    <w:uiPriority w:val="0"/>
    <w:pPr>
      <w:numPr>
        <w:ilvl w:val="3"/>
        <w:numId w:val="6"/>
      </w:numPr>
      <w:tabs>
        <w:tab w:val="clear" w:pos="864"/>
      </w:tabs>
      <w:spacing w:beforeLines="50" w:after="0" w:line="500" w:lineRule="exact"/>
    </w:pPr>
    <w:rPr>
      <w:rFonts w:ascii="Times New Roman" w:hAnsi="Times New Roman" w:cstheme="majorBidi"/>
      <w:b w:val="0"/>
      <w:sz w:val="24"/>
    </w:rPr>
  </w:style>
  <w:style w:type="paragraph" w:customStyle="1" w:styleId="236">
    <w:name w:val="A标题5级"/>
    <w:basedOn w:val="8"/>
    <w:next w:val="206"/>
    <w:qFormat/>
    <w:uiPriority w:val="0"/>
    <w:pPr>
      <w:numPr>
        <w:ilvl w:val="4"/>
        <w:numId w:val="6"/>
      </w:numPr>
      <w:tabs>
        <w:tab w:val="clear" w:pos="1008"/>
      </w:tabs>
      <w:spacing w:beforeLines="50" w:after="0" w:line="500" w:lineRule="exact"/>
    </w:pPr>
    <w:rPr>
      <w:rFonts w:eastAsia="黑体" w:cstheme="minorBidi"/>
      <w:b w:val="0"/>
      <w:sz w:val="24"/>
    </w:rPr>
  </w:style>
  <w:style w:type="paragraph" w:customStyle="1" w:styleId="237">
    <w:name w:val="A表头"/>
    <w:basedOn w:val="1"/>
    <w:next w:val="208"/>
    <w:qFormat/>
    <w:uiPriority w:val="0"/>
    <w:pPr>
      <w:numPr>
        <w:ilvl w:val="5"/>
        <w:numId w:val="6"/>
      </w:numPr>
      <w:spacing w:beforeLines="50" w:line="240" w:lineRule="atLeast"/>
      <w:jc w:val="center"/>
      <w:outlineLvl w:val="5"/>
    </w:pPr>
    <w:rPr>
      <w:rFonts w:eastAsia="黑体" w:cs="宋体"/>
      <w:sz w:val="22"/>
      <w:szCs w:val="20"/>
    </w:rPr>
  </w:style>
  <w:style w:type="paragraph" w:customStyle="1" w:styleId="238">
    <w:name w:val="A图名"/>
    <w:basedOn w:val="237"/>
    <w:next w:val="206"/>
    <w:qFormat/>
    <w:uiPriority w:val="0"/>
    <w:pPr>
      <w:numPr>
        <w:ilvl w:val="6"/>
      </w:numPr>
      <w:spacing w:beforeLines="0" w:afterLines="50"/>
      <w:outlineLvl w:val="6"/>
    </w:pPr>
  </w:style>
  <w:style w:type="paragraph" w:customStyle="1" w:styleId="239">
    <w:name w:val="Abh正文"/>
    <w:basedOn w:val="1"/>
    <w:qFormat/>
    <w:uiPriority w:val="0"/>
    <w:pPr>
      <w:numPr>
        <w:ilvl w:val="0"/>
        <w:numId w:val="7"/>
      </w:numPr>
      <w:spacing w:line="560" w:lineRule="exact"/>
      <w:ind w:firstLine="200" w:firstLineChars="200"/>
    </w:pPr>
    <w:rPr>
      <w:rFonts w:cstheme="minorBidi"/>
      <w:sz w:val="24"/>
      <w:szCs w:val="22"/>
    </w:rPr>
  </w:style>
  <w:style w:type="paragraph" w:customStyle="1" w:styleId="240">
    <w:name w:val="A表中bh"/>
    <w:basedOn w:val="1"/>
    <w:qFormat/>
    <w:uiPriority w:val="0"/>
    <w:pPr>
      <w:numPr>
        <w:ilvl w:val="0"/>
        <w:numId w:val="8"/>
      </w:numPr>
      <w:spacing w:line="0" w:lineRule="atLeast"/>
      <w:jc w:val="center"/>
    </w:pPr>
    <w:rPr>
      <w:rFonts w:cs="宋体"/>
      <w:kern w:val="0"/>
      <w:szCs w:val="20"/>
    </w:rPr>
  </w:style>
  <w:style w:type="paragraph" w:customStyle="1" w:styleId="241">
    <w:name w:val="A表中"/>
    <w:basedOn w:val="1"/>
    <w:qFormat/>
    <w:uiPriority w:val="0"/>
    <w:pPr>
      <w:spacing w:line="0" w:lineRule="atLeast"/>
      <w:jc w:val="center"/>
    </w:pPr>
    <w:rPr>
      <w:rFonts w:cs="宋体"/>
      <w:szCs w:val="20"/>
    </w:rPr>
  </w:style>
  <w:style w:type="paragraph" w:customStyle="1" w:styleId="242">
    <w:name w:val="A表右"/>
    <w:basedOn w:val="241"/>
    <w:qFormat/>
    <w:uiPriority w:val="0"/>
    <w:pPr>
      <w:jc w:val="right"/>
    </w:pPr>
    <w:rPr>
      <w:kern w:val="0"/>
    </w:rPr>
  </w:style>
  <w:style w:type="paragraph" w:customStyle="1" w:styleId="243">
    <w:name w:val="A28正文 c+q"/>
    <w:basedOn w:val="1"/>
    <w:qFormat/>
    <w:uiPriority w:val="0"/>
    <w:pPr>
      <w:adjustRightInd w:val="0"/>
      <w:snapToGrid w:val="0"/>
      <w:spacing w:line="560" w:lineRule="atLeast"/>
      <w:ind w:firstLine="200" w:firstLineChars="200"/>
    </w:pPr>
    <w:rPr>
      <w:rFonts w:cs="宋体"/>
      <w:sz w:val="24"/>
      <w:szCs w:val="20"/>
      <w:lang w:val="zh-CN"/>
    </w:rPr>
  </w:style>
  <w:style w:type="character" w:customStyle="1" w:styleId="244">
    <w:name w:val="正文文本缩进 2 字符1"/>
    <w:basedOn w:val="47"/>
    <w:semiHidden/>
    <w:qFormat/>
    <w:uiPriority w:val="99"/>
    <w:rPr>
      <w:rFonts w:ascii="Times New Roman" w:hAnsi="Times New Roman" w:eastAsia="宋体"/>
    </w:rPr>
  </w:style>
  <w:style w:type="table" w:customStyle="1" w:styleId="245">
    <w:name w:val="Table Normal"/>
    <w:unhideWhenUsed/>
    <w:qFormat/>
    <w:uiPriority w:val="0"/>
    <w:pPr>
      <w:widowControl w:val="0"/>
      <w:autoSpaceDE w:val="0"/>
      <w:autoSpaceDN w:val="0"/>
    </w:pPr>
    <w:rPr>
      <w:sz w:val="22"/>
      <w:lang w:eastAsia="en-US"/>
    </w:rPr>
    <w:tblPr>
      <w:tblCellMar>
        <w:top w:w="0" w:type="dxa"/>
        <w:left w:w="0" w:type="dxa"/>
        <w:bottom w:w="0" w:type="dxa"/>
        <w:right w:w="0" w:type="dxa"/>
      </w:tblCellMar>
    </w:tblPr>
  </w:style>
  <w:style w:type="character" w:customStyle="1" w:styleId="246">
    <w:name w:val="fontstyle21"/>
    <w:basedOn w:val="47"/>
    <w:qFormat/>
    <w:uiPriority w:val="0"/>
    <w:rPr>
      <w:rFonts w:hint="default" w:ascii="TimesNewRomanPSMT" w:hAnsi="TimesNewRomanPSMT"/>
      <w:color w:val="000000"/>
      <w:sz w:val="18"/>
      <w:szCs w:val="18"/>
    </w:rPr>
  </w:style>
  <w:style w:type="character" w:customStyle="1" w:styleId="247">
    <w:name w:val="fontstyle11"/>
    <w:basedOn w:val="47"/>
    <w:qFormat/>
    <w:uiPriority w:val="0"/>
    <w:rPr>
      <w:rFonts w:hint="eastAsia" w:ascii="宋体" w:hAnsi="宋体" w:eastAsia="宋体"/>
      <w:color w:val="000000"/>
      <w:sz w:val="18"/>
      <w:szCs w:val="18"/>
    </w:rPr>
  </w:style>
  <w:style w:type="paragraph" w:customStyle="1" w:styleId="248">
    <w:name w:val="D表内1磅"/>
    <w:basedOn w:val="1"/>
    <w:qFormat/>
    <w:uiPriority w:val="0"/>
    <w:pPr>
      <w:jc w:val="center"/>
    </w:pPr>
    <w:rPr>
      <w:rFonts w:cs="宋体"/>
      <w:spacing w:val="4"/>
      <w:szCs w:val="21"/>
    </w:rPr>
  </w:style>
  <w:style w:type="paragraph" w:customStyle="1" w:styleId="249">
    <w:name w:val="表格内文字"/>
    <w:basedOn w:val="1"/>
    <w:qFormat/>
    <w:uiPriority w:val="0"/>
    <w:pPr>
      <w:adjustRightInd w:val="0"/>
      <w:jc w:val="center"/>
    </w:pPr>
    <w:rPr>
      <w:kern w:val="0"/>
      <w:szCs w:val="20"/>
    </w:rPr>
  </w:style>
  <w:style w:type="table" w:customStyle="1" w:styleId="250">
    <w:name w:val="D新表"/>
    <w:basedOn w:val="43"/>
    <w:qFormat/>
    <w:uiPriority w:val="0"/>
    <w:pPr>
      <w:spacing w:before="40" w:after="40" w:line="240" w:lineRule="atLeast"/>
      <w:jc w:val="center"/>
    </w:pPr>
    <w:rPr>
      <w:szCs w:val="21"/>
    </w:rPr>
    <w:tblPr>
      <w:tblBorders>
        <w:top w:val="thinThickSmallGap" w:color="auto" w:sz="18" w:space="0"/>
        <w:left w:val="single" w:color="auto" w:sz="4" w:space="0"/>
        <w:bottom w:val="thickThinSmallGap" w:color="auto" w:sz="18" w:space="0"/>
        <w:right w:val="single" w:color="auto" w:sz="4" w:space="0"/>
        <w:insideH w:val="single" w:color="auto" w:sz="4" w:space="0"/>
        <w:insideV w:val="single" w:color="auto" w:sz="4" w:space="0"/>
      </w:tblBorders>
    </w:tblPr>
    <w:tcPr>
      <w:vAlign w:val="center"/>
    </w:tcPr>
    <w:tblStylePr w:type="firstRow">
      <w:tcPr>
        <w:tcBorders>
          <w:top w:val="thinThickSmallGap" w:color="auto" w:sz="18" w:space="0"/>
          <w:bottom w:val="single" w:color="auto" w:sz="4" w:space="0"/>
        </w:tcBorders>
      </w:tcPr>
    </w:tblStylePr>
    <w:tblStylePr w:type="nwCell">
      <w:tcPr>
        <w:tcBorders>
          <w:tl2br w:val="nil"/>
          <w:tr2bl w:val="nil"/>
        </w:tcBorders>
      </w:tcPr>
    </w:tblStylePr>
  </w:style>
  <w:style w:type="character" w:customStyle="1" w:styleId="251">
    <w:name w:val="font121"/>
    <w:basedOn w:val="47"/>
    <w:qFormat/>
    <w:uiPriority w:val="0"/>
    <w:rPr>
      <w:rFonts w:hint="eastAsia" w:ascii="宋体" w:hAnsi="宋体" w:eastAsia="宋体" w:cs="宋体"/>
      <w:b/>
      <w:color w:val="000000"/>
      <w:sz w:val="21"/>
      <w:szCs w:val="21"/>
      <w:u w:val="none"/>
    </w:rPr>
  </w:style>
  <w:style w:type="paragraph" w:customStyle="1" w:styleId="252">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253">
    <w:name w:val="表"/>
    <w:basedOn w:val="1"/>
    <w:qFormat/>
    <w:uiPriority w:val="0"/>
    <w:pPr>
      <w:snapToGrid w:val="0"/>
      <w:ind w:firstLine="480" w:firstLineChars="200"/>
      <w:jc w:val="center"/>
    </w:pPr>
    <w:rPr>
      <w:spacing w:val="2"/>
    </w:rPr>
  </w:style>
  <w:style w:type="paragraph" w:customStyle="1" w:styleId="254">
    <w:name w:val="样式 小四 行距: 1.5 倍行距"/>
    <w:basedOn w:val="1"/>
    <w:qFormat/>
    <w:uiPriority w:val="0"/>
    <w:pPr>
      <w:ind w:firstLine="480" w:firstLineChars="200"/>
    </w:pPr>
    <w:rPr>
      <w:rFonts w:cs="宋体"/>
    </w:rPr>
  </w:style>
  <w:style w:type="paragraph" w:customStyle="1" w:styleId="255">
    <w:name w:val="表格自动编号"/>
    <w:basedOn w:val="1"/>
    <w:qFormat/>
    <w:uiPriority w:val="0"/>
    <w:pPr>
      <w:numPr>
        <w:ilvl w:val="5"/>
        <w:numId w:val="9"/>
      </w:numPr>
      <w:jc w:val="center"/>
    </w:pPr>
    <w:rPr>
      <w:b/>
    </w:rPr>
  </w:style>
  <w:style w:type="paragraph" w:customStyle="1" w:styleId="256">
    <w:name w:val="缩进"/>
    <w:basedOn w:val="1"/>
    <w:qFormat/>
    <w:uiPriority w:val="0"/>
    <w:pPr>
      <w:tabs>
        <w:tab w:val="left" w:pos="-52"/>
      </w:tabs>
      <w:spacing w:line="400" w:lineRule="atLeast"/>
      <w:ind w:right="-4" w:firstLine="425"/>
    </w:pPr>
    <w:rPr>
      <w:rFonts w:ascii="宋体" w:hAnsi="宋体"/>
      <w:sz w:val="24"/>
    </w:rPr>
  </w:style>
  <w:style w:type="paragraph" w:customStyle="1" w:styleId="257">
    <w:name w:val="05F凡式正文"/>
    <w:basedOn w:val="1"/>
    <w:link w:val="258"/>
    <w:qFormat/>
    <w:uiPriority w:val="0"/>
    <w:pPr>
      <w:spacing w:line="360" w:lineRule="auto"/>
      <w:ind w:firstLine="720" w:firstLineChars="200"/>
    </w:pPr>
    <w:rPr>
      <w:sz w:val="24"/>
    </w:rPr>
  </w:style>
  <w:style w:type="character" w:customStyle="1" w:styleId="258">
    <w:name w:val="05F凡式正文 Char"/>
    <w:link w:val="257"/>
    <w:qFormat/>
    <w:uiPriority w:val="0"/>
    <w:rPr>
      <w:kern w:val="2"/>
      <w:sz w:val="24"/>
      <w:szCs w:val="24"/>
    </w:rPr>
  </w:style>
  <w:style w:type="character" w:customStyle="1" w:styleId="259">
    <w:name w:val="表格标题 Char"/>
    <w:link w:val="260"/>
    <w:qFormat/>
    <w:locked/>
    <w:uiPriority w:val="0"/>
    <w:rPr>
      <w:rFonts w:ascii="黑体" w:hAnsi="黑体" w:eastAsia="黑体"/>
      <w:iCs/>
      <w:color w:val="000000"/>
      <w:sz w:val="24"/>
      <w:szCs w:val="24"/>
    </w:rPr>
  </w:style>
  <w:style w:type="paragraph" w:customStyle="1" w:styleId="260">
    <w:name w:val="表格标题"/>
    <w:basedOn w:val="1"/>
    <w:link w:val="259"/>
    <w:qFormat/>
    <w:uiPriority w:val="0"/>
    <w:pPr>
      <w:adjustRightInd w:val="0"/>
      <w:snapToGrid w:val="0"/>
      <w:spacing w:before="180" w:after="60" w:line="360" w:lineRule="auto"/>
      <w:ind w:firstLine="227" w:firstLineChars="200"/>
    </w:pPr>
    <w:rPr>
      <w:rFonts w:ascii="黑体" w:hAnsi="黑体" w:eastAsia="黑体"/>
      <w:iCs/>
      <w:color w:val="000000"/>
      <w:kern w:val="0"/>
      <w:sz w:val="24"/>
    </w:rPr>
  </w:style>
  <w:style w:type="paragraph" w:customStyle="1" w:styleId="261">
    <w:name w:val="_Style 259"/>
    <w:basedOn w:val="1"/>
    <w:next w:val="128"/>
    <w:link w:val="262"/>
    <w:qFormat/>
    <w:uiPriority w:val="34"/>
    <w:pPr>
      <w:ind w:firstLine="420" w:firstLineChars="200"/>
    </w:pPr>
  </w:style>
  <w:style w:type="character" w:customStyle="1" w:styleId="262">
    <w:name w:val="列表段落 字符"/>
    <w:link w:val="261"/>
    <w:qFormat/>
    <w:uiPriority w:val="34"/>
    <w:rPr>
      <w:kern w:val="2"/>
      <w:sz w:val="21"/>
      <w:szCs w:val="24"/>
    </w:rPr>
  </w:style>
  <w:style w:type="character" w:customStyle="1" w:styleId="263">
    <w:name w:val="正文文本 字符"/>
    <w:qFormat/>
    <w:uiPriority w:val="99"/>
    <w:rPr>
      <w:sz w:val="28"/>
    </w:rPr>
  </w:style>
  <w:style w:type="character" w:customStyle="1" w:styleId="264">
    <w:name w:val="普通(网站) 字符"/>
    <w:qFormat/>
    <w:locked/>
    <w:uiPriority w:val="0"/>
    <w:rPr>
      <w:rFonts w:ascii="宋体" w:hAnsi="宋体"/>
      <w:sz w:val="24"/>
      <w:szCs w:val="24"/>
    </w:rPr>
  </w:style>
  <w:style w:type="paragraph" w:customStyle="1" w:styleId="265">
    <w:name w:val="_Style 263"/>
    <w:basedOn w:val="3"/>
    <w:next w:val="30"/>
    <w:qFormat/>
    <w:uiPriority w:val="0"/>
    <w:pPr>
      <w:adjustRightInd/>
      <w:spacing w:after="120" w:line="240" w:lineRule="auto"/>
      <w:ind w:firstLine="420" w:firstLineChars="100"/>
      <w:textAlignment w:val="auto"/>
    </w:pPr>
    <w:rPr>
      <w:kern w:val="2"/>
      <w:sz w:val="21"/>
      <w:szCs w:val="24"/>
    </w:rPr>
  </w:style>
  <w:style w:type="character" w:customStyle="1" w:styleId="266">
    <w:name w:val="标题 字符"/>
    <w:qFormat/>
    <w:uiPriority w:val="0"/>
    <w:rPr>
      <w:rFonts w:eastAsia="黑体"/>
      <w:bCs/>
      <w:kern w:val="2"/>
      <w:sz w:val="30"/>
      <w:szCs w:val="32"/>
      <w:lang w:val="zh-CN" w:eastAsia="zh-CN"/>
    </w:rPr>
  </w:style>
  <w:style w:type="character" w:customStyle="1" w:styleId="267">
    <w:name w:val="页眉 字符"/>
    <w:qFormat/>
    <w:uiPriority w:val="99"/>
    <w:rPr>
      <w:sz w:val="18"/>
    </w:rPr>
  </w:style>
  <w:style w:type="paragraph" w:customStyle="1" w:styleId="268">
    <w:name w:val="Body text|1"/>
    <w:basedOn w:val="1"/>
    <w:qFormat/>
    <w:uiPriority w:val="0"/>
    <w:pPr>
      <w:spacing w:line="413" w:lineRule="auto"/>
      <w:ind w:firstLine="400"/>
    </w:pPr>
    <w:rPr>
      <w:rFonts w:ascii="宋体" w:hAnsi="宋体" w:cs="宋体"/>
      <w:lang w:val="zh-TW" w:eastAsia="zh-TW" w:bidi="zh-TW"/>
    </w:rPr>
  </w:style>
  <w:style w:type="paragraph" w:customStyle="1" w:styleId="269">
    <w:name w:val="Other|1"/>
    <w:basedOn w:val="1"/>
    <w:qFormat/>
    <w:uiPriority w:val="0"/>
    <w:pPr>
      <w:jc w:val="center"/>
    </w:pPr>
    <w:rPr>
      <w:rFonts w:ascii="宋体" w:hAnsi="宋体" w:cs="宋体"/>
      <w:sz w:val="20"/>
      <w:szCs w:val="20"/>
      <w:lang w:val="zh-TW" w:eastAsia="zh-TW" w:bidi="zh-TW"/>
    </w:rPr>
  </w:style>
  <w:style w:type="paragraph" w:customStyle="1" w:styleId="270">
    <w:name w:val="ZX-B-表格内字体"/>
    <w:basedOn w:val="1"/>
    <w:qFormat/>
    <w:uiPriority w:val="0"/>
    <w:pPr>
      <w:adjustRightInd w:val="0"/>
      <w:snapToGrid w:val="0"/>
      <w:spacing w:before="40" w:after="40"/>
      <w:jc w:val="center"/>
    </w:pPr>
    <w:rPr>
      <w:sz w:val="18"/>
      <w:szCs w:val="18"/>
    </w:rPr>
  </w:style>
  <w:style w:type="paragraph" w:customStyle="1" w:styleId="271">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color w:val="000000"/>
      <w:kern w:val="0"/>
      <w:sz w:val="24"/>
    </w:rPr>
  </w:style>
  <w:style w:type="paragraph" w:customStyle="1" w:styleId="272">
    <w:name w:val="4正文"/>
    <w:basedOn w:val="1"/>
    <w:qFormat/>
    <w:uiPriority w:val="0"/>
    <w:pPr>
      <w:spacing w:line="360" w:lineRule="auto"/>
      <w:ind w:firstLine="480"/>
    </w:pPr>
    <w:rPr>
      <w:rFonts w:cs="宋体"/>
      <w:spacing w:val="4"/>
      <w:sz w:val="24"/>
    </w:rPr>
  </w:style>
  <w:style w:type="paragraph" w:customStyle="1" w:styleId="273">
    <w:name w:val="_Style 255"/>
    <w:basedOn w:val="1"/>
    <w:next w:val="128"/>
    <w:qFormat/>
    <w:uiPriority w:val="1"/>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jpeg"/><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file:///H:\&#24494;&#20449;&#25991;&#20214;&#35760;&#24405;\WeChat%2525252525252520Files\wxid_cvo1xpkdpdd422\FileStorage\File\Documents\WeChat%2525252525252520Files\wxid_cvo1xpkdpdd422\FileStorage\ADMINI~1\AppData\Local\Temp\ksohtml7492\wps3.jpg" TargetMode="External"/><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wmf"/><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883DF7-D635-422B-96D7-3555426C4F3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85</Pages>
  <Words>31855</Words>
  <Characters>35998</Characters>
  <Lines>3272</Lines>
  <Paragraphs>3231</Paragraphs>
  <TotalTime>2697</TotalTime>
  <ScaleCrop>false</ScaleCrop>
  <LinksUpToDate>false</LinksUpToDate>
  <CharactersWithSpaces>64622</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2025-12-19T00:30:00Z</dcterms:created>
  <dc:creator>KK</dc:creator>
  <cp:lastModifiedBy>小愤青菜</cp:lastModifiedBy>
  <cp:lastPrinted>2026-03-10T18:32:00Z</cp:lastPrinted>
  <dcterms:modified xsi:type="dcterms:W3CDTF">2026-03-19T10:16:06Z</dcterms:modified>
  <dc:title>建设项目环境影响报告表</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773BBE0B9862438D9186D6CB33E2C903_13</vt:lpwstr>
  </property>
  <property fmtid="{D5CDD505-2E9C-101B-9397-08002B2CF9AE}" pid="4" name="KSOTemplateDocerSaveRecord">
    <vt:lpwstr>eyJoZGlkIjoiYTJiYzI0MTllOGU3OThjZjI4YTRmOTBjNDQzZjViODIiLCJ1c2VySWQiOiIzMTg1MDY1MTIifQ==</vt:lpwstr>
  </property>
</Properties>
</file>