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014D00B">
      <w:pPr>
        <w:adjustRightInd w:val="0"/>
        <w:snapToGrid w:val="0"/>
        <w:spacing w:line="540" w:lineRule="exact"/>
        <w:jc w:val="both"/>
        <w:rPr>
          <w:rFonts w:hint="eastAsia" w:ascii="仿宋_GB2312" w:eastAsia="仿宋_GB2312"/>
          <w:snapToGrid w:val="0"/>
          <w:kern w:val="0"/>
          <w:sz w:val="44"/>
          <w:szCs w:val="44"/>
        </w:rPr>
      </w:pPr>
      <w:bookmarkStart w:id="0" w:name="OLE_LINK1"/>
    </w:p>
    <w:p w14:paraId="07DC979B">
      <w:pPr>
        <w:adjustRightInd w:val="0"/>
        <w:snapToGrid w:val="0"/>
        <w:spacing w:line="580" w:lineRule="exact"/>
        <w:jc w:val="both"/>
        <w:rPr>
          <w:rFonts w:hint="eastAsia" w:ascii="仿宋_GB2312" w:eastAsia="仿宋_GB2312"/>
          <w:snapToGrid w:val="0"/>
          <w:color w:val="000000"/>
          <w:kern w:val="0"/>
          <w:sz w:val="32"/>
          <w:szCs w:val="32"/>
          <w:highlight w:val="none"/>
          <w:lang w:val="en-US" w:eastAsia="zh-CN"/>
        </w:rPr>
      </w:pPr>
    </w:p>
    <w:p w14:paraId="750624ED">
      <w:pPr>
        <w:pStyle w:val="30"/>
        <w:rPr>
          <w:rFonts w:hint="eastAsia" w:ascii="仿宋_GB2312" w:eastAsia="仿宋_GB2312"/>
          <w:snapToGrid w:val="0"/>
          <w:color w:val="000000"/>
          <w:kern w:val="0"/>
          <w:sz w:val="32"/>
          <w:szCs w:val="32"/>
          <w:highlight w:val="none"/>
          <w:lang w:val="en-US" w:eastAsia="zh-CN"/>
        </w:rPr>
      </w:pPr>
    </w:p>
    <w:p w14:paraId="2D719E20">
      <w:pPr>
        <w:pStyle w:val="11"/>
        <w:ind w:left="0" w:leftChars="0" w:firstLine="0" w:firstLineChars="0"/>
        <w:rPr>
          <w:rFonts w:hint="eastAsia"/>
          <w:lang w:val="en-US" w:eastAsia="zh-CN"/>
        </w:rPr>
      </w:pPr>
    </w:p>
    <w:p w14:paraId="4BDE0C34">
      <w:pPr>
        <w:adjustRightInd w:val="0"/>
        <w:snapToGrid w:val="0"/>
        <w:spacing w:line="580" w:lineRule="exact"/>
        <w:jc w:val="both"/>
        <w:rPr>
          <w:rFonts w:hint="eastAsia" w:ascii="仿宋_GB2312" w:eastAsia="仿宋_GB2312"/>
          <w:snapToGrid w:val="0"/>
          <w:color w:val="000000"/>
          <w:kern w:val="0"/>
          <w:sz w:val="32"/>
          <w:szCs w:val="32"/>
          <w:highlight w:val="none"/>
          <w:lang w:val="en-US" w:eastAsia="zh-CN"/>
        </w:rPr>
      </w:pPr>
    </w:p>
    <w:p w14:paraId="75C46953">
      <w:pPr>
        <w:adjustRightInd w:val="0"/>
        <w:snapToGrid w:val="0"/>
        <w:spacing w:line="580" w:lineRule="exact"/>
        <w:ind w:firstLine="2560" w:firstLineChars="800"/>
        <w:jc w:val="both"/>
        <w:rPr>
          <w:rFonts w:hint="eastAsia" w:ascii="仿宋_GB2312" w:eastAsia="仿宋_GB2312"/>
          <w:color w:val="000000"/>
          <w:sz w:val="32"/>
          <w:szCs w:val="32"/>
          <w:highlight w:val="none"/>
          <w:lang w:eastAsia="zh-CN"/>
        </w:rPr>
      </w:pPr>
      <w:r>
        <w:rPr>
          <w:rFonts w:hint="eastAsia" w:ascii="仿宋_GB2312" w:eastAsia="仿宋_GB2312"/>
          <w:snapToGrid w:val="0"/>
          <w:color w:val="000000"/>
          <w:kern w:val="0"/>
          <w:sz w:val="32"/>
          <w:szCs w:val="32"/>
          <w:highlight w:val="none"/>
          <w:lang w:val="en-US" w:eastAsia="zh-CN"/>
        </w:rPr>
        <w:t>高</w:t>
      </w:r>
      <w:r>
        <w:rPr>
          <w:rFonts w:hint="eastAsia" w:ascii="仿宋_GB2312" w:eastAsia="仿宋_GB2312"/>
          <w:snapToGrid w:val="0"/>
          <w:color w:val="000000"/>
          <w:kern w:val="0"/>
          <w:sz w:val="32"/>
          <w:szCs w:val="32"/>
          <w:highlight w:val="none"/>
        </w:rPr>
        <w:t>环评字〔202</w:t>
      </w:r>
      <w:r>
        <w:rPr>
          <w:rFonts w:hint="eastAsia" w:ascii="仿宋_GB2312" w:eastAsia="仿宋_GB2312"/>
          <w:snapToGrid w:val="0"/>
          <w:color w:val="000000"/>
          <w:kern w:val="0"/>
          <w:sz w:val="32"/>
          <w:szCs w:val="32"/>
          <w:highlight w:val="none"/>
          <w:lang w:val="en-US" w:eastAsia="zh-CN"/>
        </w:rPr>
        <w:t>6</w:t>
      </w:r>
      <w:r>
        <w:rPr>
          <w:rFonts w:hint="eastAsia" w:ascii="仿宋_GB2312" w:eastAsia="仿宋_GB2312"/>
          <w:snapToGrid w:val="0"/>
          <w:color w:val="000000"/>
          <w:kern w:val="0"/>
          <w:sz w:val="32"/>
          <w:szCs w:val="32"/>
          <w:highlight w:val="none"/>
        </w:rPr>
        <w:t>〕</w:t>
      </w:r>
      <w:bookmarkEnd w:id="0"/>
      <w:r>
        <w:rPr>
          <w:rFonts w:hint="eastAsia" w:ascii="仿宋_GB2312" w:eastAsia="仿宋_GB2312"/>
          <w:snapToGrid w:val="0"/>
          <w:color w:val="000000"/>
          <w:kern w:val="0"/>
          <w:sz w:val="32"/>
          <w:szCs w:val="32"/>
          <w:highlight w:val="none"/>
          <w:lang w:val="en-US" w:eastAsia="zh-CN"/>
        </w:rPr>
        <w:t>18</w:t>
      </w:r>
      <w:r>
        <w:rPr>
          <w:rFonts w:hint="eastAsia" w:ascii="仿宋_GB2312" w:eastAsia="仿宋_GB2312"/>
          <w:snapToGrid w:val="0"/>
          <w:color w:val="000000"/>
          <w:kern w:val="0"/>
          <w:sz w:val="32"/>
          <w:szCs w:val="32"/>
          <w:highlight w:val="none"/>
          <w:lang w:eastAsia="zh-CN"/>
        </w:rPr>
        <w:t>号</w:t>
      </w:r>
    </w:p>
    <w:p w14:paraId="37F84090">
      <w:pPr>
        <w:keepNext w:val="0"/>
        <w:keepLines w:val="0"/>
        <w:pageBreakBefore w:val="0"/>
        <w:widowControl w:val="0"/>
        <w:tabs>
          <w:tab w:val="left" w:pos="6638"/>
        </w:tabs>
        <w:kinsoku/>
        <w:wordWrap/>
        <w:overflowPunct/>
        <w:topLinePunct w:val="0"/>
        <w:autoSpaceDE/>
        <w:autoSpaceDN/>
        <w:bidi w:val="0"/>
        <w:adjustRightInd w:val="0"/>
        <w:snapToGrid w:val="0"/>
        <w:spacing w:line="300" w:lineRule="exact"/>
        <w:jc w:val="left"/>
        <w:textAlignment w:val="auto"/>
        <w:rPr>
          <w:rFonts w:hint="eastAsia" w:ascii="仿宋_GB2312" w:eastAsia="仿宋_GB2312"/>
          <w:sz w:val="32"/>
          <w:szCs w:val="32"/>
          <w:lang w:eastAsia="zh-CN"/>
        </w:rPr>
      </w:pPr>
      <w:r>
        <w:rPr>
          <w:rFonts w:hint="eastAsia" w:ascii="仿宋_GB2312" w:eastAsia="仿宋_GB2312"/>
          <w:sz w:val="32"/>
          <w:szCs w:val="32"/>
          <w:lang w:eastAsia="zh-CN"/>
        </w:rPr>
        <w:tab/>
      </w:r>
    </w:p>
    <w:p w14:paraId="02FD0757">
      <w:pPr>
        <w:keepNext w:val="0"/>
        <w:keepLines w:val="0"/>
        <w:pageBreakBefore w:val="0"/>
        <w:widowControl w:val="0"/>
        <w:kinsoku/>
        <w:overflowPunct/>
        <w:topLinePunct w:val="0"/>
        <w:bidi w:val="0"/>
        <w:adjustRightInd w:val="0"/>
        <w:snapToGrid w:val="0"/>
        <w:spacing w:line="5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关于高安万祥环保科技有限公司年回收拆解1.5万辆报废汽车项目环境影</w:t>
      </w:r>
      <w:bookmarkStart w:id="6" w:name="_GoBack"/>
      <w:bookmarkEnd w:id="6"/>
      <w:r>
        <w:rPr>
          <w:rFonts w:hint="eastAsia" w:ascii="方正小标宋简体" w:hAnsi="方正小标宋简体" w:eastAsia="方正小标宋简体" w:cs="方正小标宋简体"/>
          <w:b w:val="0"/>
          <w:bCs w:val="0"/>
          <w:sz w:val="44"/>
          <w:szCs w:val="44"/>
        </w:rPr>
        <w:t>响报告表的批复</w:t>
      </w:r>
    </w:p>
    <w:p w14:paraId="37705295">
      <w:pPr>
        <w:pStyle w:val="15"/>
        <w:keepNext w:val="0"/>
        <w:keepLines w:val="0"/>
        <w:pageBreakBefore w:val="0"/>
        <w:widowControl w:val="0"/>
        <w:kinsoku/>
        <w:wordWrap/>
        <w:overflowPunct/>
        <w:topLinePunct w:val="0"/>
        <w:autoSpaceDE/>
        <w:autoSpaceDN/>
        <w:bidi w:val="0"/>
        <w:adjustRightInd/>
        <w:snapToGrid/>
        <w:spacing w:after="0" w:line="540" w:lineRule="exact"/>
        <w:ind w:left="0" w:leftChars="0"/>
        <w:textAlignment w:val="auto"/>
        <w:rPr>
          <w:rFonts w:hint="eastAsia"/>
        </w:rPr>
      </w:pPr>
    </w:p>
    <w:p w14:paraId="542D01AD">
      <w:pPr>
        <w:keepNext w:val="0"/>
        <w:keepLines w:val="0"/>
        <w:pageBreakBefore w:val="0"/>
        <w:widowControl w:val="0"/>
        <w:kinsoku/>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高安万祥环保科技有限公司：</w:t>
      </w:r>
    </w:p>
    <w:p w14:paraId="2F54063B">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国标仿宋-GB/T 2312" w:hAnsi="国标仿宋-GB/T 2312" w:eastAsia="国标仿宋-GB/T 2312" w:cs="国标仿宋-GB/T 2312"/>
          <w:sz w:val="32"/>
          <w:szCs w:val="32"/>
          <w:lang w:val="en-US" w:eastAsia="zh-CN"/>
        </w:rPr>
        <w:t>你</w:t>
      </w:r>
      <w:r>
        <w:rPr>
          <w:rFonts w:hint="eastAsia" w:ascii="国标仿宋-GB/T 2312" w:hAnsi="国标仿宋-GB/T 2312" w:eastAsia="国标仿宋-GB/T 2312" w:cs="国标仿宋-GB/T 2312"/>
          <w:color w:val="000000"/>
          <w:sz w:val="32"/>
          <w:szCs w:val="32"/>
          <w:lang w:val="en-US" w:eastAsia="zh-CN"/>
        </w:rPr>
        <w:t>公司报送的《高安万祥环保科技有限公司年回收拆解1.5万辆报废汽车项目环境影响报告表》（以下简称《报告表》）以及相关资料已收悉，经研究，批复如下：</w:t>
      </w:r>
    </w:p>
    <w:p w14:paraId="1C869E42">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国标黑体" w:hAnsi="国标黑体" w:eastAsia="国标黑体" w:cs="国标黑体"/>
          <w:color w:val="000000"/>
          <w:sz w:val="32"/>
          <w:szCs w:val="32"/>
          <w:lang w:val="en-US" w:eastAsia="zh-CN"/>
        </w:rPr>
      </w:pPr>
      <w:r>
        <w:rPr>
          <w:rFonts w:hint="eastAsia" w:ascii="国标黑体" w:hAnsi="国标黑体" w:eastAsia="国标黑体" w:cs="国标黑体"/>
          <w:color w:val="000000"/>
          <w:sz w:val="32"/>
          <w:szCs w:val="32"/>
          <w:lang w:val="en-US" w:eastAsia="zh-CN"/>
        </w:rPr>
        <w:t>一、</w:t>
      </w:r>
      <w:r>
        <w:rPr>
          <w:rFonts w:hint="eastAsia" w:ascii="国标黑体" w:hAnsi="国标黑体" w:eastAsia="国标黑体" w:cs="国标黑体"/>
          <w:b w:val="0"/>
          <w:bCs w:val="0"/>
          <w:color w:val="auto"/>
          <w:sz w:val="30"/>
          <w:szCs w:val="30"/>
        </w:rPr>
        <w:t>项目的基本情况及批复意见</w:t>
      </w:r>
    </w:p>
    <w:p w14:paraId="2D7002A8">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楷体_GB2312" w:hAnsi="楷体_GB2312" w:eastAsia="楷体_GB2312" w:cs="楷体_GB2312"/>
          <w:color w:val="000000"/>
          <w:sz w:val="32"/>
          <w:szCs w:val="32"/>
          <w:lang w:val="en-US" w:eastAsia="zh-CN"/>
        </w:rPr>
        <w:t>（一）项目基本情况：</w:t>
      </w:r>
      <w:r>
        <w:rPr>
          <w:rFonts w:hint="eastAsia" w:ascii="仿宋_GB2312" w:hAnsi="仿宋_GB2312" w:eastAsia="仿宋_GB2312" w:cs="仿宋_GB2312"/>
          <w:color w:val="000000"/>
          <w:sz w:val="32"/>
          <w:szCs w:val="32"/>
          <w:lang w:val="en-US" w:eastAsia="zh-CN"/>
        </w:rPr>
        <w:t>新建项目，位于江西省宜春市高安市高新园区通城东大道2号（高安君途科技有限公司厂区内），已通过高安市行政审批局备案同意（2512-360983-04-01-831928），符合产业政策。项目租赁高安君途科技有限公司一处已建厂房及一块空地进行建设，中心地理坐标：东经115°25′21.906″，北纬28°28′13.982″。项目四至：东南面为江西辽岳新能源有限公司，南面为江西汇炟新能源科技有限公司，西面为园区空地，北面紧邻永安大道。总占地面积15000m</w:t>
      </w:r>
      <w:r>
        <w:rPr>
          <w:rFonts w:hint="eastAsia" w:ascii="仿宋_GB2312" w:hAnsi="仿宋_GB2312" w:eastAsia="仿宋_GB2312" w:cs="仿宋_GB2312"/>
          <w:color w:val="000000"/>
          <w:sz w:val="32"/>
          <w:szCs w:val="32"/>
          <w:vertAlign w:val="superscript"/>
          <w:lang w:val="en-US" w:eastAsia="zh-CN"/>
        </w:rPr>
        <w:t>2</w:t>
      </w:r>
      <w:r>
        <w:rPr>
          <w:rFonts w:hint="eastAsia" w:ascii="仿宋_GB2312" w:hAnsi="仿宋_GB2312" w:eastAsia="仿宋_GB2312" w:cs="仿宋_GB2312"/>
          <w:color w:val="000000"/>
          <w:sz w:val="32"/>
          <w:szCs w:val="32"/>
          <w:lang w:val="en-US" w:eastAsia="zh-CN"/>
        </w:rPr>
        <w:t>。</w:t>
      </w:r>
    </w:p>
    <w:p w14:paraId="0D48857A">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主要建设内容：项目依托现有厂房拟新建报废机动车拆解区、作业区（切割及人工拆解）、锂动力蓄电池拆卸区和贮存区、铅蓄电池拆卸区和贮存区、废钢铁存放区、拆车零部件存放区、废有色金属存放区、废塑料存放区、废轮胎存放区及其相应配套工程；利用空地拟新建未拆解车辆存储区等，供水供电等公用工程依托现有，新建事故应急池（450m</w:t>
      </w:r>
      <w:r>
        <w:rPr>
          <w:rFonts w:hint="eastAsia" w:ascii="仿宋_GB2312" w:hAnsi="仿宋_GB2312" w:eastAsia="仿宋_GB2312" w:cs="仿宋_GB2312"/>
          <w:color w:val="000000"/>
          <w:sz w:val="32"/>
          <w:szCs w:val="32"/>
          <w:vertAlign w:val="superscript"/>
          <w:lang w:val="en-US" w:eastAsia="zh-CN"/>
        </w:rPr>
        <w:t>3</w:t>
      </w:r>
      <w:r>
        <w:rPr>
          <w:rFonts w:hint="eastAsia" w:ascii="仿宋_GB2312" w:hAnsi="仿宋_GB2312" w:eastAsia="仿宋_GB2312" w:cs="仿宋_GB2312"/>
          <w:color w:val="000000"/>
          <w:sz w:val="32"/>
          <w:szCs w:val="32"/>
          <w:lang w:val="en-US" w:eastAsia="zh-CN"/>
        </w:rPr>
        <w:t>）、初期雨水收集池（150m</w:t>
      </w:r>
      <w:r>
        <w:rPr>
          <w:rFonts w:hint="eastAsia" w:ascii="仿宋_GB2312" w:hAnsi="仿宋_GB2312" w:eastAsia="仿宋_GB2312" w:cs="仿宋_GB2312"/>
          <w:color w:val="000000"/>
          <w:sz w:val="32"/>
          <w:szCs w:val="32"/>
          <w:vertAlign w:val="superscript"/>
          <w:lang w:val="en-US" w:eastAsia="zh-CN"/>
        </w:rPr>
        <w:t>3</w:t>
      </w:r>
      <w:r>
        <w:rPr>
          <w:rFonts w:hint="eastAsia" w:ascii="仿宋_GB2312" w:hAnsi="仿宋_GB2312" w:eastAsia="仿宋_GB2312" w:cs="仿宋_GB2312"/>
          <w:color w:val="000000"/>
          <w:sz w:val="32"/>
          <w:szCs w:val="32"/>
          <w:lang w:val="en-US" w:eastAsia="zh-CN"/>
        </w:rPr>
        <w:t>）、废水废气噪声固废治理设施。项目主要以报废汽车（项目仅接收常规使用性质车辆的拆解，不接收槽罐车、危险化学品运输车等特殊装备车辆，接收车辆包括大、中、小型燃油车，大、中、小型</w:t>
      </w:r>
      <w:r>
        <w:rPr>
          <w:rFonts w:hint="default" w:ascii="仿宋_GB2312" w:hAnsi="仿宋_GB2312" w:eastAsia="仿宋_GB2312" w:cs="仿宋_GB2312"/>
          <w:color w:val="000000"/>
          <w:sz w:val="32"/>
          <w:szCs w:val="32"/>
          <w:lang w:val="en-US" w:eastAsia="zh-CN"/>
        </w:rPr>
        <w:t>新能源汽车</w:t>
      </w:r>
      <w:r>
        <w:rPr>
          <w:rFonts w:hint="eastAsia" w:ascii="仿宋_GB2312" w:hAnsi="仿宋_GB2312" w:eastAsia="仿宋_GB2312" w:cs="仿宋_GB2312"/>
          <w:color w:val="000000"/>
          <w:sz w:val="32"/>
          <w:szCs w:val="32"/>
          <w:lang w:val="en-US" w:eastAsia="zh-CN"/>
        </w:rPr>
        <w:t>）、丙烷、氧气为原辅料，经检查登记、拆解预处理、报废机动车储存、拆解（仅对报废车辆进行初步拆解，不对发动机、变速箱等总成及蓄电池进行二次拆解）、剪切成块、存储和管理等工序处理，得到产品为废旧汽车拆解下来的各种可回收的物品和零部件，包括钢铁、有色金属、塑料、玻璃及其他报废汽车拆解物。项目拆解规模为年拆解报废汽车15000辆。</w:t>
      </w:r>
    </w:p>
    <w:p w14:paraId="255D54FB">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项目总投资2000万元，其中环保投资70万元，占总投资的3.5%。</w:t>
      </w:r>
    </w:p>
    <w:p w14:paraId="73BE0736">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000000"/>
          <w:sz w:val="32"/>
          <w:szCs w:val="32"/>
          <w:lang w:val="en-US" w:eastAsia="zh-CN"/>
        </w:rPr>
      </w:pPr>
      <w:r>
        <w:rPr>
          <w:rFonts w:hint="eastAsia" w:ascii="楷体_GB2312" w:hAnsi="楷体_GB2312" w:eastAsia="楷体_GB2312" w:cs="楷体_GB2312"/>
          <w:color w:val="000000"/>
          <w:sz w:val="32"/>
          <w:szCs w:val="32"/>
          <w:lang w:val="en-US" w:eastAsia="zh-CN"/>
        </w:rPr>
        <w:t>（二）批复意见。</w:t>
      </w:r>
      <w:r>
        <w:rPr>
          <w:rFonts w:hint="eastAsia" w:ascii="Times New Roman" w:hAnsi="Times New Roman" w:eastAsia="仿宋_GB2312" w:cs="Times New Roman"/>
          <w:color w:val="000000"/>
          <w:sz w:val="32"/>
          <w:szCs w:val="32"/>
          <w:lang w:val="en-US" w:eastAsia="zh-CN"/>
        </w:rPr>
        <w:t>你公司应全面落实环境影响报告表提出的各项污染防治措施和风险防范措施，缓解和控制环境不利影响，我局原则同意你公司按报告表中所列工程性质、规模、地点、环境保护对策措施等要求进行该项目建设。</w:t>
      </w:r>
    </w:p>
    <w:p w14:paraId="625CE951">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二、</w:t>
      </w:r>
      <w:r>
        <w:rPr>
          <w:rFonts w:hint="eastAsia" w:ascii="黑体" w:hAnsi="黑体" w:eastAsia="黑体" w:cs="黑体"/>
          <w:kern w:val="0"/>
          <w:sz w:val="32"/>
          <w:szCs w:val="32"/>
        </w:rPr>
        <w:t>项目建设与运行管理中应重点做好以下工作</w:t>
      </w:r>
    </w:p>
    <w:p w14:paraId="05BC24AA">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项目在</w:t>
      </w:r>
      <w:bookmarkStart w:id="1" w:name="OLE_LINK3"/>
      <w:r>
        <w:rPr>
          <w:rFonts w:hint="default" w:ascii="Times New Roman" w:hAnsi="Times New Roman" w:eastAsia="仿宋_GB2312" w:cs="Times New Roman"/>
          <w:color w:val="000000"/>
          <w:sz w:val="32"/>
          <w:szCs w:val="32"/>
          <w:lang w:val="en-US" w:eastAsia="zh-CN"/>
        </w:rPr>
        <w:t>工程设计、建设和生产过</w:t>
      </w:r>
      <w:r>
        <w:rPr>
          <w:rFonts w:hint="eastAsia" w:eastAsia="仿宋_GB2312" w:cs="Times New Roman"/>
          <w:color w:val="000000"/>
          <w:sz w:val="32"/>
          <w:szCs w:val="32"/>
          <w:lang w:val="en-US" w:eastAsia="zh-CN"/>
        </w:rPr>
        <w:t>程中</w:t>
      </w:r>
      <w:bookmarkEnd w:id="1"/>
      <w:r>
        <w:rPr>
          <w:rFonts w:hint="default" w:ascii="Times New Roman" w:hAnsi="Times New Roman" w:eastAsia="仿宋_GB2312" w:cs="Times New Roman"/>
          <w:color w:val="000000"/>
          <w:sz w:val="32"/>
          <w:szCs w:val="32"/>
          <w:lang w:val="en-US" w:eastAsia="zh-CN"/>
        </w:rPr>
        <w:t>必须认真落实《报告表》提出的各项环保措施和要求，重点做好以下几项工作：</w:t>
      </w:r>
    </w:p>
    <w:p w14:paraId="7C99AB21">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color w:val="000000"/>
          <w:sz w:val="32"/>
          <w:szCs w:val="32"/>
          <w:lang w:val="en-US" w:eastAsia="zh-CN"/>
        </w:rPr>
      </w:pPr>
      <w:r>
        <w:rPr>
          <w:rFonts w:hint="eastAsia" w:ascii="楷体_GB2312" w:hAnsi="楷体_GB2312" w:eastAsia="楷体_GB2312" w:cs="楷体_GB2312"/>
          <w:color w:val="000000"/>
          <w:sz w:val="32"/>
          <w:szCs w:val="32"/>
          <w:lang w:val="en-US" w:eastAsia="zh-CN"/>
        </w:rPr>
        <w:t>（一）</w:t>
      </w:r>
      <w:r>
        <w:rPr>
          <w:rFonts w:hint="eastAsia" w:ascii="Times New Roman" w:hAnsi="Times New Roman" w:eastAsia="仿宋_GB2312" w:cs="Times New Roman"/>
          <w:color w:val="000000"/>
          <w:sz w:val="32"/>
          <w:szCs w:val="32"/>
          <w:lang w:val="en-US" w:eastAsia="zh-CN"/>
        </w:rPr>
        <w:t>在设计、建设和运行中，按照“环保优先、绿色发展”目标和循环经济、清洁生产的理念，采用国内外成熟可靠、技术先进、环境友好的工艺技术方案，选用优质装备和原材料，强化各装置节能降耗措施，减少污染物的产生量和排放量。</w:t>
      </w:r>
    </w:p>
    <w:p w14:paraId="02562987">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国标仿宋-GB/T 2312" w:hAnsi="国标仿宋-GB/T 2312" w:eastAsia="国标仿宋-GB/T 2312" w:cs="国标仿宋-GB/T 2312"/>
          <w:color w:val="000000"/>
          <w:sz w:val="32"/>
          <w:szCs w:val="32"/>
          <w:lang w:val="en-US" w:eastAsia="zh-CN"/>
        </w:rPr>
      </w:pPr>
      <w:r>
        <w:rPr>
          <w:rFonts w:hint="eastAsia" w:ascii="楷体_GB2312" w:hAnsi="楷体_GB2312" w:eastAsia="楷体_GB2312" w:cs="楷体_GB2312"/>
          <w:color w:val="000000"/>
          <w:sz w:val="32"/>
          <w:szCs w:val="32"/>
          <w:lang w:val="en-US" w:eastAsia="zh-CN"/>
        </w:rPr>
        <w:t>（二）废水污染防治要求。</w:t>
      </w:r>
      <w:r>
        <w:rPr>
          <w:rFonts w:hint="eastAsia" w:ascii="国标仿宋-GB/T 2312" w:hAnsi="国标仿宋-GB/T 2312" w:eastAsia="国标仿宋-GB/T 2312" w:cs="国标仿宋-GB/T 2312"/>
          <w:color w:val="000000"/>
          <w:sz w:val="32"/>
          <w:szCs w:val="32"/>
          <w:lang w:val="en-US" w:eastAsia="zh-CN"/>
        </w:rPr>
        <w:t>按照“清污分流、雨污分流、分质处理、一水多用”原则，合理制定废水收集处理方案和综合利用方案。营运期主要废水为生活污水、地面拖洗废水、残留玻璃水和初期雨水。项目生活污水、残留玻璃水、地面拖洗废水和初期雨水经隔油沉淀池处理后一并进入新世纪产业园污水处理厂深度处理达到《城镇污水处理厂污染物排放标准》（GB18918-2002）一级A标准后排入锦江。</w:t>
      </w:r>
    </w:p>
    <w:p w14:paraId="7477E5BE">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楷体_GB2312" w:hAnsi="楷体_GB2312" w:eastAsia="楷体_GB2312" w:cs="楷体_GB2312"/>
          <w:color w:val="000000"/>
          <w:sz w:val="32"/>
          <w:szCs w:val="32"/>
          <w:lang w:val="en-US" w:eastAsia="zh-CN"/>
        </w:rPr>
        <w:t>（三）大气污染防治要求。</w:t>
      </w:r>
      <w:r>
        <w:rPr>
          <w:rFonts w:hint="eastAsia" w:ascii="仿宋_GB2312" w:hAnsi="仿宋_GB2312" w:eastAsia="仿宋_GB2312" w:cs="仿宋_GB2312"/>
          <w:color w:val="000000"/>
          <w:sz w:val="32"/>
          <w:szCs w:val="32"/>
          <w:lang w:val="en-US" w:eastAsia="zh-CN"/>
        </w:rPr>
        <w:t>应采取清洁生产措施减少废气产生量。根据废气中污染物的类别和性质，采用成熟可行工艺处理，确保废气污染物长期稳定达标排放。营运期废油液等散发废气经集气罩收集+二级活性炭吸附+15m高排气筒（DA001）达标排放；拆解工序、切割工序产生的粉尘经移动式烟尘净化器处理后无组织排放。废油液散发废气、危废间散发废气等无组织废气</w:t>
      </w:r>
      <w:r>
        <w:rPr>
          <w:rFonts w:hint="eastAsia" w:ascii="仿宋_GB2312" w:hAnsi="仿宋_GB2312" w:eastAsia="仿宋_GB2312" w:cs="仿宋_GB2312"/>
          <w:b w:val="0"/>
          <w:bCs w:val="0"/>
          <w:sz w:val="32"/>
          <w:szCs w:val="32"/>
          <w:lang w:val="en-US" w:eastAsia="zh-CN"/>
        </w:rPr>
        <w:t>通过加强厂区通风等措施减轻其对周边环境影响，确保厂界废气稳定达标。</w:t>
      </w:r>
    </w:p>
    <w:p w14:paraId="4F8CD758">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仿宋_GB2312" w:hAnsi="仿宋_GB2312" w:eastAsia="仿宋_GB2312" w:cs="仿宋_GB2312"/>
          <w:color w:val="000000"/>
          <w:sz w:val="32"/>
          <w:szCs w:val="32"/>
          <w:lang w:val="en-US" w:eastAsia="zh-CN"/>
        </w:rPr>
        <w:t>运营期有组织非甲烷总烃执行《挥发性有机物综合排放控制标准(试行)》 (DB36/2186-2025)表1中标准；厂界非甲烷总烃执行《挥发性有机物综合排放控制标准(试行)》 (DB36/2186-2025)表3中无组织排放限值，颗粒物无组织排放执行《大气污染物综合排放标准》（GB8978-1996）表2中无组织排放监控浓度限值；</w:t>
      </w:r>
      <w:r>
        <w:rPr>
          <w:rFonts w:hint="default" w:ascii="Times New Roman" w:hAnsi="Times New Roman" w:eastAsia="仿宋_GB2312" w:cs="Times New Roman"/>
          <w:bCs/>
          <w:color w:val="auto"/>
          <w:kern w:val="2"/>
          <w:sz w:val="32"/>
          <w:szCs w:val="32"/>
          <w:lang w:val="en-US" w:eastAsia="zh-CN" w:bidi="ar-SA"/>
        </w:rPr>
        <w:t>厂</w:t>
      </w:r>
      <w:r>
        <w:rPr>
          <w:rFonts w:hint="default" w:ascii="仿宋_GB2312" w:hAnsi="仿宋_GB2312" w:eastAsia="仿宋_GB2312" w:cs="仿宋_GB2312"/>
          <w:color w:val="000000"/>
          <w:sz w:val="32"/>
          <w:szCs w:val="32"/>
          <w:lang w:val="en-US" w:eastAsia="zh-CN"/>
        </w:rPr>
        <w:t>界臭气浓度执行《恶臭污染物排放标准》（GB14554-93）表1恶臭污染物厂界标准值新扩改建二级标准</w:t>
      </w:r>
      <w:r>
        <w:rPr>
          <w:rFonts w:hint="eastAsia" w:ascii="仿宋_GB2312" w:hAnsi="仿宋_GB2312" w:eastAsia="仿宋_GB2312" w:cs="仿宋_GB2312"/>
          <w:color w:val="000000"/>
          <w:sz w:val="32"/>
          <w:szCs w:val="32"/>
          <w:lang w:val="en-US" w:eastAsia="zh-CN"/>
        </w:rPr>
        <w:t>。</w:t>
      </w:r>
    </w:p>
    <w:p w14:paraId="48FB62BF">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楷体_GB2312" w:hAnsi="楷体_GB2312" w:eastAsia="楷体_GB2312" w:cs="楷体_GB2312"/>
          <w:color w:val="000000"/>
          <w:sz w:val="32"/>
          <w:szCs w:val="32"/>
          <w:lang w:val="en-US" w:eastAsia="zh-CN"/>
        </w:rPr>
        <w:t>（四）环境噪声污染防治要求。</w:t>
      </w:r>
      <w:r>
        <w:rPr>
          <w:rFonts w:hint="eastAsia" w:ascii="仿宋_GB2312" w:hAnsi="仿宋_GB2312" w:eastAsia="仿宋_GB2312" w:cs="仿宋_GB2312"/>
          <w:color w:val="000000"/>
          <w:sz w:val="32"/>
          <w:szCs w:val="32"/>
          <w:lang w:val="en-US" w:eastAsia="zh-CN"/>
        </w:rPr>
        <w:t>营运期噪声来源主要为安全气囊引爆器瞬时噪声、液压剪、边角料打包机、剪式举升机、气割机、双刃鳄鱼式液压剪等，通过选用低噪声设备、隔声、减震、消声等措施，确保厂界噪声达《工业企业厂界环境噪声排放标准》（GB12348-2008）2类标准。</w:t>
      </w:r>
    </w:p>
    <w:p w14:paraId="0C7DAA9F">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楷体_GB2312" w:hAnsi="楷体_GB2312" w:eastAsia="楷体_GB2312" w:cs="楷体_GB2312"/>
          <w:color w:val="000000"/>
          <w:sz w:val="32"/>
          <w:szCs w:val="32"/>
          <w:lang w:val="en-US" w:eastAsia="zh-CN"/>
        </w:rPr>
        <w:t>（五）固体废物污染防治要求。</w:t>
      </w:r>
      <w:r>
        <w:rPr>
          <w:rFonts w:hint="eastAsia" w:ascii="仿宋_GB2312" w:hAnsi="仿宋_GB2312" w:eastAsia="仿宋_GB2312" w:cs="仿宋_GB2312"/>
          <w:color w:val="000000"/>
          <w:sz w:val="32"/>
          <w:szCs w:val="32"/>
          <w:lang w:val="en-US" w:eastAsia="zh-CN"/>
        </w:rPr>
        <w:t>应按“资源化、减量化、无害化”处置原则，认真落实各类固体废物收集、处置和综合利用措施。</w:t>
      </w:r>
      <w:bookmarkStart w:id="2" w:name="OLE_LINK18"/>
      <w:r>
        <w:rPr>
          <w:rFonts w:hint="eastAsia" w:ascii="仿宋_GB2312" w:hAnsi="仿宋_GB2312" w:eastAsia="仿宋_GB2312" w:cs="仿宋_GB2312"/>
          <w:sz w:val="32"/>
          <w:szCs w:val="32"/>
          <w:lang w:val="en-US" w:eastAsia="zh-CN"/>
        </w:rPr>
        <w:t>项目一般工业固废包括引爆后的废安全气囊、废锂动力蓄电池、除尘器集尘、废制冷剂、</w:t>
      </w:r>
      <w:bookmarkStart w:id="3" w:name="_Hlk191978022"/>
      <w:r>
        <w:rPr>
          <w:rFonts w:hint="eastAsia" w:ascii="仿宋_GB2312" w:hAnsi="仿宋_GB2312" w:eastAsia="仿宋_GB2312" w:cs="仿宋_GB2312"/>
          <w:sz w:val="32"/>
          <w:szCs w:val="32"/>
          <w:lang w:val="en-US" w:eastAsia="zh-CN"/>
        </w:rPr>
        <w:t>废塑料</w:t>
      </w:r>
      <w:bookmarkEnd w:id="3"/>
      <w:r>
        <w:rPr>
          <w:rFonts w:hint="eastAsia" w:ascii="仿宋_GB2312" w:hAnsi="仿宋_GB2312" w:eastAsia="仿宋_GB2312" w:cs="仿宋_GB2312"/>
          <w:sz w:val="32"/>
          <w:szCs w:val="32"/>
          <w:lang w:val="en-US" w:eastAsia="zh-CN"/>
        </w:rPr>
        <w:t>、碎玻璃、碎纤维等、废线缆、废泡棉、泥沙、木板等；</w:t>
      </w:r>
      <w:bookmarkEnd w:id="2"/>
      <w:r>
        <w:rPr>
          <w:rFonts w:hint="eastAsia" w:ascii="仿宋_GB2312" w:hAnsi="仿宋_GB2312" w:eastAsia="仿宋_GB2312" w:cs="仿宋_GB2312"/>
          <w:sz w:val="32"/>
          <w:szCs w:val="32"/>
          <w:lang w:val="en-US" w:eastAsia="zh-CN"/>
        </w:rPr>
        <w:t>危险废物包括废尾气净化装置、废燃料油液、废非燃料油液、冷却液、废铅蓄电池、含汞部件、废电容器、废电路板、废滤清器、废石棉、废活性炭、废机油、</w:t>
      </w:r>
      <w:bookmarkStart w:id="4" w:name="_Hlk191978356"/>
      <w:r>
        <w:rPr>
          <w:rFonts w:hint="eastAsia" w:ascii="仿宋_GB2312" w:hAnsi="仿宋_GB2312" w:eastAsia="仿宋_GB2312" w:cs="仿宋_GB2312"/>
          <w:sz w:val="32"/>
          <w:szCs w:val="32"/>
          <w:lang w:val="en-US" w:eastAsia="zh-CN"/>
        </w:rPr>
        <w:t>废含油抹布</w:t>
      </w:r>
      <w:bookmarkEnd w:id="4"/>
      <w:r>
        <w:rPr>
          <w:rFonts w:hint="eastAsia" w:ascii="仿宋_GB2312" w:hAnsi="仿宋_GB2312" w:eastAsia="仿宋_GB2312" w:cs="仿宋_GB2312"/>
          <w:sz w:val="32"/>
          <w:szCs w:val="32"/>
          <w:lang w:val="en-US" w:eastAsia="zh-CN"/>
        </w:rPr>
        <w:t>、隔油沉淀池油泥及废油桶等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bCs w:val="0"/>
          <w:sz w:val="32"/>
          <w:szCs w:val="32"/>
          <w:lang w:val="en-US" w:eastAsia="zh-CN"/>
        </w:rPr>
        <w:t>生活垃圾主要为员工办公生活产生的垃圾。严格履行危险废物转移联单等相关环保手续，贮存过程应认真落实相关环保要求，危险废物定期委托有资质单位综合利用或处置，生活垃圾交由环卫部门统一收转。</w:t>
      </w:r>
    </w:p>
    <w:p w14:paraId="6F47C348">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sz w:val="32"/>
          <w:szCs w:val="32"/>
        </w:rPr>
        <w:t>应在厂区设置足够容量的一般固废暂存库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一般工业固体废物暂存库设计、建设、运行须满足《一般工业固体废物贮存和填埋污染控制标准》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GB18599-2020</w:t>
      </w:r>
      <w:r>
        <w:rPr>
          <w:rFonts w:hint="eastAsia" w:ascii="仿宋_GB2312" w:hAnsi="仿宋_GB2312" w:eastAsia="仿宋_GB2312" w:cs="仿宋_GB2312"/>
          <w:sz w:val="32"/>
          <w:szCs w:val="32"/>
          <w:lang w:eastAsia="zh-CN"/>
        </w:rPr>
        <w:t>）；厂区设置足够</w:t>
      </w:r>
      <w:r>
        <w:rPr>
          <w:rFonts w:hint="eastAsia" w:ascii="仿宋_GB2312" w:hAnsi="仿宋_GB2312" w:eastAsia="仿宋_GB2312" w:cs="仿宋_GB2312"/>
          <w:sz w:val="32"/>
          <w:szCs w:val="32"/>
        </w:rPr>
        <w:t>容量的</w:t>
      </w:r>
      <w:r>
        <w:rPr>
          <w:rFonts w:hint="eastAsia" w:ascii="仿宋_GB2312" w:hAnsi="仿宋_GB2312" w:eastAsia="仿宋_GB2312" w:cs="仿宋_GB2312"/>
          <w:sz w:val="32"/>
          <w:szCs w:val="32"/>
          <w:lang w:eastAsia="zh-CN"/>
        </w:rPr>
        <w:t>危险废物</w:t>
      </w:r>
      <w:r>
        <w:rPr>
          <w:rFonts w:hint="eastAsia" w:ascii="仿宋_GB2312" w:hAnsi="仿宋_GB2312" w:eastAsia="仿宋_GB2312" w:cs="仿宋_GB2312"/>
          <w:sz w:val="32"/>
          <w:szCs w:val="32"/>
        </w:rPr>
        <w:t>暂存库</w:t>
      </w:r>
      <w:r>
        <w:rPr>
          <w:rFonts w:hint="eastAsia" w:ascii="仿宋_GB2312" w:hAnsi="仿宋_GB2312" w:eastAsia="仿宋_GB2312" w:cs="仿宋_GB2312"/>
          <w:sz w:val="32"/>
          <w:szCs w:val="32"/>
          <w:lang w:eastAsia="zh-CN"/>
        </w:rPr>
        <w:t>，危险废物</w:t>
      </w:r>
      <w:r>
        <w:rPr>
          <w:rFonts w:hint="eastAsia" w:ascii="仿宋_GB2312" w:hAnsi="仿宋_GB2312" w:eastAsia="仿宋_GB2312" w:cs="仿宋_GB2312"/>
          <w:sz w:val="32"/>
          <w:szCs w:val="32"/>
        </w:rPr>
        <w:t>暂存库设计、建设、运行须满足《危险废物贮存污染控制标准》（GB18597-2023）</w:t>
      </w:r>
      <w:r>
        <w:rPr>
          <w:rFonts w:hint="eastAsia" w:ascii="仿宋_GB2312" w:hAnsi="仿宋_GB2312" w:eastAsia="仿宋_GB2312" w:cs="仿宋_GB2312"/>
          <w:sz w:val="32"/>
          <w:szCs w:val="32"/>
          <w:lang w:val="en-US" w:eastAsia="zh-CN"/>
        </w:rPr>
        <w:t>。</w:t>
      </w:r>
    </w:p>
    <w:p w14:paraId="67BA4C7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国标仿宋-GB/T 2312" w:hAnsi="国标仿宋-GB/T 2312" w:eastAsia="国标仿宋-GB/T 2312" w:cs="国标仿宋-GB/T 2312"/>
          <w:b w:val="0"/>
          <w:bCs w:val="0"/>
          <w:color w:val="000000"/>
          <w:sz w:val="32"/>
          <w:szCs w:val="32"/>
          <w:lang w:val="en-US" w:eastAsia="zh-CN"/>
        </w:rPr>
      </w:pPr>
      <w:r>
        <w:rPr>
          <w:rFonts w:hint="eastAsia" w:ascii="国标楷体-GB/T 2312" w:hAnsi="国标楷体-GB/T 2312" w:eastAsia="国标楷体-GB/T 2312" w:cs="国标楷体-GB/T 2312"/>
          <w:b w:val="0"/>
          <w:bCs w:val="0"/>
          <w:color w:val="000000"/>
          <w:sz w:val="32"/>
          <w:szCs w:val="32"/>
          <w:lang w:val="en-US" w:eastAsia="zh-CN"/>
        </w:rPr>
        <w:t>（六）土壤和地下水污染防治要求。</w:t>
      </w:r>
      <w:r>
        <w:rPr>
          <w:rFonts w:hint="eastAsia" w:ascii="国标仿宋-GB/T 2312" w:hAnsi="国标仿宋-GB/T 2312" w:eastAsia="国标仿宋-GB/T 2312" w:cs="国标仿宋-GB/T 2312"/>
          <w:b w:val="0"/>
          <w:bCs w:val="0"/>
          <w:color w:val="000000"/>
          <w:sz w:val="32"/>
          <w:szCs w:val="32"/>
          <w:lang w:val="en-US" w:eastAsia="zh-CN"/>
        </w:rPr>
        <w:t>按照“源头防控、分区防治、污染监控、应急响应”的原则进行土壤和地下水污染防治。严格按照报告表有关要求采取分区防渗措施，管线敷设尽量“可视化”。加强防渗设施的日常维护，对出现损害的防渗设施应及时修复和加固，确保防渗设施牢固安全。一旦出现土壤或地下水污染，立即启动应急预案和应急措施，减少对土壤和地下水的不利影响。</w:t>
      </w:r>
    </w:p>
    <w:p w14:paraId="309FCA36">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w:t>
      </w:r>
      <w:r>
        <w:rPr>
          <w:rFonts w:hint="eastAsia" w:eastAsia="楷体_GB2312" w:cs="Times New Roman"/>
          <w:sz w:val="32"/>
          <w:szCs w:val="32"/>
          <w:lang w:val="en-US" w:eastAsia="zh-CN"/>
        </w:rPr>
        <w:t>七</w:t>
      </w:r>
      <w:r>
        <w:rPr>
          <w:rFonts w:hint="default" w:ascii="Times New Roman" w:hAnsi="Times New Roman" w:eastAsia="楷体_GB2312" w:cs="Times New Roman"/>
          <w:sz w:val="32"/>
          <w:szCs w:val="32"/>
        </w:rPr>
        <w:t>）排污口规范化要求。</w:t>
      </w:r>
      <w:r>
        <w:rPr>
          <w:rFonts w:hint="default" w:ascii="Times New Roman" w:hAnsi="Times New Roman" w:eastAsia="仿宋_GB2312" w:cs="Times New Roman"/>
          <w:sz w:val="32"/>
          <w:szCs w:val="32"/>
        </w:rPr>
        <w:t>按国家有关规定设置规范的污染物排放口，各排放口处应设立标志牌。</w:t>
      </w:r>
    </w:p>
    <w:p w14:paraId="3336D229">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lang w:val="en-US" w:eastAsia="zh-CN"/>
        </w:rPr>
        <w:t>八</w:t>
      </w:r>
      <w:r>
        <w:rPr>
          <w:rFonts w:hint="eastAsia" w:ascii="楷体_GB2312" w:hAnsi="楷体_GB2312" w:eastAsia="楷体_GB2312" w:cs="楷体_GB2312"/>
          <w:b w:val="0"/>
          <w:bCs w:val="0"/>
          <w:sz w:val="32"/>
          <w:szCs w:val="32"/>
        </w:rPr>
        <w:t>）卫生防护距离。</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设置</w:t>
      </w:r>
      <w:r>
        <w:rPr>
          <w:rFonts w:hint="eastAsia" w:ascii="仿宋_GB2312" w:hAnsi="仿宋_GB2312" w:eastAsia="仿宋_GB2312" w:cs="仿宋_GB2312"/>
          <w:sz w:val="32"/>
          <w:szCs w:val="32"/>
        </w:rPr>
        <w:t>卫生防护距离为生产车间</w:t>
      </w:r>
      <w:r>
        <w:rPr>
          <w:rFonts w:hint="eastAsia" w:ascii="仿宋_GB2312" w:hAnsi="仿宋_GB2312" w:eastAsia="仿宋_GB2312" w:cs="仿宋_GB2312"/>
          <w:sz w:val="32"/>
          <w:szCs w:val="32"/>
          <w:lang w:val="en-US" w:eastAsia="zh-CN"/>
        </w:rPr>
        <w:t>边界</w:t>
      </w:r>
      <w:r>
        <w:rPr>
          <w:rFonts w:hint="eastAsia" w:ascii="仿宋_GB2312" w:hAnsi="仿宋_GB2312" w:eastAsia="仿宋_GB2312" w:cs="仿宋_GB2312"/>
          <w:sz w:val="32"/>
          <w:szCs w:val="32"/>
        </w:rPr>
        <w:t>外延</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m</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sz w:val="32"/>
          <w:szCs w:val="32"/>
        </w:rPr>
        <w:t>你公司应配合政府和规划部门，严格控制好本项目周边规划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项目卫生防护距离范围内不得新建居民住宅、学校及医院等环境敏感建筑。</w:t>
      </w:r>
    </w:p>
    <w:p w14:paraId="65E40A76">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64" w:firstLineChars="200"/>
        <w:jc w:val="both"/>
        <w:textAlignment w:val="baseline"/>
        <w:outlineLvl w:val="9"/>
        <w:rPr>
          <w:rFonts w:hint="eastAsia"/>
          <w:lang w:val="en-US" w:eastAsia="zh-CN"/>
        </w:rPr>
      </w:pPr>
      <w:r>
        <w:rPr>
          <w:rFonts w:hint="eastAsia" w:ascii="楷体_GB2312" w:hAnsi="楷体_GB2312" w:eastAsia="楷体_GB2312" w:cs="楷体_GB2312"/>
          <w:b w:val="0"/>
          <w:bCs w:val="0"/>
          <w:spacing w:val="6"/>
          <w:sz w:val="32"/>
          <w:szCs w:val="32"/>
          <w:lang w:val="en-US" w:eastAsia="zh-CN"/>
        </w:rPr>
        <w:t>（九）污染物总量控制要求。</w:t>
      </w:r>
      <w:bookmarkStart w:id="5" w:name="OLE_LINK4"/>
      <w:r>
        <w:rPr>
          <w:rFonts w:hint="eastAsia" w:ascii="仿宋_GB2312" w:hAnsi="仿宋_GB2312" w:eastAsia="仿宋_GB2312" w:cs="仿宋_GB2312"/>
          <w:bCs/>
          <w:snapToGrid w:val="0"/>
          <w:color w:val="auto"/>
          <w:sz w:val="32"/>
          <w:szCs w:val="32"/>
          <w:lang w:val="en-US" w:eastAsia="zh-CN"/>
        </w:rPr>
        <w:t>本项目主要污染物排放总量必须满足我局下达的总量控制指标要求。</w:t>
      </w:r>
      <w:bookmarkEnd w:id="5"/>
    </w:p>
    <w:p w14:paraId="4EA91B39">
      <w:pPr>
        <w:keepNext w:val="0"/>
        <w:keepLines w:val="0"/>
        <w:pageBreakBefore w:val="0"/>
        <w:widowControl w:val="0"/>
        <w:kinsoku w:val="0"/>
        <w:wordWrap/>
        <w:overflowPunct/>
        <w:topLinePunct w:val="0"/>
        <w:autoSpaceDE w:val="0"/>
        <w:autoSpaceDN w:val="0"/>
        <w:bidi w:val="0"/>
        <w:adjustRightInd w:val="0"/>
        <w:snapToGrid w:val="0"/>
        <w:spacing w:line="540" w:lineRule="exact"/>
        <w:ind w:left="0" w:right="0" w:firstLine="664" w:firstLineChars="200"/>
        <w:jc w:val="both"/>
        <w:textAlignment w:val="baseline"/>
        <w:outlineLvl w:val="9"/>
        <w:rPr>
          <w:rFonts w:hint="eastAsia"/>
          <w:lang w:val="en-US" w:eastAsia="zh-CN"/>
        </w:rPr>
      </w:pPr>
      <w:r>
        <w:rPr>
          <w:rFonts w:hint="eastAsia" w:ascii="楷体_GB2312" w:hAnsi="楷体_GB2312" w:eastAsia="楷体_GB2312" w:cs="楷体_GB2312"/>
          <w:b w:val="0"/>
          <w:bCs w:val="0"/>
          <w:spacing w:val="6"/>
          <w:sz w:val="32"/>
          <w:szCs w:val="32"/>
          <w:lang w:val="en-US" w:eastAsia="zh-CN"/>
        </w:rPr>
        <w:t>（十）环境风险防范措施。</w:t>
      </w:r>
      <w:r>
        <w:rPr>
          <w:rFonts w:hint="eastAsia" w:ascii="仿宋_GB2312" w:hAnsi="仿宋_GB2312" w:eastAsia="仿宋_GB2312" w:cs="仿宋_GB2312"/>
          <w:bCs/>
          <w:snapToGrid w:val="0"/>
          <w:color w:val="auto"/>
          <w:sz w:val="32"/>
          <w:szCs w:val="32"/>
          <w:lang w:val="en-US" w:eastAsia="zh-CN"/>
        </w:rPr>
        <w:t>严格落实报告表提出的各项环境风险防控措施。健全企业环境风险防范与应急管理体系，协同有关部门开展应急演练。项目配套的环保设备设施应落实安全生产要求，依法依规履行安全生产相关手续，报经相关职能部门审批同意后方可实施，有效防范因污染物事故排放或安全生产事故可能引发的环境风险，确保周边环境安全。</w:t>
      </w:r>
    </w:p>
    <w:p w14:paraId="243DC4AE">
      <w:pPr>
        <w:keepNext w:val="0"/>
        <w:keepLines w:val="0"/>
        <w:pageBreakBefore w:val="0"/>
        <w:widowControl w:val="0"/>
        <w:kinsoku/>
        <w:overflowPunct/>
        <w:topLinePunct w:val="0"/>
        <w:autoSpaceDE/>
        <w:autoSpaceDN/>
        <w:bidi w:val="0"/>
        <w:adjustRightInd w:val="0"/>
        <w:snapToGrid w:val="0"/>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w:t>
      </w:r>
      <w:r>
        <w:rPr>
          <w:rFonts w:hint="default" w:ascii="Times New Roman" w:hAnsi="Times New Roman" w:eastAsia="黑体" w:cs="Times New Roman"/>
          <w:color w:val="000000"/>
          <w:sz w:val="32"/>
          <w:szCs w:val="32"/>
        </w:rPr>
        <w:t>项目运行和竣工验收的环保要求</w:t>
      </w:r>
    </w:p>
    <w:p w14:paraId="15A5AF42">
      <w:pPr>
        <w:keepNext w:val="0"/>
        <w:keepLines w:val="0"/>
        <w:pageBreakBefore w:val="0"/>
        <w:widowControl w:val="0"/>
        <w:kinsoku/>
        <w:wordWrap/>
        <w:overflowPunct/>
        <w:topLinePunct w:val="0"/>
        <w:autoSpaceDE/>
        <w:autoSpaceDN/>
        <w:bidi w:val="0"/>
        <w:snapToGrid/>
        <w:spacing w:line="540" w:lineRule="exact"/>
        <w:ind w:firstLine="6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本项目建设必须严格执行环境保护设施与主体工程同时设计、同时施工、同时投入使用的环境保护“三同时”制度。建设项目</w:t>
      </w:r>
      <w:r>
        <w:rPr>
          <w:rFonts w:hint="eastAsia" w:ascii="仿宋_GB2312" w:hAnsi="仿宋_GB2312" w:eastAsia="仿宋_GB2312" w:cs="仿宋_GB2312"/>
          <w:color w:val="auto"/>
          <w:sz w:val="32"/>
          <w:szCs w:val="32"/>
          <w:lang w:val="en-US" w:eastAsia="zh-CN"/>
        </w:rPr>
        <w:t>竣工</w:t>
      </w:r>
      <w:r>
        <w:rPr>
          <w:rFonts w:hint="eastAsia" w:ascii="仿宋_GB2312" w:hAnsi="仿宋_GB2312" w:eastAsia="仿宋_GB2312" w:cs="仿宋_GB2312"/>
          <w:color w:val="auto"/>
          <w:sz w:val="32"/>
          <w:szCs w:val="32"/>
        </w:rPr>
        <w:t>后，你公司须按照国家排污许可证管理的有关要求履行排污许可相关手续后方可进行调试，同时按照《建设项目竣工环境保护验收暂行办法》履行竣工环境保护验收，经验收合格后方可投入正式生产。</w:t>
      </w:r>
    </w:p>
    <w:p w14:paraId="6EDE57EF">
      <w:pPr>
        <w:keepNext w:val="0"/>
        <w:keepLines w:val="0"/>
        <w:pageBreakBefore w:val="0"/>
        <w:widowControl w:val="0"/>
        <w:kinsoku/>
        <w:wordWrap/>
        <w:overflowPunct/>
        <w:topLinePunct w:val="0"/>
        <w:autoSpaceDE/>
        <w:autoSpaceDN/>
        <w:bidi w:val="0"/>
        <w:spacing w:line="540" w:lineRule="exact"/>
        <w:ind w:firstLine="640" w:firstLineChars="200"/>
        <w:textAlignment w:val="auto"/>
        <w:outlineLvl w:val="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四、其他环保要求</w:t>
      </w:r>
    </w:p>
    <w:p w14:paraId="4A891605">
      <w:pPr>
        <w:keepNext w:val="0"/>
        <w:keepLines w:val="0"/>
        <w:pageBreakBefore w:val="0"/>
        <w:widowControl w:val="0"/>
        <w:kinsoku/>
        <w:wordWrap/>
        <w:overflowPunct/>
        <w:topLinePunct w:val="0"/>
        <w:autoSpaceDE/>
        <w:autoSpaceDN/>
        <w:bidi w:val="0"/>
        <w:snapToGrid/>
        <w:spacing w:line="54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（一）项目变更环保要求。</w:t>
      </w:r>
      <w:r>
        <w:rPr>
          <w:rFonts w:hint="eastAsia" w:ascii="仿宋_GB2312" w:hAnsi="仿宋_GB2312" w:eastAsia="仿宋_GB2312" w:cs="仿宋_GB2312"/>
          <w:b w:val="0"/>
          <w:bCs w:val="0"/>
          <w:color w:val="auto"/>
          <w:sz w:val="32"/>
          <w:szCs w:val="32"/>
          <w:lang w:val="en-US" w:eastAsia="zh-CN"/>
        </w:rPr>
        <w:t>本批复仅限按报告表的建设内容若项目建设性质、规模、地点、内容、采用的生产工艺或者防治污染的措施等发生重大变化或审批后超过五年方动工建设的，应按照法律法规要求，重新申请办理环评审批手续。</w:t>
      </w:r>
    </w:p>
    <w:p w14:paraId="7163626E">
      <w:pPr>
        <w:keepNext w:val="0"/>
        <w:keepLines w:val="0"/>
        <w:pageBreakBefore w:val="0"/>
        <w:widowControl w:val="0"/>
        <w:kinsoku/>
        <w:wordWrap/>
        <w:overflowPunct/>
        <w:topLinePunct w:val="0"/>
        <w:autoSpaceDE/>
        <w:autoSpaceDN/>
        <w:bidi w:val="0"/>
        <w:snapToGrid/>
        <w:spacing w:line="54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val="0"/>
          <w:bCs w:val="0"/>
          <w:color w:val="auto"/>
          <w:sz w:val="32"/>
          <w:szCs w:val="32"/>
          <w:lang w:val="en-US" w:eastAsia="zh-CN"/>
        </w:rPr>
        <w:t>（二）日常环保监管。</w:t>
      </w:r>
      <w:r>
        <w:rPr>
          <w:rFonts w:hint="eastAsia" w:ascii="仿宋_GB2312" w:hAnsi="仿宋_GB2312" w:eastAsia="仿宋_GB2312" w:cs="仿宋_GB2312"/>
          <w:b w:val="0"/>
          <w:bCs w:val="0"/>
          <w:color w:val="auto"/>
          <w:sz w:val="32"/>
          <w:szCs w:val="32"/>
          <w:lang w:val="en-US" w:eastAsia="zh-CN"/>
        </w:rPr>
        <w:t>请宜春市高安生态环境保护综合执法大队负责该项目建设和运行的监管以及企业环保“三同时”的检查。你公司应按规定接受各级生态环境行政主管部门的监督检查</w:t>
      </w:r>
      <w:r>
        <w:rPr>
          <w:rFonts w:hint="eastAsia" w:ascii="仿宋_GB2312" w:hAnsi="仿宋_GB2312" w:eastAsia="仿宋_GB2312" w:cs="仿宋_GB2312"/>
          <w:color w:val="auto"/>
          <w:sz w:val="32"/>
          <w:szCs w:val="32"/>
        </w:rPr>
        <w:t>。</w:t>
      </w:r>
    </w:p>
    <w:p w14:paraId="1354882C">
      <w:pPr>
        <w:keepNext w:val="0"/>
        <w:keepLines w:val="0"/>
        <w:pageBreakBefore w:val="0"/>
        <w:widowControl w:val="0"/>
        <w:kinsoku/>
        <w:wordWrap w:val="0"/>
        <w:overflowPunct/>
        <w:topLinePunct w:val="0"/>
        <w:bidi w:val="0"/>
        <w:adjustRightInd w:val="0"/>
        <w:snapToGrid w:val="0"/>
        <w:spacing w:line="540" w:lineRule="exact"/>
        <w:jc w:val="both"/>
        <w:textAlignment w:val="auto"/>
        <w:rPr>
          <w:rFonts w:hint="eastAsia" w:ascii="仿宋_GB2312" w:hAnsi="仿宋_GB2312" w:eastAsia="仿宋_GB2312" w:cs="仿宋_GB2312"/>
          <w:sz w:val="32"/>
          <w:szCs w:val="32"/>
        </w:rPr>
      </w:pPr>
    </w:p>
    <w:p w14:paraId="76DB6DBE">
      <w:pPr>
        <w:keepNext w:val="0"/>
        <w:keepLines w:val="0"/>
        <w:pageBreakBefore w:val="0"/>
        <w:widowControl w:val="0"/>
        <w:kinsoku/>
        <w:wordWrap w:val="0"/>
        <w:overflowPunct/>
        <w:topLinePunct w:val="0"/>
        <w:bidi w:val="0"/>
        <w:adjustRightInd w:val="0"/>
        <w:snapToGrid w:val="0"/>
        <w:spacing w:line="540" w:lineRule="exact"/>
        <w:jc w:val="both"/>
        <w:textAlignment w:val="auto"/>
        <w:rPr>
          <w:rFonts w:hint="eastAsia" w:ascii="仿宋_GB2312" w:hAnsi="仿宋_GB2312" w:eastAsia="仿宋_GB2312" w:cs="仿宋_GB2312"/>
          <w:sz w:val="32"/>
          <w:szCs w:val="32"/>
        </w:rPr>
      </w:pPr>
    </w:p>
    <w:p w14:paraId="4CCFEB29">
      <w:pPr>
        <w:keepNext w:val="0"/>
        <w:keepLines w:val="0"/>
        <w:pageBreakBefore w:val="0"/>
        <w:widowControl w:val="0"/>
        <w:kinsoku/>
        <w:wordWrap w:val="0"/>
        <w:overflowPunct/>
        <w:topLinePunct w:val="0"/>
        <w:bidi w:val="0"/>
        <w:adjustRightInd w:val="0"/>
        <w:snapToGrid w:val="0"/>
        <w:spacing w:line="540" w:lineRule="exact"/>
        <w:jc w:val="both"/>
        <w:textAlignment w:val="auto"/>
        <w:rPr>
          <w:rFonts w:hint="eastAsia" w:ascii="仿宋_GB2312" w:hAnsi="仿宋_GB2312" w:eastAsia="仿宋_GB2312" w:cs="仿宋_GB2312"/>
          <w:sz w:val="32"/>
          <w:szCs w:val="32"/>
        </w:rPr>
      </w:pPr>
    </w:p>
    <w:p w14:paraId="567FB04B">
      <w:pPr>
        <w:keepNext w:val="0"/>
        <w:keepLines w:val="0"/>
        <w:pageBreakBefore w:val="0"/>
        <w:widowControl w:val="0"/>
        <w:kinsoku/>
        <w:wordWrap w:val="0"/>
        <w:overflowPunct/>
        <w:topLinePunct w:val="0"/>
        <w:bidi w:val="0"/>
        <w:adjustRightInd w:val="0"/>
        <w:snapToGrid w:val="0"/>
        <w:spacing w:line="540" w:lineRule="exact"/>
        <w:ind w:firstLine="4800" w:firstLineChars="15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宜春市</w:t>
      </w:r>
      <w:r>
        <w:rPr>
          <w:rFonts w:hint="eastAsia" w:ascii="仿宋_GB2312" w:hAnsi="仿宋_GB2312" w:eastAsia="仿宋_GB2312" w:cs="仿宋_GB2312"/>
          <w:sz w:val="32"/>
          <w:szCs w:val="32"/>
          <w:lang w:eastAsia="zh-CN"/>
        </w:rPr>
        <w:t>高安</w:t>
      </w:r>
      <w:r>
        <w:rPr>
          <w:rFonts w:hint="eastAsia" w:ascii="仿宋_GB2312" w:hAnsi="仿宋_GB2312" w:eastAsia="仿宋_GB2312" w:cs="仿宋_GB2312"/>
          <w:sz w:val="32"/>
          <w:szCs w:val="32"/>
        </w:rPr>
        <w:t>生态环境局</w:t>
      </w:r>
      <w:r>
        <w:rPr>
          <w:rFonts w:hint="eastAsia" w:ascii="仿宋_GB2312" w:hAnsi="仿宋_GB2312" w:eastAsia="仿宋_GB2312" w:cs="仿宋_GB2312"/>
          <w:sz w:val="32"/>
          <w:szCs w:val="32"/>
          <w:lang w:val="en-US" w:eastAsia="zh-CN"/>
        </w:rPr>
        <w:t xml:space="preserve">    </w:t>
      </w:r>
    </w:p>
    <w:p w14:paraId="0AAAE9AA">
      <w:pPr>
        <w:keepNext w:val="0"/>
        <w:keepLines w:val="0"/>
        <w:pageBreakBefore w:val="0"/>
        <w:widowControl w:val="0"/>
        <w:kinsoku/>
        <w:overflowPunct/>
        <w:topLinePunct w:val="0"/>
        <w:bidi w:val="0"/>
        <w:adjustRightInd w:val="0"/>
        <w:snapToGrid w:val="0"/>
        <w:spacing w:line="540" w:lineRule="exact"/>
        <w:ind w:firstLine="640" w:firstLineChars="200"/>
        <w:jc w:val="center"/>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202</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rPr>
        <w:t>年</w:t>
      </w: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rPr>
        <w:t>月</w:t>
      </w:r>
      <w:r>
        <w:rPr>
          <w:rFonts w:hint="eastAsia" w:ascii="仿宋_GB2312" w:hAnsi="仿宋_GB2312" w:eastAsia="仿宋_GB2312" w:cs="仿宋_GB2312"/>
          <w:color w:val="000000"/>
          <w:sz w:val="32"/>
          <w:szCs w:val="32"/>
          <w:highlight w:val="none"/>
          <w:lang w:val="en-US" w:eastAsia="zh-CN"/>
        </w:rPr>
        <w:t>7</w:t>
      </w:r>
      <w:r>
        <w:rPr>
          <w:rFonts w:hint="eastAsia" w:ascii="仿宋_GB2312" w:hAnsi="仿宋_GB2312" w:eastAsia="仿宋_GB2312" w:cs="仿宋_GB2312"/>
          <w:color w:val="000000"/>
          <w:sz w:val="32"/>
          <w:szCs w:val="32"/>
          <w:highlight w:val="none"/>
        </w:rPr>
        <w:t>日</w:t>
      </w:r>
    </w:p>
    <w:p w14:paraId="4E31194B">
      <w:pPr>
        <w:keepNext w:val="0"/>
        <w:keepLines w:val="0"/>
        <w:pageBreakBefore w:val="0"/>
        <w:widowControl w:val="0"/>
        <w:kinsoku/>
        <w:overflowPunct/>
        <w:topLinePunct w:val="0"/>
        <w:bidi w:val="0"/>
        <w:adjustRightInd w:val="0"/>
        <w:snapToGrid w:val="0"/>
        <w:spacing w:line="590" w:lineRule="exact"/>
        <w:ind w:firstLine="640" w:firstLineChars="200"/>
        <w:jc w:val="center"/>
        <w:textAlignment w:val="auto"/>
        <w:rPr>
          <w:rFonts w:hint="eastAsia" w:ascii="仿宋_GB2312" w:hAnsi="仿宋_GB2312" w:eastAsia="仿宋_GB2312" w:cs="仿宋_GB2312"/>
          <w:color w:val="000000"/>
          <w:sz w:val="32"/>
          <w:szCs w:val="32"/>
          <w:highlight w:val="none"/>
          <w:lang w:val="en-US" w:eastAsia="zh-CN"/>
        </w:rPr>
      </w:pPr>
    </w:p>
    <w:p w14:paraId="002335E9">
      <w:pPr>
        <w:rPr>
          <w:rFonts w:hint="eastAsia"/>
          <w:lang w:val="en-US" w:eastAsia="zh-CN"/>
        </w:rPr>
      </w:pPr>
    </w:p>
    <w:tbl>
      <w:tblPr>
        <w:tblStyle w:val="22"/>
        <w:tblpPr w:leftFromText="180" w:rightFromText="180" w:vertAnchor="text" w:horzAnchor="page" w:tblpXSpec="center" w:tblpY="479"/>
        <w:tblOverlap w:val="never"/>
        <w:tblW w:w="8505"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05"/>
      </w:tblGrid>
      <w:tr w14:paraId="265140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56" w:hRule="atLeast"/>
          <w:jc w:val="center"/>
        </w:trPr>
        <w:tc>
          <w:tcPr>
            <w:tcW w:w="8505" w:type="dxa"/>
            <w:tcBorders>
              <w:top w:val="single" w:color="auto" w:sz="12" w:space="0"/>
              <w:left w:val="nil"/>
              <w:bottom w:val="single" w:color="auto" w:sz="12" w:space="0"/>
              <w:right w:val="nil"/>
            </w:tcBorders>
            <w:vAlign w:val="top"/>
          </w:tcPr>
          <w:p w14:paraId="710592E6">
            <w:pPr>
              <w:keepNext w:val="0"/>
              <w:keepLines w:val="0"/>
              <w:pageBreakBefore w:val="0"/>
              <w:widowControl w:val="0"/>
              <w:kinsoku/>
              <w:wordWrap/>
              <w:overflowPunct/>
              <w:topLinePunct w:val="0"/>
              <w:autoSpaceDE/>
              <w:autoSpaceDN/>
              <w:bidi w:val="0"/>
              <w:spacing w:line="480" w:lineRule="exact"/>
              <w:ind w:left="0" w:leftChars="0"/>
              <w:textAlignment w:val="auto"/>
              <w:rPr>
                <w:rFonts w:ascii="仿宋" w:hAnsi="仿宋" w:eastAsia="仿宋"/>
                <w:color w:val="auto"/>
                <w:sz w:val="28"/>
                <w:szCs w:val="28"/>
                <w:u w:val="single"/>
              </w:rPr>
            </w:pPr>
            <w:r>
              <w:rPr>
                <w:rFonts w:hint="eastAsia" w:ascii="仿宋_GB2312" w:hAnsi="仿宋_GB2312" w:eastAsia="仿宋_GB2312" w:cs="仿宋_GB2312"/>
                <w:color w:val="auto"/>
                <w:sz w:val="28"/>
                <w:szCs w:val="28"/>
                <w:lang w:eastAsia="zh-CN"/>
              </w:rPr>
              <w:t>宜春市高安生态环境局办公室</w:t>
            </w:r>
            <w:r>
              <w:rPr>
                <w:rFonts w:hint="eastAsia" w:ascii="仿宋_GB2312" w:hAnsi="仿宋_GB2312" w:eastAsia="仿宋_GB2312" w:cs="仿宋_GB2312"/>
                <w:color w:val="auto"/>
                <w:sz w:val="28"/>
                <w:szCs w:val="28"/>
              </w:rPr>
              <w:t xml:space="preserve">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20</w:t>
            </w:r>
            <w:r>
              <w:rPr>
                <w:rFonts w:hint="eastAsia" w:ascii="仿宋_GB2312" w:hAnsi="仿宋_GB2312" w:eastAsia="仿宋_GB2312" w:cs="仿宋_GB2312"/>
                <w:color w:val="auto"/>
                <w:sz w:val="28"/>
                <w:szCs w:val="28"/>
                <w:lang w:val="en-US" w:eastAsia="zh-CN"/>
              </w:rPr>
              <w:t>26</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7</w:t>
            </w:r>
            <w:r>
              <w:rPr>
                <w:rFonts w:hint="eastAsia" w:ascii="仿宋_GB2312" w:hAnsi="仿宋_GB2312" w:eastAsia="仿宋_GB2312" w:cs="仿宋_GB2312"/>
                <w:color w:val="auto"/>
                <w:sz w:val="28"/>
                <w:szCs w:val="28"/>
              </w:rPr>
              <w:t>日印发</w:t>
            </w:r>
          </w:p>
        </w:tc>
      </w:tr>
    </w:tbl>
    <w:p w14:paraId="6BB32B4C">
      <w:pPr>
        <w:rPr>
          <w:rFonts w:hint="default"/>
          <w:lang w:val="en-US" w:eastAsia="zh-CN"/>
        </w:rPr>
      </w:pPr>
    </w:p>
    <w:sectPr>
      <w:headerReference r:id="rId3" w:type="default"/>
      <w:footerReference r:id="rId4" w:type="default"/>
      <w:footerReference r:id="rId5" w:type="even"/>
      <w:pgSz w:w="11905" w:h="16838"/>
      <w:pgMar w:top="2098" w:right="1474" w:bottom="1984" w:left="1587" w:header="851" w:footer="992" w:gutter="0"/>
      <w:pgNumType w:fmt="numberInDash"/>
      <w:cols w:space="72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34"/>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Tahoma">
    <w:altName w:val="noto sans thai"/>
    <w:panose1 w:val="020B0604030504040204"/>
    <w:charset w:val="00"/>
    <w:family w:val="swiss"/>
    <w:pitch w:val="default"/>
    <w:sig w:usb0="00000000" w:usb1="00000000" w:usb2="00000029" w:usb3="00000000" w:csb0="200101FF" w:csb1="20280000"/>
  </w:font>
  <w:font w:name="noto sans thai">
    <w:panose1 w:val="020B0502040504020204"/>
    <w:charset w:val="00"/>
    <w:family w:val="auto"/>
    <w:pitch w:val="default"/>
    <w:sig w:usb0="81000063" w:usb1="00002000" w:usb2="00000000" w:usb3="00000000" w:csb0="00010000" w:csb1="00000000"/>
  </w:font>
  <w:font w:name="新宋体-18030">
    <w:altName w:val="方正书宋_GBK"/>
    <w:panose1 w:val="00000000000000000000"/>
    <w:charset w:val="00"/>
    <w:family w:val="auto"/>
    <w:pitch w:val="default"/>
    <w:sig w:usb0="00000000" w:usb1="00000000" w:usb2="00000000"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国标仿宋-GB/T 2312">
    <w:panose1 w:val="02000500000000000000"/>
    <w:charset w:val="86"/>
    <w:family w:val="auto"/>
    <w:pitch w:val="default"/>
    <w:sig w:usb0="800002AF" w:usb1="08476CF8" w:usb2="00000010" w:usb3="00000000" w:csb0="00040000" w:csb1="00000000"/>
  </w:font>
  <w:font w:name="国标黑体">
    <w:panose1 w:val="020005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国标楷体-GB/T 2312">
    <w:panose1 w:val="020005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E6A40">
    <w:pPr>
      <w:pStyle w:val="16"/>
      <w:wordWrap w:val="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00437C">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F00437C">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0EB16">
    <w:pPr>
      <w:pStyle w:val="16"/>
      <w:ind w:firstLine="180" w:firstLineChars="10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087D87">
                          <w:pPr>
                            <w:pStyle w:val="16"/>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0087D87">
                    <w:pPr>
                      <w:pStyle w:val="16"/>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98DB1">
    <w:pPr>
      <w:pStyle w:val="17"/>
      <w:pBdr>
        <w:left w:val="none" w:color="auto" w:sz="0" w:space="0"/>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5"/>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kNjEzN2Y0MTg3OGM1Y2I3NDQwY2VhNWMyNDhkY2UifQ=="/>
  </w:docVars>
  <w:rsids>
    <w:rsidRoot w:val="0B962338"/>
    <w:rsid w:val="00006837"/>
    <w:rsid w:val="000107E7"/>
    <w:rsid w:val="00016777"/>
    <w:rsid w:val="00022860"/>
    <w:rsid w:val="00025470"/>
    <w:rsid w:val="00033489"/>
    <w:rsid w:val="00034D10"/>
    <w:rsid w:val="00042D2E"/>
    <w:rsid w:val="00051815"/>
    <w:rsid w:val="0006240D"/>
    <w:rsid w:val="00070BA7"/>
    <w:rsid w:val="00074B7E"/>
    <w:rsid w:val="00075905"/>
    <w:rsid w:val="00080040"/>
    <w:rsid w:val="00081449"/>
    <w:rsid w:val="0008165A"/>
    <w:rsid w:val="00090872"/>
    <w:rsid w:val="00093058"/>
    <w:rsid w:val="00093ECF"/>
    <w:rsid w:val="000951DD"/>
    <w:rsid w:val="00097C6D"/>
    <w:rsid w:val="00097FE5"/>
    <w:rsid w:val="000A3539"/>
    <w:rsid w:val="000A480A"/>
    <w:rsid w:val="000A5109"/>
    <w:rsid w:val="000A6620"/>
    <w:rsid w:val="000B0F02"/>
    <w:rsid w:val="000B3A9B"/>
    <w:rsid w:val="000C2A89"/>
    <w:rsid w:val="000C3C5B"/>
    <w:rsid w:val="000C3D88"/>
    <w:rsid w:val="000C40B7"/>
    <w:rsid w:val="000C68D2"/>
    <w:rsid w:val="000C6A61"/>
    <w:rsid w:val="000C6C4A"/>
    <w:rsid w:val="000C7413"/>
    <w:rsid w:val="000D29EB"/>
    <w:rsid w:val="000D30C1"/>
    <w:rsid w:val="000D6074"/>
    <w:rsid w:val="000D6BD3"/>
    <w:rsid w:val="000D7D2F"/>
    <w:rsid w:val="000F3FE0"/>
    <w:rsid w:val="000F6934"/>
    <w:rsid w:val="00100E02"/>
    <w:rsid w:val="001115EB"/>
    <w:rsid w:val="0011199B"/>
    <w:rsid w:val="001123EC"/>
    <w:rsid w:val="0011276E"/>
    <w:rsid w:val="001248EE"/>
    <w:rsid w:val="00127FA6"/>
    <w:rsid w:val="00130E65"/>
    <w:rsid w:val="00133FB1"/>
    <w:rsid w:val="00137FCD"/>
    <w:rsid w:val="00145C23"/>
    <w:rsid w:val="00161B95"/>
    <w:rsid w:val="00162B61"/>
    <w:rsid w:val="00172198"/>
    <w:rsid w:val="00176103"/>
    <w:rsid w:val="00181BF2"/>
    <w:rsid w:val="0018331D"/>
    <w:rsid w:val="00184123"/>
    <w:rsid w:val="00184694"/>
    <w:rsid w:val="00191F81"/>
    <w:rsid w:val="00192B36"/>
    <w:rsid w:val="0019538B"/>
    <w:rsid w:val="0019579E"/>
    <w:rsid w:val="001957FE"/>
    <w:rsid w:val="00196E05"/>
    <w:rsid w:val="001A06FF"/>
    <w:rsid w:val="001A075D"/>
    <w:rsid w:val="001A0B24"/>
    <w:rsid w:val="001B48A7"/>
    <w:rsid w:val="001B6DFC"/>
    <w:rsid w:val="001B7E5F"/>
    <w:rsid w:val="001C2C41"/>
    <w:rsid w:val="001C5DD7"/>
    <w:rsid w:val="001C7B5B"/>
    <w:rsid w:val="001D2830"/>
    <w:rsid w:val="001D38DA"/>
    <w:rsid w:val="001E641A"/>
    <w:rsid w:val="001F2A55"/>
    <w:rsid w:val="0020094D"/>
    <w:rsid w:val="002053F9"/>
    <w:rsid w:val="00206332"/>
    <w:rsid w:val="00206A30"/>
    <w:rsid w:val="00211339"/>
    <w:rsid w:val="0021184F"/>
    <w:rsid w:val="002161A0"/>
    <w:rsid w:val="00220E1A"/>
    <w:rsid w:val="00226685"/>
    <w:rsid w:val="002301F6"/>
    <w:rsid w:val="00240D72"/>
    <w:rsid w:val="00242E53"/>
    <w:rsid w:val="00243251"/>
    <w:rsid w:val="00244F12"/>
    <w:rsid w:val="0024742A"/>
    <w:rsid w:val="00250BCA"/>
    <w:rsid w:val="00252F7C"/>
    <w:rsid w:val="00256818"/>
    <w:rsid w:val="002610C6"/>
    <w:rsid w:val="002654DD"/>
    <w:rsid w:val="002707CE"/>
    <w:rsid w:val="00271417"/>
    <w:rsid w:val="00275771"/>
    <w:rsid w:val="0027758C"/>
    <w:rsid w:val="00281D38"/>
    <w:rsid w:val="002834DB"/>
    <w:rsid w:val="002854B8"/>
    <w:rsid w:val="00287352"/>
    <w:rsid w:val="00293321"/>
    <w:rsid w:val="002942C4"/>
    <w:rsid w:val="002A2285"/>
    <w:rsid w:val="002A3586"/>
    <w:rsid w:val="002B579F"/>
    <w:rsid w:val="002B6B97"/>
    <w:rsid w:val="002C359C"/>
    <w:rsid w:val="002C35CB"/>
    <w:rsid w:val="002C4075"/>
    <w:rsid w:val="002C44BF"/>
    <w:rsid w:val="002C68BD"/>
    <w:rsid w:val="002D1BC3"/>
    <w:rsid w:val="002D3078"/>
    <w:rsid w:val="002D4820"/>
    <w:rsid w:val="002D61AA"/>
    <w:rsid w:val="002D7098"/>
    <w:rsid w:val="002E4D5F"/>
    <w:rsid w:val="002E59D9"/>
    <w:rsid w:val="002E710B"/>
    <w:rsid w:val="002E72BB"/>
    <w:rsid w:val="002F286F"/>
    <w:rsid w:val="0030371D"/>
    <w:rsid w:val="00313063"/>
    <w:rsid w:val="003144C0"/>
    <w:rsid w:val="0032306F"/>
    <w:rsid w:val="00324461"/>
    <w:rsid w:val="00334186"/>
    <w:rsid w:val="00336858"/>
    <w:rsid w:val="003513E3"/>
    <w:rsid w:val="00354DD9"/>
    <w:rsid w:val="003623E3"/>
    <w:rsid w:val="00362B4F"/>
    <w:rsid w:val="0037352F"/>
    <w:rsid w:val="0037393A"/>
    <w:rsid w:val="0039059C"/>
    <w:rsid w:val="00395032"/>
    <w:rsid w:val="00396B51"/>
    <w:rsid w:val="00396F22"/>
    <w:rsid w:val="00397C7F"/>
    <w:rsid w:val="003A592E"/>
    <w:rsid w:val="003B1462"/>
    <w:rsid w:val="003B2E88"/>
    <w:rsid w:val="003C5442"/>
    <w:rsid w:val="003C698E"/>
    <w:rsid w:val="003D49FD"/>
    <w:rsid w:val="003E14F2"/>
    <w:rsid w:val="003E561C"/>
    <w:rsid w:val="003E68F4"/>
    <w:rsid w:val="003F2604"/>
    <w:rsid w:val="00405193"/>
    <w:rsid w:val="00407CC2"/>
    <w:rsid w:val="004106EF"/>
    <w:rsid w:val="0041123A"/>
    <w:rsid w:val="0041721A"/>
    <w:rsid w:val="004178CB"/>
    <w:rsid w:val="00421E9B"/>
    <w:rsid w:val="0042325E"/>
    <w:rsid w:val="004241F5"/>
    <w:rsid w:val="004265F2"/>
    <w:rsid w:val="004305D3"/>
    <w:rsid w:val="00437696"/>
    <w:rsid w:val="00445D64"/>
    <w:rsid w:val="00446632"/>
    <w:rsid w:val="0045056A"/>
    <w:rsid w:val="00451D6A"/>
    <w:rsid w:val="00453C32"/>
    <w:rsid w:val="00461628"/>
    <w:rsid w:val="00463FB8"/>
    <w:rsid w:val="00464727"/>
    <w:rsid w:val="00467C48"/>
    <w:rsid w:val="00482B1C"/>
    <w:rsid w:val="00483E87"/>
    <w:rsid w:val="00483F8D"/>
    <w:rsid w:val="004902FA"/>
    <w:rsid w:val="004935B2"/>
    <w:rsid w:val="004A2C85"/>
    <w:rsid w:val="004C038E"/>
    <w:rsid w:val="004C5D37"/>
    <w:rsid w:val="004D00EC"/>
    <w:rsid w:val="004D183D"/>
    <w:rsid w:val="004D3949"/>
    <w:rsid w:val="004E297C"/>
    <w:rsid w:val="004E70EC"/>
    <w:rsid w:val="004F1378"/>
    <w:rsid w:val="004F4E0B"/>
    <w:rsid w:val="004F501D"/>
    <w:rsid w:val="004F50B6"/>
    <w:rsid w:val="005103DA"/>
    <w:rsid w:val="00516887"/>
    <w:rsid w:val="005216DC"/>
    <w:rsid w:val="00524257"/>
    <w:rsid w:val="005311D8"/>
    <w:rsid w:val="0053229C"/>
    <w:rsid w:val="0053535E"/>
    <w:rsid w:val="0055363E"/>
    <w:rsid w:val="00555369"/>
    <w:rsid w:val="00560B94"/>
    <w:rsid w:val="005703F7"/>
    <w:rsid w:val="005710EA"/>
    <w:rsid w:val="005716D3"/>
    <w:rsid w:val="00571D82"/>
    <w:rsid w:val="00573DCC"/>
    <w:rsid w:val="00582867"/>
    <w:rsid w:val="00583AA2"/>
    <w:rsid w:val="005847FB"/>
    <w:rsid w:val="00591717"/>
    <w:rsid w:val="00591F2F"/>
    <w:rsid w:val="00592939"/>
    <w:rsid w:val="00593E61"/>
    <w:rsid w:val="005A12B7"/>
    <w:rsid w:val="005B029B"/>
    <w:rsid w:val="005B731C"/>
    <w:rsid w:val="005C20A7"/>
    <w:rsid w:val="005C2AB2"/>
    <w:rsid w:val="005D0CDF"/>
    <w:rsid w:val="005E729A"/>
    <w:rsid w:val="006048C5"/>
    <w:rsid w:val="00611AD4"/>
    <w:rsid w:val="006137DA"/>
    <w:rsid w:val="00614BB8"/>
    <w:rsid w:val="00622B34"/>
    <w:rsid w:val="00624A42"/>
    <w:rsid w:val="0062632C"/>
    <w:rsid w:val="0063420C"/>
    <w:rsid w:val="00635458"/>
    <w:rsid w:val="0063591C"/>
    <w:rsid w:val="00653EEB"/>
    <w:rsid w:val="00663DCC"/>
    <w:rsid w:val="00664352"/>
    <w:rsid w:val="0066574D"/>
    <w:rsid w:val="00665BF0"/>
    <w:rsid w:val="006670FF"/>
    <w:rsid w:val="00681F8B"/>
    <w:rsid w:val="006826B5"/>
    <w:rsid w:val="006829D5"/>
    <w:rsid w:val="00682B01"/>
    <w:rsid w:val="006854C0"/>
    <w:rsid w:val="006857F8"/>
    <w:rsid w:val="006919AC"/>
    <w:rsid w:val="006A3386"/>
    <w:rsid w:val="006A4C3E"/>
    <w:rsid w:val="006C4225"/>
    <w:rsid w:val="006C7427"/>
    <w:rsid w:val="006D171A"/>
    <w:rsid w:val="006D1F5B"/>
    <w:rsid w:val="006D5CBC"/>
    <w:rsid w:val="006E1850"/>
    <w:rsid w:val="006E3566"/>
    <w:rsid w:val="006E75BD"/>
    <w:rsid w:val="006E7A13"/>
    <w:rsid w:val="006F0699"/>
    <w:rsid w:val="006F35D2"/>
    <w:rsid w:val="006F54FC"/>
    <w:rsid w:val="00701A03"/>
    <w:rsid w:val="007170C0"/>
    <w:rsid w:val="0072133B"/>
    <w:rsid w:val="007329F1"/>
    <w:rsid w:val="0074157F"/>
    <w:rsid w:val="0074745F"/>
    <w:rsid w:val="007504F1"/>
    <w:rsid w:val="00750E7F"/>
    <w:rsid w:val="007549E5"/>
    <w:rsid w:val="00757D53"/>
    <w:rsid w:val="007670AD"/>
    <w:rsid w:val="00767FB4"/>
    <w:rsid w:val="007749F9"/>
    <w:rsid w:val="007753EF"/>
    <w:rsid w:val="00776B53"/>
    <w:rsid w:val="00782E6E"/>
    <w:rsid w:val="007843D4"/>
    <w:rsid w:val="007849F8"/>
    <w:rsid w:val="00785B93"/>
    <w:rsid w:val="00785E29"/>
    <w:rsid w:val="007918B0"/>
    <w:rsid w:val="00791BD6"/>
    <w:rsid w:val="00797A96"/>
    <w:rsid w:val="007A026A"/>
    <w:rsid w:val="007A76D7"/>
    <w:rsid w:val="007B3212"/>
    <w:rsid w:val="007C242C"/>
    <w:rsid w:val="007C399D"/>
    <w:rsid w:val="007C612A"/>
    <w:rsid w:val="007C6E0D"/>
    <w:rsid w:val="007D47D1"/>
    <w:rsid w:val="007E21E1"/>
    <w:rsid w:val="007E5579"/>
    <w:rsid w:val="007E7A1E"/>
    <w:rsid w:val="007F7D51"/>
    <w:rsid w:val="008058DC"/>
    <w:rsid w:val="00820D6D"/>
    <w:rsid w:val="008251DA"/>
    <w:rsid w:val="00832A7E"/>
    <w:rsid w:val="00835F47"/>
    <w:rsid w:val="008366B7"/>
    <w:rsid w:val="00837C0E"/>
    <w:rsid w:val="00845EF7"/>
    <w:rsid w:val="0085344C"/>
    <w:rsid w:val="00853B3F"/>
    <w:rsid w:val="00867039"/>
    <w:rsid w:val="008709C2"/>
    <w:rsid w:val="008742B4"/>
    <w:rsid w:val="00874393"/>
    <w:rsid w:val="00880EE6"/>
    <w:rsid w:val="0088390E"/>
    <w:rsid w:val="008B082F"/>
    <w:rsid w:val="008D1B27"/>
    <w:rsid w:val="008D28F4"/>
    <w:rsid w:val="008D38F1"/>
    <w:rsid w:val="008D39D7"/>
    <w:rsid w:val="008D4EEC"/>
    <w:rsid w:val="008D6C1B"/>
    <w:rsid w:val="008E0C77"/>
    <w:rsid w:val="008E3E96"/>
    <w:rsid w:val="008E5EF5"/>
    <w:rsid w:val="008E646A"/>
    <w:rsid w:val="008E7B85"/>
    <w:rsid w:val="008F29A9"/>
    <w:rsid w:val="008F65D8"/>
    <w:rsid w:val="00901255"/>
    <w:rsid w:val="009024AA"/>
    <w:rsid w:val="0091039E"/>
    <w:rsid w:val="009151DE"/>
    <w:rsid w:val="00920A5F"/>
    <w:rsid w:val="0092121E"/>
    <w:rsid w:val="00921ADF"/>
    <w:rsid w:val="00933494"/>
    <w:rsid w:val="00945975"/>
    <w:rsid w:val="00945E88"/>
    <w:rsid w:val="00950EC6"/>
    <w:rsid w:val="00960D07"/>
    <w:rsid w:val="00966B9A"/>
    <w:rsid w:val="00967CA9"/>
    <w:rsid w:val="009719FA"/>
    <w:rsid w:val="00973DBB"/>
    <w:rsid w:val="00975672"/>
    <w:rsid w:val="00991224"/>
    <w:rsid w:val="009A1DA3"/>
    <w:rsid w:val="009A6F4D"/>
    <w:rsid w:val="009A71E1"/>
    <w:rsid w:val="009A7F30"/>
    <w:rsid w:val="009B64AF"/>
    <w:rsid w:val="009B737F"/>
    <w:rsid w:val="009C4BD2"/>
    <w:rsid w:val="009D0DBD"/>
    <w:rsid w:val="009D1A3D"/>
    <w:rsid w:val="009D26A3"/>
    <w:rsid w:val="009D5623"/>
    <w:rsid w:val="009E202A"/>
    <w:rsid w:val="009E21CC"/>
    <w:rsid w:val="009E626C"/>
    <w:rsid w:val="009E7099"/>
    <w:rsid w:val="009F2C0F"/>
    <w:rsid w:val="009F5953"/>
    <w:rsid w:val="00A077BD"/>
    <w:rsid w:val="00A077C1"/>
    <w:rsid w:val="00A16471"/>
    <w:rsid w:val="00A2081B"/>
    <w:rsid w:val="00A23BA1"/>
    <w:rsid w:val="00A240B7"/>
    <w:rsid w:val="00A24D72"/>
    <w:rsid w:val="00A252EE"/>
    <w:rsid w:val="00A323EA"/>
    <w:rsid w:val="00A44FE0"/>
    <w:rsid w:val="00A46A00"/>
    <w:rsid w:val="00A56BDD"/>
    <w:rsid w:val="00A659D1"/>
    <w:rsid w:val="00A75E9D"/>
    <w:rsid w:val="00A76BA6"/>
    <w:rsid w:val="00A80ED9"/>
    <w:rsid w:val="00A86514"/>
    <w:rsid w:val="00A91A7A"/>
    <w:rsid w:val="00AA4DF4"/>
    <w:rsid w:val="00AA7866"/>
    <w:rsid w:val="00AA7984"/>
    <w:rsid w:val="00AB25C1"/>
    <w:rsid w:val="00AB2AB7"/>
    <w:rsid w:val="00AB3314"/>
    <w:rsid w:val="00AB56D6"/>
    <w:rsid w:val="00AB6A10"/>
    <w:rsid w:val="00AB7392"/>
    <w:rsid w:val="00AC4444"/>
    <w:rsid w:val="00AD05D8"/>
    <w:rsid w:val="00AD1DE8"/>
    <w:rsid w:val="00AD418D"/>
    <w:rsid w:val="00AD613E"/>
    <w:rsid w:val="00AF177A"/>
    <w:rsid w:val="00B013AF"/>
    <w:rsid w:val="00B06CC4"/>
    <w:rsid w:val="00B10366"/>
    <w:rsid w:val="00B10D8F"/>
    <w:rsid w:val="00B11BF0"/>
    <w:rsid w:val="00B11C40"/>
    <w:rsid w:val="00B13FCA"/>
    <w:rsid w:val="00B1606E"/>
    <w:rsid w:val="00B20A0D"/>
    <w:rsid w:val="00B2472B"/>
    <w:rsid w:val="00B307CE"/>
    <w:rsid w:val="00B44687"/>
    <w:rsid w:val="00B514D7"/>
    <w:rsid w:val="00B56025"/>
    <w:rsid w:val="00B57A63"/>
    <w:rsid w:val="00B57EA2"/>
    <w:rsid w:val="00B70B29"/>
    <w:rsid w:val="00B7449C"/>
    <w:rsid w:val="00B75C48"/>
    <w:rsid w:val="00B80E27"/>
    <w:rsid w:val="00B81F49"/>
    <w:rsid w:val="00B82F2D"/>
    <w:rsid w:val="00B93175"/>
    <w:rsid w:val="00B95E05"/>
    <w:rsid w:val="00BB0B45"/>
    <w:rsid w:val="00BB22CE"/>
    <w:rsid w:val="00BB355B"/>
    <w:rsid w:val="00BB576A"/>
    <w:rsid w:val="00BB7C8C"/>
    <w:rsid w:val="00BC7CAA"/>
    <w:rsid w:val="00BD35AF"/>
    <w:rsid w:val="00BE2760"/>
    <w:rsid w:val="00BE618B"/>
    <w:rsid w:val="00BF0C52"/>
    <w:rsid w:val="00BF1192"/>
    <w:rsid w:val="00C02007"/>
    <w:rsid w:val="00C02C3F"/>
    <w:rsid w:val="00C05AD0"/>
    <w:rsid w:val="00C06B54"/>
    <w:rsid w:val="00C12A41"/>
    <w:rsid w:val="00C12B72"/>
    <w:rsid w:val="00C141E7"/>
    <w:rsid w:val="00C15A0B"/>
    <w:rsid w:val="00C34E59"/>
    <w:rsid w:val="00C513D6"/>
    <w:rsid w:val="00C6475E"/>
    <w:rsid w:val="00C67A75"/>
    <w:rsid w:val="00C7009D"/>
    <w:rsid w:val="00C74F24"/>
    <w:rsid w:val="00C84BA6"/>
    <w:rsid w:val="00C85744"/>
    <w:rsid w:val="00C86385"/>
    <w:rsid w:val="00C95C83"/>
    <w:rsid w:val="00C961F8"/>
    <w:rsid w:val="00CA669C"/>
    <w:rsid w:val="00CA688D"/>
    <w:rsid w:val="00CC21E4"/>
    <w:rsid w:val="00CC3710"/>
    <w:rsid w:val="00CC59D8"/>
    <w:rsid w:val="00CD4649"/>
    <w:rsid w:val="00CD7573"/>
    <w:rsid w:val="00CF5EA7"/>
    <w:rsid w:val="00CF6C11"/>
    <w:rsid w:val="00D0350B"/>
    <w:rsid w:val="00D03517"/>
    <w:rsid w:val="00D04870"/>
    <w:rsid w:val="00D077CA"/>
    <w:rsid w:val="00D17380"/>
    <w:rsid w:val="00D20C85"/>
    <w:rsid w:val="00D216D7"/>
    <w:rsid w:val="00D227C2"/>
    <w:rsid w:val="00D25397"/>
    <w:rsid w:val="00D2540F"/>
    <w:rsid w:val="00D26C15"/>
    <w:rsid w:val="00D27260"/>
    <w:rsid w:val="00D372E6"/>
    <w:rsid w:val="00D419CE"/>
    <w:rsid w:val="00D479AD"/>
    <w:rsid w:val="00D64E05"/>
    <w:rsid w:val="00D72BC4"/>
    <w:rsid w:val="00D77F2F"/>
    <w:rsid w:val="00D8466C"/>
    <w:rsid w:val="00D904AE"/>
    <w:rsid w:val="00D956AE"/>
    <w:rsid w:val="00D95FAD"/>
    <w:rsid w:val="00D97F78"/>
    <w:rsid w:val="00DA23C9"/>
    <w:rsid w:val="00DB1481"/>
    <w:rsid w:val="00DB7D05"/>
    <w:rsid w:val="00DC19DD"/>
    <w:rsid w:val="00DC342D"/>
    <w:rsid w:val="00DC7C45"/>
    <w:rsid w:val="00DD570A"/>
    <w:rsid w:val="00DE4764"/>
    <w:rsid w:val="00DF18C3"/>
    <w:rsid w:val="00DF55D6"/>
    <w:rsid w:val="00DF6F21"/>
    <w:rsid w:val="00E01D02"/>
    <w:rsid w:val="00E144D2"/>
    <w:rsid w:val="00E16548"/>
    <w:rsid w:val="00E1675F"/>
    <w:rsid w:val="00E27AF7"/>
    <w:rsid w:val="00E34DDF"/>
    <w:rsid w:val="00E355EB"/>
    <w:rsid w:val="00E36C39"/>
    <w:rsid w:val="00E37034"/>
    <w:rsid w:val="00E415A7"/>
    <w:rsid w:val="00E51004"/>
    <w:rsid w:val="00E51CC6"/>
    <w:rsid w:val="00E56B73"/>
    <w:rsid w:val="00E62995"/>
    <w:rsid w:val="00E73DD5"/>
    <w:rsid w:val="00E808DA"/>
    <w:rsid w:val="00E87697"/>
    <w:rsid w:val="00E92E27"/>
    <w:rsid w:val="00E96E39"/>
    <w:rsid w:val="00EA1CFF"/>
    <w:rsid w:val="00EA2DDE"/>
    <w:rsid w:val="00EA2E22"/>
    <w:rsid w:val="00EA336B"/>
    <w:rsid w:val="00EA3451"/>
    <w:rsid w:val="00EB6142"/>
    <w:rsid w:val="00EB69F7"/>
    <w:rsid w:val="00EB723D"/>
    <w:rsid w:val="00EC5DFE"/>
    <w:rsid w:val="00EC5E15"/>
    <w:rsid w:val="00ED777C"/>
    <w:rsid w:val="00ED7F0F"/>
    <w:rsid w:val="00EE1521"/>
    <w:rsid w:val="00EE628C"/>
    <w:rsid w:val="00EF4104"/>
    <w:rsid w:val="00F00A11"/>
    <w:rsid w:val="00F01F7C"/>
    <w:rsid w:val="00F059C6"/>
    <w:rsid w:val="00F05D2C"/>
    <w:rsid w:val="00F06393"/>
    <w:rsid w:val="00F11E1D"/>
    <w:rsid w:val="00F1389B"/>
    <w:rsid w:val="00F13CA1"/>
    <w:rsid w:val="00F15F74"/>
    <w:rsid w:val="00F1607A"/>
    <w:rsid w:val="00F20298"/>
    <w:rsid w:val="00F21CA5"/>
    <w:rsid w:val="00F2604C"/>
    <w:rsid w:val="00F273EF"/>
    <w:rsid w:val="00F3058C"/>
    <w:rsid w:val="00F32881"/>
    <w:rsid w:val="00F41A09"/>
    <w:rsid w:val="00F4447E"/>
    <w:rsid w:val="00F468BA"/>
    <w:rsid w:val="00F47628"/>
    <w:rsid w:val="00F55D54"/>
    <w:rsid w:val="00F5739B"/>
    <w:rsid w:val="00F6639D"/>
    <w:rsid w:val="00F72F38"/>
    <w:rsid w:val="00F83DA6"/>
    <w:rsid w:val="00F84408"/>
    <w:rsid w:val="00F94A58"/>
    <w:rsid w:val="00F96DC7"/>
    <w:rsid w:val="00FA4037"/>
    <w:rsid w:val="00FA44B3"/>
    <w:rsid w:val="00FA670A"/>
    <w:rsid w:val="00FA69AE"/>
    <w:rsid w:val="00FC038F"/>
    <w:rsid w:val="00FC3748"/>
    <w:rsid w:val="00FC3D07"/>
    <w:rsid w:val="00FD1B67"/>
    <w:rsid w:val="00FD1DE3"/>
    <w:rsid w:val="00FD46D3"/>
    <w:rsid w:val="00FE0092"/>
    <w:rsid w:val="00FE3757"/>
    <w:rsid w:val="00FF1D95"/>
    <w:rsid w:val="00FF26BB"/>
    <w:rsid w:val="00FF7821"/>
    <w:rsid w:val="01766540"/>
    <w:rsid w:val="01A2398C"/>
    <w:rsid w:val="01A3007F"/>
    <w:rsid w:val="02F02D94"/>
    <w:rsid w:val="03D21633"/>
    <w:rsid w:val="05574F83"/>
    <w:rsid w:val="056C5780"/>
    <w:rsid w:val="05AA483D"/>
    <w:rsid w:val="05AC4062"/>
    <w:rsid w:val="06524499"/>
    <w:rsid w:val="07181EB2"/>
    <w:rsid w:val="07CB038E"/>
    <w:rsid w:val="07F1261A"/>
    <w:rsid w:val="08035DEC"/>
    <w:rsid w:val="08080993"/>
    <w:rsid w:val="083E5C8C"/>
    <w:rsid w:val="0842545A"/>
    <w:rsid w:val="08577CAD"/>
    <w:rsid w:val="085B7E7B"/>
    <w:rsid w:val="08A37330"/>
    <w:rsid w:val="08DE4741"/>
    <w:rsid w:val="08F556BA"/>
    <w:rsid w:val="095079B0"/>
    <w:rsid w:val="09DD127E"/>
    <w:rsid w:val="0A1557DB"/>
    <w:rsid w:val="0A3F7D93"/>
    <w:rsid w:val="0B240C61"/>
    <w:rsid w:val="0B962338"/>
    <w:rsid w:val="0C3A0FEF"/>
    <w:rsid w:val="0C636BF7"/>
    <w:rsid w:val="0CBD009D"/>
    <w:rsid w:val="0D0B64BC"/>
    <w:rsid w:val="0DB80D91"/>
    <w:rsid w:val="0EA90083"/>
    <w:rsid w:val="0EAA5CAD"/>
    <w:rsid w:val="0F882D9D"/>
    <w:rsid w:val="0FC432A2"/>
    <w:rsid w:val="0FDFAF5F"/>
    <w:rsid w:val="10745451"/>
    <w:rsid w:val="108D71C7"/>
    <w:rsid w:val="11465463"/>
    <w:rsid w:val="11DB53DF"/>
    <w:rsid w:val="11FD6FAE"/>
    <w:rsid w:val="12137217"/>
    <w:rsid w:val="12594662"/>
    <w:rsid w:val="125A70F4"/>
    <w:rsid w:val="125C2070"/>
    <w:rsid w:val="130E32D7"/>
    <w:rsid w:val="132821B6"/>
    <w:rsid w:val="141F33AF"/>
    <w:rsid w:val="142862C9"/>
    <w:rsid w:val="14665D16"/>
    <w:rsid w:val="14A80302"/>
    <w:rsid w:val="151C4753"/>
    <w:rsid w:val="157348B0"/>
    <w:rsid w:val="15B6650E"/>
    <w:rsid w:val="15EA4F64"/>
    <w:rsid w:val="1602416F"/>
    <w:rsid w:val="16706488"/>
    <w:rsid w:val="16B849F9"/>
    <w:rsid w:val="16FC64CC"/>
    <w:rsid w:val="17170445"/>
    <w:rsid w:val="173C211B"/>
    <w:rsid w:val="17D17944"/>
    <w:rsid w:val="17F87944"/>
    <w:rsid w:val="184E60CA"/>
    <w:rsid w:val="18B06EB9"/>
    <w:rsid w:val="18FB0333"/>
    <w:rsid w:val="19A678FE"/>
    <w:rsid w:val="19B7492C"/>
    <w:rsid w:val="19D5786F"/>
    <w:rsid w:val="1A3F149C"/>
    <w:rsid w:val="1BB61430"/>
    <w:rsid w:val="1C19181A"/>
    <w:rsid w:val="1CD343C3"/>
    <w:rsid w:val="1CDB5F26"/>
    <w:rsid w:val="1D417C9E"/>
    <w:rsid w:val="1E7C03FB"/>
    <w:rsid w:val="1F0A34CC"/>
    <w:rsid w:val="20053CA4"/>
    <w:rsid w:val="203C735E"/>
    <w:rsid w:val="205C08B2"/>
    <w:rsid w:val="20C840E6"/>
    <w:rsid w:val="20F01200"/>
    <w:rsid w:val="211663DC"/>
    <w:rsid w:val="21352BFF"/>
    <w:rsid w:val="21B03B31"/>
    <w:rsid w:val="21CB5962"/>
    <w:rsid w:val="22511423"/>
    <w:rsid w:val="22F07AE2"/>
    <w:rsid w:val="231740CB"/>
    <w:rsid w:val="232A1843"/>
    <w:rsid w:val="233356ED"/>
    <w:rsid w:val="23FE253D"/>
    <w:rsid w:val="241B6A93"/>
    <w:rsid w:val="245B77CE"/>
    <w:rsid w:val="24AD1861"/>
    <w:rsid w:val="25EC4785"/>
    <w:rsid w:val="26BA521F"/>
    <w:rsid w:val="26E67134"/>
    <w:rsid w:val="270C6B6F"/>
    <w:rsid w:val="271D22ED"/>
    <w:rsid w:val="27375B55"/>
    <w:rsid w:val="27D43AE7"/>
    <w:rsid w:val="28A66871"/>
    <w:rsid w:val="28F053D8"/>
    <w:rsid w:val="29122683"/>
    <w:rsid w:val="29C9561D"/>
    <w:rsid w:val="29F7622E"/>
    <w:rsid w:val="2AA7032C"/>
    <w:rsid w:val="2B0A026C"/>
    <w:rsid w:val="2B23082C"/>
    <w:rsid w:val="2BA65F1E"/>
    <w:rsid w:val="2BD77B89"/>
    <w:rsid w:val="2BEA0B91"/>
    <w:rsid w:val="2BFFFD5B"/>
    <w:rsid w:val="2CA2644E"/>
    <w:rsid w:val="2D055723"/>
    <w:rsid w:val="2D116415"/>
    <w:rsid w:val="2D603176"/>
    <w:rsid w:val="2D610ECF"/>
    <w:rsid w:val="2E402DEC"/>
    <w:rsid w:val="2E73328A"/>
    <w:rsid w:val="2E9E49A0"/>
    <w:rsid w:val="2E9E5BBE"/>
    <w:rsid w:val="2EB367D6"/>
    <w:rsid w:val="2EF45A2B"/>
    <w:rsid w:val="2F015DB9"/>
    <w:rsid w:val="2FD62599"/>
    <w:rsid w:val="2FEE6723"/>
    <w:rsid w:val="3066177D"/>
    <w:rsid w:val="30FD2E4A"/>
    <w:rsid w:val="315E2202"/>
    <w:rsid w:val="31BB4892"/>
    <w:rsid w:val="31D30F8D"/>
    <w:rsid w:val="32171FB4"/>
    <w:rsid w:val="323B163A"/>
    <w:rsid w:val="324E3679"/>
    <w:rsid w:val="3292667D"/>
    <w:rsid w:val="3294550E"/>
    <w:rsid w:val="32B96AB5"/>
    <w:rsid w:val="32F34938"/>
    <w:rsid w:val="335D40B0"/>
    <w:rsid w:val="33C653DC"/>
    <w:rsid w:val="3405341C"/>
    <w:rsid w:val="341F13F6"/>
    <w:rsid w:val="34A550BF"/>
    <w:rsid w:val="34B82B27"/>
    <w:rsid w:val="34C57899"/>
    <w:rsid w:val="34C66918"/>
    <w:rsid w:val="34DF3CC4"/>
    <w:rsid w:val="3568076E"/>
    <w:rsid w:val="358260C4"/>
    <w:rsid w:val="358A0125"/>
    <w:rsid w:val="35C82D15"/>
    <w:rsid w:val="35E40909"/>
    <w:rsid w:val="360833DF"/>
    <w:rsid w:val="360A4E14"/>
    <w:rsid w:val="36213297"/>
    <w:rsid w:val="36234C48"/>
    <w:rsid w:val="36356C9D"/>
    <w:rsid w:val="36C235BD"/>
    <w:rsid w:val="36DB784F"/>
    <w:rsid w:val="36F3056E"/>
    <w:rsid w:val="37085D17"/>
    <w:rsid w:val="37425F45"/>
    <w:rsid w:val="379C71B2"/>
    <w:rsid w:val="379E1B23"/>
    <w:rsid w:val="37E0157E"/>
    <w:rsid w:val="381308B6"/>
    <w:rsid w:val="384B1C9D"/>
    <w:rsid w:val="389460F6"/>
    <w:rsid w:val="38D02BAB"/>
    <w:rsid w:val="395F099D"/>
    <w:rsid w:val="39A11DCF"/>
    <w:rsid w:val="39BC2B93"/>
    <w:rsid w:val="3A4A6A20"/>
    <w:rsid w:val="3AC54AEC"/>
    <w:rsid w:val="3ADC06F3"/>
    <w:rsid w:val="3B4C0F20"/>
    <w:rsid w:val="3BF871E3"/>
    <w:rsid w:val="3CB963C6"/>
    <w:rsid w:val="3D294656"/>
    <w:rsid w:val="3D51111E"/>
    <w:rsid w:val="3D814129"/>
    <w:rsid w:val="3E42493A"/>
    <w:rsid w:val="3E476612"/>
    <w:rsid w:val="3E755091"/>
    <w:rsid w:val="3E875C7F"/>
    <w:rsid w:val="3F2A7405"/>
    <w:rsid w:val="3F4306C3"/>
    <w:rsid w:val="3FA9451A"/>
    <w:rsid w:val="402073E2"/>
    <w:rsid w:val="402664E9"/>
    <w:rsid w:val="40670E19"/>
    <w:rsid w:val="413857B0"/>
    <w:rsid w:val="41504E4F"/>
    <w:rsid w:val="42157D0B"/>
    <w:rsid w:val="434E60E6"/>
    <w:rsid w:val="43663466"/>
    <w:rsid w:val="43696B64"/>
    <w:rsid w:val="439F460D"/>
    <w:rsid w:val="43D3219E"/>
    <w:rsid w:val="44343563"/>
    <w:rsid w:val="4457335D"/>
    <w:rsid w:val="44BE1C7E"/>
    <w:rsid w:val="45633A37"/>
    <w:rsid w:val="461A402C"/>
    <w:rsid w:val="46326009"/>
    <w:rsid w:val="46650671"/>
    <w:rsid w:val="46A53478"/>
    <w:rsid w:val="46FF6323"/>
    <w:rsid w:val="47201EA2"/>
    <w:rsid w:val="472D42FC"/>
    <w:rsid w:val="475D6AD3"/>
    <w:rsid w:val="479E40AC"/>
    <w:rsid w:val="47D61BE1"/>
    <w:rsid w:val="480155EB"/>
    <w:rsid w:val="482F519E"/>
    <w:rsid w:val="484309E3"/>
    <w:rsid w:val="4868163B"/>
    <w:rsid w:val="48783DD2"/>
    <w:rsid w:val="488333D8"/>
    <w:rsid w:val="49B05BDD"/>
    <w:rsid w:val="49B37EDD"/>
    <w:rsid w:val="49DB0507"/>
    <w:rsid w:val="49F02D84"/>
    <w:rsid w:val="4A0D7CB9"/>
    <w:rsid w:val="4AB8268F"/>
    <w:rsid w:val="4AD61988"/>
    <w:rsid w:val="4AE20589"/>
    <w:rsid w:val="4AFA6DBC"/>
    <w:rsid w:val="4B073487"/>
    <w:rsid w:val="4B995C0C"/>
    <w:rsid w:val="4BA9757D"/>
    <w:rsid w:val="4BB87644"/>
    <w:rsid w:val="4BC227D8"/>
    <w:rsid w:val="4C081742"/>
    <w:rsid w:val="4C0C707C"/>
    <w:rsid w:val="4C0F78E1"/>
    <w:rsid w:val="4C292300"/>
    <w:rsid w:val="4C39646C"/>
    <w:rsid w:val="4CCA07B4"/>
    <w:rsid w:val="4CD73748"/>
    <w:rsid w:val="4CDA7860"/>
    <w:rsid w:val="4CDD0D7E"/>
    <w:rsid w:val="4CF93D19"/>
    <w:rsid w:val="4D4737D9"/>
    <w:rsid w:val="4D6C76C5"/>
    <w:rsid w:val="4E3E20DA"/>
    <w:rsid w:val="4E7C32FB"/>
    <w:rsid w:val="4EC12A78"/>
    <w:rsid w:val="4ED93737"/>
    <w:rsid w:val="4EFF188F"/>
    <w:rsid w:val="4F6E7D48"/>
    <w:rsid w:val="4FE03B35"/>
    <w:rsid w:val="501960B4"/>
    <w:rsid w:val="50682779"/>
    <w:rsid w:val="50C229E4"/>
    <w:rsid w:val="51345BA8"/>
    <w:rsid w:val="518C6A9E"/>
    <w:rsid w:val="520531C9"/>
    <w:rsid w:val="525B4F43"/>
    <w:rsid w:val="52B92193"/>
    <w:rsid w:val="535B7544"/>
    <w:rsid w:val="542335F1"/>
    <w:rsid w:val="5439467A"/>
    <w:rsid w:val="54AF247D"/>
    <w:rsid w:val="54E740CE"/>
    <w:rsid w:val="577E3F90"/>
    <w:rsid w:val="57A33159"/>
    <w:rsid w:val="57DB0F86"/>
    <w:rsid w:val="587D2E6A"/>
    <w:rsid w:val="59051599"/>
    <w:rsid w:val="598F7BC8"/>
    <w:rsid w:val="599D7860"/>
    <w:rsid w:val="59B3497F"/>
    <w:rsid w:val="59DE3397"/>
    <w:rsid w:val="5A3C3D7C"/>
    <w:rsid w:val="5A7B1F67"/>
    <w:rsid w:val="5AD86455"/>
    <w:rsid w:val="5AD866AF"/>
    <w:rsid w:val="5ADC7172"/>
    <w:rsid w:val="5AF46289"/>
    <w:rsid w:val="5B277CE8"/>
    <w:rsid w:val="5B4D1492"/>
    <w:rsid w:val="5B7D5AFB"/>
    <w:rsid w:val="5BFFA9EB"/>
    <w:rsid w:val="5C0E5623"/>
    <w:rsid w:val="5C2A40A2"/>
    <w:rsid w:val="5C3141C4"/>
    <w:rsid w:val="5C955F16"/>
    <w:rsid w:val="5CA951D3"/>
    <w:rsid w:val="5D023F79"/>
    <w:rsid w:val="5D071024"/>
    <w:rsid w:val="5D673F37"/>
    <w:rsid w:val="5DED5505"/>
    <w:rsid w:val="5DEE05FE"/>
    <w:rsid w:val="5DFAB47F"/>
    <w:rsid w:val="5E063D7F"/>
    <w:rsid w:val="5E0C7438"/>
    <w:rsid w:val="5E274183"/>
    <w:rsid w:val="5F0C3241"/>
    <w:rsid w:val="5FEE4AD5"/>
    <w:rsid w:val="600C763B"/>
    <w:rsid w:val="60392E33"/>
    <w:rsid w:val="603B0E20"/>
    <w:rsid w:val="605E6E7C"/>
    <w:rsid w:val="60A855BD"/>
    <w:rsid w:val="61165F7A"/>
    <w:rsid w:val="61427A5B"/>
    <w:rsid w:val="614963E0"/>
    <w:rsid w:val="620D0821"/>
    <w:rsid w:val="6215128C"/>
    <w:rsid w:val="62682B76"/>
    <w:rsid w:val="62E66882"/>
    <w:rsid w:val="63077744"/>
    <w:rsid w:val="6336004F"/>
    <w:rsid w:val="636477A0"/>
    <w:rsid w:val="63AF1039"/>
    <w:rsid w:val="65060A3A"/>
    <w:rsid w:val="651B3B0A"/>
    <w:rsid w:val="652A5381"/>
    <w:rsid w:val="653F218D"/>
    <w:rsid w:val="667B0492"/>
    <w:rsid w:val="668C17C0"/>
    <w:rsid w:val="673A3D41"/>
    <w:rsid w:val="67973E1C"/>
    <w:rsid w:val="67C6574F"/>
    <w:rsid w:val="67D5646C"/>
    <w:rsid w:val="67FFB562"/>
    <w:rsid w:val="68F233A6"/>
    <w:rsid w:val="698E2580"/>
    <w:rsid w:val="6A6634FD"/>
    <w:rsid w:val="6B3D34A8"/>
    <w:rsid w:val="6BF783B7"/>
    <w:rsid w:val="6C455C88"/>
    <w:rsid w:val="6CE74C47"/>
    <w:rsid w:val="6CF26F51"/>
    <w:rsid w:val="6D636BC6"/>
    <w:rsid w:val="6D8A2101"/>
    <w:rsid w:val="6DAD0ABF"/>
    <w:rsid w:val="6DD52AC7"/>
    <w:rsid w:val="6DE92328"/>
    <w:rsid w:val="6E267ECF"/>
    <w:rsid w:val="6E684C39"/>
    <w:rsid w:val="6EC85C5A"/>
    <w:rsid w:val="6EDB5251"/>
    <w:rsid w:val="6EDF8B97"/>
    <w:rsid w:val="6F150D31"/>
    <w:rsid w:val="6F5B2129"/>
    <w:rsid w:val="70164096"/>
    <w:rsid w:val="702474E8"/>
    <w:rsid w:val="704E7963"/>
    <w:rsid w:val="70ED7502"/>
    <w:rsid w:val="713C5AF1"/>
    <w:rsid w:val="71DC7BC6"/>
    <w:rsid w:val="723F4F91"/>
    <w:rsid w:val="72A071C8"/>
    <w:rsid w:val="72DEA9CF"/>
    <w:rsid w:val="74671F87"/>
    <w:rsid w:val="74855C76"/>
    <w:rsid w:val="74F503BF"/>
    <w:rsid w:val="754C4C7A"/>
    <w:rsid w:val="75C8506C"/>
    <w:rsid w:val="75EE3F6F"/>
    <w:rsid w:val="75EFEFA6"/>
    <w:rsid w:val="75FF7299"/>
    <w:rsid w:val="76CA0DE7"/>
    <w:rsid w:val="77334F64"/>
    <w:rsid w:val="773C642B"/>
    <w:rsid w:val="773E0BB7"/>
    <w:rsid w:val="774A22BE"/>
    <w:rsid w:val="776F1A2E"/>
    <w:rsid w:val="77B166BE"/>
    <w:rsid w:val="77B212DD"/>
    <w:rsid w:val="77B21382"/>
    <w:rsid w:val="77F20631"/>
    <w:rsid w:val="77FB5F09"/>
    <w:rsid w:val="786B61D0"/>
    <w:rsid w:val="78C20F8D"/>
    <w:rsid w:val="78FF0487"/>
    <w:rsid w:val="79546D64"/>
    <w:rsid w:val="797E67EC"/>
    <w:rsid w:val="79BF5AD7"/>
    <w:rsid w:val="79D145FF"/>
    <w:rsid w:val="7AC30C5C"/>
    <w:rsid w:val="7C0F020E"/>
    <w:rsid w:val="7C8D6B94"/>
    <w:rsid w:val="7D1B7353"/>
    <w:rsid w:val="7D397355"/>
    <w:rsid w:val="7D87580C"/>
    <w:rsid w:val="7D9677FD"/>
    <w:rsid w:val="7F5234B1"/>
    <w:rsid w:val="7F8E0228"/>
    <w:rsid w:val="7FA61ED8"/>
    <w:rsid w:val="7FB81696"/>
    <w:rsid w:val="86FC6549"/>
    <w:rsid w:val="96F37F3D"/>
    <w:rsid w:val="9FD70979"/>
    <w:rsid w:val="CD7EBCEA"/>
    <w:rsid w:val="EEFFB86A"/>
    <w:rsid w:val="EF6DBDC2"/>
    <w:rsid w:val="EF7FBABA"/>
    <w:rsid w:val="EF9B8617"/>
    <w:rsid w:val="EFDF217B"/>
    <w:rsid w:val="FF7F49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link w:val="33"/>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3">
    <w:name w:val="heading 3"/>
    <w:basedOn w:val="1"/>
    <w:next w:val="1"/>
    <w:qFormat/>
    <w:uiPriority w:val="0"/>
    <w:pPr>
      <w:keepNext/>
      <w:keepLines/>
      <w:adjustRightInd/>
      <w:spacing w:before="260" w:beforeLines="0" w:after="260" w:afterLines="0" w:line="413" w:lineRule="auto"/>
      <w:jc w:val="both"/>
      <w:textAlignment w:val="auto"/>
      <w:outlineLvl w:val="2"/>
    </w:pPr>
    <w:rPr>
      <w:rFonts w:ascii="Times New Roman" w:cs="Times New Roman"/>
      <w:b/>
      <w:bCs/>
      <w:kern w:val="2"/>
      <w:sz w:val="32"/>
      <w:szCs w:val="32"/>
    </w:rPr>
  </w:style>
  <w:style w:type="paragraph" w:styleId="4">
    <w:name w:val="heading 4"/>
    <w:basedOn w:val="1"/>
    <w:next w:val="1"/>
    <w:link w:val="34"/>
    <w:qFormat/>
    <w:uiPriority w:val="0"/>
    <w:pPr>
      <w:keepNext/>
      <w:keepLines/>
      <w:spacing w:before="280" w:after="290" w:line="376" w:lineRule="auto"/>
      <w:outlineLvl w:val="3"/>
    </w:pPr>
    <w:rPr>
      <w:rFonts w:ascii="Cambria" w:hAnsi="Cambria"/>
      <w:b/>
      <w:bCs/>
      <w:sz w:val="28"/>
      <w:szCs w:val="28"/>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5">
    <w:name w:val="List 3"/>
    <w:basedOn w:val="1"/>
    <w:next w:val="1"/>
    <w:qFormat/>
    <w:uiPriority w:val="0"/>
    <w:pPr>
      <w:autoSpaceDE w:val="0"/>
      <w:autoSpaceDN w:val="0"/>
      <w:adjustRightInd w:val="0"/>
      <w:spacing w:line="288" w:lineRule="auto"/>
      <w:ind w:left="1260" w:hanging="420"/>
      <w:jc w:val="left"/>
      <w:textAlignment w:val="baseline"/>
    </w:pPr>
    <w:rPr>
      <w:kern w:val="0"/>
      <w:sz w:val="24"/>
      <w:szCs w:val="20"/>
    </w:rPr>
  </w:style>
  <w:style w:type="paragraph" w:styleId="6">
    <w:name w:val="table of authorities"/>
    <w:basedOn w:val="1"/>
    <w:next w:val="1"/>
    <w:qFormat/>
    <w:uiPriority w:val="0"/>
    <w:pPr>
      <w:spacing w:line="360" w:lineRule="auto"/>
      <w:ind w:left="0" w:leftChars="0" w:firstLine="720" w:firstLineChars="200"/>
      <w:jc w:val="both"/>
    </w:pPr>
    <w:rPr>
      <w:rFonts w:ascii="Times New Roman" w:hAnsi="Times New Roman" w:eastAsia="宋体"/>
      <w:sz w:val="24"/>
    </w:rPr>
  </w:style>
  <w:style w:type="paragraph" w:styleId="7">
    <w:name w:val="Normal Indent"/>
    <w:basedOn w:val="1"/>
    <w:qFormat/>
    <w:uiPriority w:val="0"/>
    <w:pPr>
      <w:spacing w:line="460" w:lineRule="atLeast"/>
      <w:ind w:firstLine="420"/>
    </w:pPr>
    <w:rPr>
      <w:rFonts w:ascii="Times New Roman" w:hAnsi="Times New Roman"/>
      <w:sz w:val="24"/>
      <w:szCs w:val="20"/>
    </w:rPr>
  </w:style>
  <w:style w:type="paragraph" w:styleId="8">
    <w:name w:val="annotation text"/>
    <w:basedOn w:val="1"/>
    <w:qFormat/>
    <w:uiPriority w:val="0"/>
    <w:pPr>
      <w:jc w:val="left"/>
    </w:pPr>
  </w:style>
  <w:style w:type="paragraph" w:styleId="9">
    <w:name w:val="Body Text"/>
    <w:basedOn w:val="1"/>
    <w:link w:val="35"/>
    <w:qFormat/>
    <w:uiPriority w:val="0"/>
    <w:pPr>
      <w:spacing w:after="120"/>
    </w:pPr>
  </w:style>
  <w:style w:type="paragraph" w:styleId="10">
    <w:name w:val="Body Text Indent"/>
    <w:basedOn w:val="1"/>
    <w:next w:val="11"/>
    <w:qFormat/>
    <w:uiPriority w:val="0"/>
    <w:pPr>
      <w:spacing w:after="120"/>
      <w:ind w:left="420" w:leftChars="200"/>
    </w:pPr>
  </w:style>
  <w:style w:type="paragraph" w:styleId="11">
    <w:name w:val="Body Text First Indent 2"/>
    <w:basedOn w:val="1"/>
    <w:next w:val="1"/>
    <w:qFormat/>
    <w:uiPriority w:val="0"/>
    <w:pPr>
      <w:ind w:firstLine="420" w:firstLineChars="200"/>
    </w:pPr>
  </w:style>
  <w:style w:type="paragraph" w:styleId="12">
    <w:name w:val="Plain Text"/>
    <w:basedOn w:val="1"/>
    <w:next w:val="13"/>
    <w:link w:val="36"/>
    <w:qFormat/>
    <w:uiPriority w:val="0"/>
    <w:pPr>
      <w:widowControl w:val="0"/>
      <w:spacing w:line="240" w:lineRule="auto"/>
      <w:textAlignment w:val="auto"/>
    </w:pPr>
    <w:rPr>
      <w:rFonts w:ascii="宋体" w:hAnsi="Courier New"/>
      <w:color w:val="auto"/>
      <w:kern w:val="2"/>
      <w:u w:val="none" w:color="auto"/>
    </w:rPr>
  </w:style>
  <w:style w:type="paragraph" w:customStyle="1" w:styleId="13">
    <w:name w:val="正本"/>
    <w:basedOn w:val="1"/>
    <w:qFormat/>
    <w:uiPriority w:val="0"/>
    <w:pPr>
      <w:adjustRightInd w:val="0"/>
      <w:snapToGrid w:val="0"/>
      <w:spacing w:line="360" w:lineRule="auto"/>
      <w:ind w:firstLine="200" w:firstLineChars="200"/>
    </w:pPr>
    <w:rPr>
      <w:rFonts w:ascii="宋体" w:eastAsia="宋体"/>
      <w:kern w:val="2"/>
      <w:sz w:val="24"/>
      <w:szCs w:val="24"/>
      <w:lang w:val="en-US" w:eastAsia="zh-CN" w:bidi="ar-SA"/>
    </w:rPr>
  </w:style>
  <w:style w:type="paragraph" w:styleId="14">
    <w:name w:val="Date"/>
    <w:basedOn w:val="1"/>
    <w:next w:val="1"/>
    <w:link w:val="37"/>
    <w:qFormat/>
    <w:uiPriority w:val="0"/>
    <w:pPr>
      <w:ind w:left="100" w:leftChars="2500"/>
    </w:pPr>
  </w:style>
  <w:style w:type="paragraph" w:styleId="15">
    <w:name w:val="Body Text Indent 2"/>
    <w:basedOn w:val="1"/>
    <w:next w:val="11"/>
    <w:qFormat/>
    <w:uiPriority w:val="0"/>
    <w:pPr>
      <w:spacing w:after="120" w:line="480" w:lineRule="auto"/>
      <w:ind w:left="420" w:leftChars="200"/>
    </w:pPr>
  </w:style>
  <w:style w:type="paragraph" w:styleId="16">
    <w:name w:val="footer"/>
    <w:basedOn w:val="1"/>
    <w:link w:val="38"/>
    <w:qFormat/>
    <w:uiPriority w:val="99"/>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8">
    <w:name w:val="table of figures"/>
    <w:basedOn w:val="1"/>
    <w:next w:val="1"/>
    <w:qFormat/>
    <w:uiPriority w:val="0"/>
    <w:pPr>
      <w:ind w:left="200" w:leftChars="200" w:hanging="200" w:hangingChars="200"/>
    </w:pPr>
    <w:rPr>
      <w:szCs w:val="21"/>
    </w:rPr>
  </w:style>
  <w:style w:type="paragraph" w:styleId="19">
    <w:name w:val="Body Text 2"/>
    <w:basedOn w:val="1"/>
    <w:unhideWhenUsed/>
    <w:qFormat/>
    <w:uiPriority w:val="99"/>
    <w:pPr>
      <w:spacing w:after="120" w:line="480" w:lineRule="auto"/>
    </w:pPr>
    <w:rPr>
      <w:rFonts w:ascii="Calibri" w:hAnsi="Calibri"/>
      <w:sz w:val="24"/>
    </w:rPr>
  </w:style>
  <w:style w:type="paragraph" w:styleId="20">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21">
    <w:name w:val="Title"/>
    <w:basedOn w:val="1"/>
    <w:next w:val="1"/>
    <w:link w:val="39"/>
    <w:qFormat/>
    <w:uiPriority w:val="0"/>
    <w:pPr>
      <w:spacing w:before="240" w:after="60"/>
      <w:jc w:val="center"/>
      <w:outlineLvl w:val="0"/>
    </w:pPr>
    <w:rPr>
      <w:rFonts w:ascii="Cambria" w:hAnsi="Cambria" w:cs="Times New Roman"/>
      <w:b/>
      <w:bCs/>
      <w:sz w:val="32"/>
      <w:szCs w:val="32"/>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bCs/>
    </w:rPr>
  </w:style>
  <w:style w:type="character" w:styleId="26">
    <w:name w:val="FollowedHyperlink"/>
    <w:basedOn w:val="24"/>
    <w:qFormat/>
    <w:uiPriority w:val="0"/>
    <w:rPr>
      <w:color w:val="333333"/>
      <w:u w:val="none"/>
    </w:rPr>
  </w:style>
  <w:style w:type="character" w:styleId="27">
    <w:name w:val="Emphasis"/>
    <w:basedOn w:val="24"/>
    <w:qFormat/>
    <w:uiPriority w:val="0"/>
  </w:style>
  <w:style w:type="character" w:styleId="28">
    <w:name w:val="Hyperlink"/>
    <w:basedOn w:val="24"/>
    <w:qFormat/>
    <w:uiPriority w:val="0"/>
    <w:rPr>
      <w:color w:val="333333"/>
      <w:u w:val="none"/>
    </w:rPr>
  </w:style>
  <w:style w:type="character" w:styleId="29">
    <w:name w:val="annotation reference"/>
    <w:basedOn w:val="24"/>
    <w:qFormat/>
    <w:uiPriority w:val="0"/>
    <w:rPr>
      <w:sz w:val="21"/>
      <w:szCs w:val="21"/>
    </w:rPr>
  </w:style>
  <w:style w:type="paragraph" w:customStyle="1" w:styleId="30">
    <w:name w:val="Default"/>
    <w:basedOn w:val="31"/>
    <w:next w:val="11"/>
    <w:semiHidden/>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32">
    <w:name w:val="正文2"/>
    <w:basedOn w:val="1"/>
    <w:qFormat/>
    <w:uiPriority w:val="0"/>
    <w:pPr>
      <w:spacing w:line="440" w:lineRule="atLeast"/>
      <w:ind w:firstLine="567"/>
    </w:pPr>
    <w:rPr>
      <w:szCs w:val="20"/>
    </w:rPr>
  </w:style>
  <w:style w:type="character" w:customStyle="1" w:styleId="33">
    <w:name w:val="标题 2 Char"/>
    <w:basedOn w:val="24"/>
    <w:link w:val="2"/>
    <w:semiHidden/>
    <w:qFormat/>
    <w:uiPriority w:val="0"/>
    <w:rPr>
      <w:rFonts w:ascii="Cambria" w:hAnsi="Cambria" w:eastAsia="宋体" w:cs="Times New Roman"/>
      <w:b/>
      <w:bCs/>
      <w:kern w:val="2"/>
      <w:sz w:val="32"/>
      <w:szCs w:val="32"/>
    </w:rPr>
  </w:style>
  <w:style w:type="character" w:customStyle="1" w:styleId="34">
    <w:name w:val="标题 4 Char"/>
    <w:basedOn w:val="24"/>
    <w:link w:val="4"/>
    <w:qFormat/>
    <w:uiPriority w:val="0"/>
    <w:rPr>
      <w:rFonts w:ascii="Cambria" w:hAnsi="Cambria"/>
      <w:b/>
      <w:bCs/>
      <w:kern w:val="2"/>
      <w:sz w:val="28"/>
      <w:szCs w:val="28"/>
    </w:rPr>
  </w:style>
  <w:style w:type="character" w:customStyle="1" w:styleId="35">
    <w:name w:val="正文文本 Char"/>
    <w:basedOn w:val="24"/>
    <w:link w:val="9"/>
    <w:qFormat/>
    <w:uiPriority w:val="0"/>
    <w:rPr>
      <w:kern w:val="2"/>
      <w:sz w:val="21"/>
      <w:szCs w:val="22"/>
    </w:rPr>
  </w:style>
  <w:style w:type="character" w:customStyle="1" w:styleId="36">
    <w:name w:val="纯文本 Char"/>
    <w:basedOn w:val="24"/>
    <w:link w:val="12"/>
    <w:qFormat/>
    <w:uiPriority w:val="0"/>
    <w:rPr>
      <w:rFonts w:ascii="宋体" w:hAnsi="Courier New"/>
      <w:kern w:val="2"/>
      <w:sz w:val="21"/>
      <w:szCs w:val="22"/>
    </w:rPr>
  </w:style>
  <w:style w:type="character" w:customStyle="1" w:styleId="37">
    <w:name w:val="日期 Char"/>
    <w:basedOn w:val="24"/>
    <w:link w:val="14"/>
    <w:qFormat/>
    <w:uiPriority w:val="0"/>
    <w:rPr>
      <w:kern w:val="2"/>
      <w:sz w:val="21"/>
      <w:szCs w:val="22"/>
    </w:rPr>
  </w:style>
  <w:style w:type="character" w:customStyle="1" w:styleId="38">
    <w:name w:val="页脚 Char"/>
    <w:basedOn w:val="24"/>
    <w:link w:val="16"/>
    <w:qFormat/>
    <w:uiPriority w:val="99"/>
    <w:rPr>
      <w:kern w:val="2"/>
      <w:sz w:val="18"/>
      <w:szCs w:val="22"/>
    </w:rPr>
  </w:style>
  <w:style w:type="character" w:customStyle="1" w:styleId="39">
    <w:name w:val="标题 Char"/>
    <w:basedOn w:val="24"/>
    <w:link w:val="21"/>
    <w:qFormat/>
    <w:uiPriority w:val="0"/>
    <w:rPr>
      <w:rFonts w:ascii="Cambria" w:hAnsi="Cambria" w:cs="Times New Roman"/>
      <w:b/>
      <w:bCs/>
      <w:kern w:val="2"/>
      <w:sz w:val="32"/>
      <w:szCs w:val="32"/>
    </w:rPr>
  </w:style>
  <w:style w:type="character" w:customStyle="1" w:styleId="40">
    <w:name w:val="hover20"/>
    <w:basedOn w:val="24"/>
    <w:qFormat/>
    <w:uiPriority w:val="0"/>
    <w:rPr>
      <w:color w:val="000000"/>
      <w:shd w:val="clear" w:color="auto" w:fill="FFFFFF"/>
    </w:rPr>
  </w:style>
  <w:style w:type="character" w:customStyle="1" w:styleId="41">
    <w:name w:val="00正文加粗 Char"/>
    <w:link w:val="42"/>
    <w:qFormat/>
    <w:uiPriority w:val="0"/>
    <w:rPr>
      <w:rFonts w:ascii="Times New Roman" w:hAnsi="Times New Roman" w:eastAsia="Times New Roman" w:cs="Arial"/>
      <w:kern w:val="2"/>
      <w:sz w:val="24"/>
      <w:szCs w:val="24"/>
    </w:rPr>
  </w:style>
  <w:style w:type="paragraph" w:customStyle="1" w:styleId="42">
    <w:name w:val="00正文加粗"/>
    <w:basedOn w:val="1"/>
    <w:link w:val="41"/>
    <w:qFormat/>
    <w:uiPriority w:val="0"/>
    <w:pPr>
      <w:adjustRightInd w:val="0"/>
      <w:snapToGrid w:val="0"/>
      <w:spacing w:line="360" w:lineRule="auto"/>
      <w:ind w:left="50" w:leftChars="50" w:right="50" w:rightChars="50" w:firstLine="200" w:firstLineChars="200"/>
    </w:pPr>
    <w:rPr>
      <w:rFonts w:ascii="Times New Roman" w:hAnsi="Times New Roman" w:eastAsia="Times New Roman"/>
      <w:sz w:val="24"/>
      <w:szCs w:val="24"/>
    </w:rPr>
  </w:style>
  <w:style w:type="character" w:customStyle="1" w:styleId="43">
    <w:name w:val="正文样式 Char"/>
    <w:link w:val="44"/>
    <w:qFormat/>
    <w:uiPriority w:val="0"/>
    <w:rPr>
      <w:rFonts w:eastAsia="宋体"/>
      <w:sz w:val="24"/>
      <w:lang w:bidi="ar-SA"/>
    </w:rPr>
  </w:style>
  <w:style w:type="paragraph" w:customStyle="1" w:styleId="44">
    <w:name w:val="正文样式"/>
    <w:basedOn w:val="1"/>
    <w:link w:val="43"/>
    <w:qFormat/>
    <w:uiPriority w:val="0"/>
    <w:pPr>
      <w:adjustRightInd w:val="0"/>
      <w:spacing w:line="360" w:lineRule="auto"/>
      <w:ind w:firstLine="824" w:firstLineChars="200"/>
    </w:pPr>
    <w:rPr>
      <w:kern w:val="0"/>
      <w:sz w:val="24"/>
      <w:szCs w:val="20"/>
    </w:rPr>
  </w:style>
  <w:style w:type="paragraph" w:customStyle="1" w:styleId="45">
    <w:name w:val="0正文"/>
    <w:basedOn w:val="1"/>
    <w:qFormat/>
    <w:uiPriority w:val="0"/>
    <w:pPr>
      <w:spacing w:line="360" w:lineRule="auto"/>
      <w:ind w:firstLine="470" w:firstLineChars="196"/>
      <w:outlineLvl w:val="0"/>
    </w:pPr>
    <w:rPr>
      <w:rFonts w:ascii="Calibri" w:hAnsi="Calibri"/>
      <w:sz w:val="24"/>
      <w:szCs w:val="22"/>
    </w:rPr>
  </w:style>
  <w:style w:type="paragraph" w:customStyle="1" w:styleId="46">
    <w:name w:val=" Char Char Char1 Char Char Char Char Char Char Char"/>
    <w:basedOn w:val="1"/>
    <w:qFormat/>
    <w:uiPriority w:val="0"/>
    <w:pPr>
      <w:adjustRightInd w:val="0"/>
      <w:spacing w:line="312" w:lineRule="auto"/>
      <w:textAlignment w:val="baseline"/>
    </w:pPr>
    <w:rPr>
      <w:rFonts w:ascii="Tahoma" w:hAnsi="Tahoma"/>
      <w:kern w:val="0"/>
      <w:sz w:val="24"/>
      <w:szCs w:val="20"/>
    </w:rPr>
  </w:style>
  <w:style w:type="paragraph" w:customStyle="1" w:styleId="47">
    <w:name w:val="样式 小四 行距: 1.5 倍行距"/>
    <w:basedOn w:val="1"/>
    <w:qFormat/>
    <w:uiPriority w:val="0"/>
    <w:pPr>
      <w:ind w:firstLine="480" w:firstLineChars="200"/>
    </w:pPr>
    <w:rPr>
      <w:rFonts w:ascii="Times New Roman" w:hAnsi="Times New Roman" w:cs="宋体"/>
    </w:rPr>
  </w:style>
  <w:style w:type="paragraph" w:customStyle="1" w:styleId="48">
    <w:name w:val="纯文本1"/>
    <w:basedOn w:val="1"/>
    <w:qFormat/>
    <w:uiPriority w:val="0"/>
    <w:pPr>
      <w:adjustRightInd w:val="0"/>
    </w:pPr>
    <w:rPr>
      <w:rFonts w:ascii="宋体" w:hAnsi="Courier New"/>
      <w:szCs w:val="20"/>
    </w:rPr>
  </w:style>
  <w:style w:type="paragraph" w:customStyle="1" w:styleId="49">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customStyle="1" w:styleId="50">
    <w:name w:val="样式 样式 样式 样式 小四 行距: 固定值 25 磅 + 首行缩进:  2 字符 + 首行缩进:  2 字符 + 首行缩进: ..."/>
    <w:basedOn w:val="1"/>
    <w:qFormat/>
    <w:uiPriority w:val="0"/>
    <w:pPr>
      <w:adjustRightInd w:val="0"/>
      <w:spacing w:line="440" w:lineRule="exact"/>
      <w:ind w:firstLine="200" w:firstLineChars="200"/>
      <w:textAlignment w:val="baseline"/>
    </w:pPr>
    <w:rPr>
      <w:rFonts w:eastAsia="楷体_GB2312" w:cs="宋体"/>
      <w:sz w:val="28"/>
    </w:rPr>
  </w:style>
  <w:style w:type="paragraph" w:customStyle="1" w:styleId="51">
    <w:name w:val="B正文"/>
    <w:basedOn w:val="1"/>
    <w:qFormat/>
    <w:uiPriority w:val="0"/>
    <w:pPr>
      <w:spacing w:line="360" w:lineRule="auto"/>
      <w:ind w:firstLine="200" w:firstLineChars="200"/>
    </w:pPr>
    <w:rPr>
      <w:kern w:val="0"/>
      <w:sz w:val="24"/>
    </w:rPr>
  </w:style>
  <w:style w:type="paragraph" w:customStyle="1" w:styleId="52">
    <w:name w:val="列出段落1"/>
    <w:basedOn w:val="1"/>
    <w:qFormat/>
    <w:uiPriority w:val="0"/>
    <w:pPr>
      <w:ind w:firstLine="420" w:firstLineChars="200"/>
    </w:pPr>
  </w:style>
  <w:style w:type="paragraph" w:styleId="53">
    <w:name w:val="List Paragraph"/>
    <w:basedOn w:val="1"/>
    <w:qFormat/>
    <w:uiPriority w:val="34"/>
    <w:pPr>
      <w:ind w:firstLine="420" w:firstLineChars="200"/>
    </w:pPr>
    <w:rPr>
      <w:rFonts w:ascii="Times New Roman" w:hAnsi="Times New Roman"/>
      <w:kern w:val="0"/>
      <w:sz w:val="24"/>
      <w:szCs w:val="24"/>
    </w:rPr>
  </w:style>
  <w:style w:type="paragraph" w:customStyle="1" w:styleId="54">
    <w:name w:val="样式 正文文本缩进 + 行距: 1.5 倍行距"/>
    <w:basedOn w:val="1"/>
    <w:qFormat/>
    <w:uiPriority w:val="0"/>
    <w:pPr>
      <w:spacing w:after="120"/>
      <w:ind w:left="90" w:leftChars="32" w:firstLine="560" w:firstLineChars="200"/>
    </w:pPr>
    <w:rPr>
      <w:rFonts w:cs="宋体"/>
    </w:rPr>
  </w:style>
  <w:style w:type="paragraph" w:customStyle="1" w:styleId="55">
    <w:name w:val="样式 标题 2"/>
    <w:basedOn w:val="2"/>
    <w:qFormat/>
    <w:uiPriority w:val="0"/>
    <w:pPr>
      <w:spacing w:before="50" w:after="50" w:line="412" w:lineRule="auto"/>
    </w:pPr>
    <w:rPr>
      <w:rFonts w:ascii="Cambria" w:hAnsi="Cambria" w:eastAsia="宋体" w:cs="Times New Roman"/>
      <w:szCs w:val="28"/>
    </w:rPr>
  </w:style>
  <w:style w:type="paragraph" w:customStyle="1" w:styleId="56">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57">
    <w:name w:val="正文文字"/>
    <w:basedOn w:val="1"/>
    <w:qFormat/>
    <w:uiPriority w:val="0"/>
    <w:pPr>
      <w:adjustRightInd w:val="0"/>
      <w:snapToGrid w:val="0"/>
      <w:spacing w:line="360" w:lineRule="auto"/>
      <w:ind w:firstLine="480" w:firstLineChars="200"/>
    </w:pPr>
    <w:rPr>
      <w:rFonts w:ascii="Times New Roman" w:hAnsi="Times New Roman"/>
      <w:sz w:val="24"/>
    </w:rPr>
  </w:style>
  <w:style w:type="paragraph" w:customStyle="1" w:styleId="58">
    <w:name w:val="List Paragraph1"/>
    <w:basedOn w:val="1"/>
    <w:qFormat/>
    <w:uiPriority w:val="0"/>
    <w:pPr>
      <w:ind w:firstLine="420" w:firstLineChars="200"/>
    </w:pPr>
    <w:rPr>
      <w:rFonts w:ascii="Calibri" w:hAnsi="Calibri"/>
    </w:rPr>
  </w:style>
  <w:style w:type="paragraph" w:customStyle="1" w:styleId="59">
    <w:name w:val="表格正文"/>
    <w:basedOn w:val="1"/>
    <w:next w:val="1"/>
    <w:qFormat/>
    <w:uiPriority w:val="0"/>
    <w:pPr>
      <w:snapToGrid w:val="0"/>
      <w:jc w:val="center"/>
    </w:pPr>
    <w:rPr>
      <w:rFonts w:ascii="宋体"/>
      <w:snapToGrid w:val="0"/>
      <w:spacing w:val="4"/>
      <w:szCs w:val="21"/>
    </w:rPr>
  </w:style>
  <w:style w:type="paragraph" w:customStyle="1" w:styleId="60">
    <w:name w:val="啊啊"/>
    <w:basedOn w:val="1"/>
    <w:qFormat/>
    <w:uiPriority w:val="0"/>
    <w:pPr>
      <w:spacing w:line="360" w:lineRule="auto"/>
      <w:ind w:firstLine="200" w:firstLineChars="200"/>
    </w:pPr>
    <w:rPr>
      <w:rFonts w:ascii="Times New Roman" w:hAnsi="Times New Roman"/>
      <w:sz w:val="28"/>
      <w:szCs w:val="28"/>
    </w:rPr>
  </w:style>
  <w:style w:type="paragraph" w:customStyle="1" w:styleId="61">
    <w:name w:val="表格内容jenney"/>
    <w:basedOn w:val="1"/>
    <w:qFormat/>
    <w:uiPriority w:val="0"/>
    <w:pPr>
      <w:adjustRightInd w:val="0"/>
      <w:snapToGrid w:val="0"/>
      <w:jc w:val="center"/>
    </w:pPr>
    <w:rPr>
      <w:rFonts w:eastAsia="Times New Roman"/>
      <w:snapToGrid w:val="0"/>
      <w:kern w:val="0"/>
      <w:szCs w:val="20"/>
    </w:rPr>
  </w:style>
  <w:style w:type="paragraph" w:customStyle="1" w:styleId="62">
    <w:name w:val="Default1"/>
    <w:basedOn w:val="56"/>
    <w:next w:val="1"/>
    <w:qFormat/>
    <w:uiPriority w:val="0"/>
    <w:pPr>
      <w:widowControl w:val="0"/>
      <w:autoSpaceDE w:val="0"/>
      <w:autoSpaceDN w:val="0"/>
      <w:adjustRightInd w:val="0"/>
    </w:pPr>
    <w:rPr>
      <w:rFonts w:ascii="宋体" w:hAnsi="Times New Roman" w:cs="宋体"/>
      <w:color w:val="000000"/>
      <w:sz w:val="24"/>
      <w:szCs w:val="24"/>
      <w:lang w:val="en-US" w:eastAsia="zh-CN" w:bidi="ar-SA"/>
    </w:rPr>
  </w:style>
  <w:style w:type="paragraph" w:customStyle="1" w:styleId="63">
    <w:name w:val=" Char2 Char Char Char Char Char Char Char Char Char Char Char Char"/>
    <w:basedOn w:val="1"/>
    <w:qFormat/>
    <w:uiPriority w:val="0"/>
    <w:pPr>
      <w:spacing w:line="560" w:lineRule="exact"/>
      <w:ind w:firstLine="200" w:firstLineChars="200"/>
    </w:pPr>
    <w:rPr>
      <w:rFonts w:ascii="宋体" w:hAnsi="宋体" w:cs="宋体"/>
      <w:sz w:val="28"/>
      <w:szCs w:val="28"/>
    </w:rPr>
  </w:style>
  <w:style w:type="paragraph" w:customStyle="1" w:styleId="64">
    <w:name w:val="4正文"/>
    <w:basedOn w:val="1"/>
    <w:qFormat/>
    <w:uiPriority w:val="0"/>
    <w:pPr>
      <w:ind w:firstLine="480"/>
    </w:pPr>
    <w:rPr>
      <w:szCs w:val="20"/>
    </w:rPr>
  </w:style>
  <w:style w:type="paragraph" w:customStyle="1" w:styleId="65">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6">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2722</Words>
  <Characters>2878</Characters>
  <Lines>17</Lines>
  <Paragraphs>5</Paragraphs>
  <TotalTime>1</TotalTime>
  <ScaleCrop>false</ScaleCrop>
  <LinksUpToDate>false</LinksUpToDate>
  <CharactersWithSpaces>2919</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2019-12-13T23:26:00Z</dcterms:created>
  <dc:creator>Administrator</dc:creator>
  <cp:lastModifiedBy>小愤青菜</cp:lastModifiedBy>
  <cp:lastPrinted>2025-06-06T16:48:00Z</cp:lastPrinted>
  <dcterms:modified xsi:type="dcterms:W3CDTF">2026-04-10T11:59:42Z</dcterms:modified>
  <dc:title>万环评字[2016]  号</dc:title>
  <cp:revision>336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_DocHome">
    <vt:r8>2115378533</vt:r8>
  </property>
  <property fmtid="{D5CDD505-2E9C-101B-9397-08002B2CF9AE}" pid="4" name="ICV">
    <vt:lpwstr>D1B50BA4ABF647DE9B791E87CC76B098_13</vt:lpwstr>
  </property>
  <property fmtid="{D5CDD505-2E9C-101B-9397-08002B2CF9AE}" pid="5" name="KSOTemplateDocerSaveRecord">
    <vt:lpwstr>eyJoZGlkIjoiOTNmZTY3YzZhNjU3NTczZDkzZGNiYjJmZDhjZTczOTMiLCJ1c2VySWQiOiIzMDgxNDkxOTEifQ==</vt:lpwstr>
  </property>
</Properties>
</file>