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ind w:left="0" w:leftChars="0" w:firstLine="0" w:firstLineChars="0"/>
        <w:rPr>
          <w:rFonts w:hint="eastAsia"/>
          <w:lang w:eastAsia="zh-CN"/>
        </w:rPr>
      </w:pPr>
      <w:bookmarkStart w:id="0" w:name="_GoBack"/>
      <w:bookmarkEnd w:id="0"/>
    </w:p>
    <w:p>
      <w:pPr>
        <w:pStyle w:val="12"/>
        <w:ind w:left="0" w:leftChars="0" w:firstLine="0" w:firstLineChars="0"/>
        <w:rPr>
          <w:rFonts w:hint="eastAsia" w:ascii="AdobeHeitiStd-Regular" w:hAnsi="AdobeHeitiStd-Regular" w:eastAsia="AdobeHeitiStd-Regular"/>
          <w:b/>
          <w:bCs/>
          <w:sz w:val="32"/>
          <w:szCs w:val="32"/>
        </w:rPr>
      </w:pPr>
      <w:r>
        <w:rPr>
          <w:rFonts w:hint="eastAsia"/>
          <w:sz w:val="32"/>
          <w:szCs w:val="32"/>
          <w:lang w:eastAsia="zh-CN"/>
        </w:rPr>
        <w:t>附件</w:t>
      </w:r>
      <w:r>
        <w:rPr>
          <w:rFonts w:hint="eastAsia"/>
          <w:sz w:val="32"/>
          <w:szCs w:val="32"/>
          <w:lang w:val="en-US" w:eastAsia="zh-CN"/>
        </w:rPr>
        <w:t>3：</w:t>
      </w:r>
    </w:p>
    <w:p>
      <w:pPr>
        <w:pStyle w:val="12"/>
        <w:ind w:left="0" w:leftChars="0" w:firstLine="0" w:firstLineChars="0"/>
        <w:jc w:val="center"/>
        <w:rPr>
          <w:rFonts w:hint="eastAsia"/>
          <w:b/>
          <w:bCs/>
          <w:lang w:eastAsia="zh-CN"/>
        </w:rPr>
      </w:pPr>
      <w:r>
        <w:rPr>
          <w:rFonts w:hint="eastAsia" w:ascii="AdobeHeitiStd-Regular" w:hAnsi="AdobeHeitiStd-Regular" w:eastAsia="AdobeHeitiStd-Regular"/>
          <w:b/>
          <w:bCs/>
          <w:sz w:val="36"/>
        </w:rPr>
        <w:t>电力设施保护安全</w:t>
      </w:r>
      <w:r>
        <w:rPr>
          <w:rFonts w:hint="eastAsia" w:ascii="AdobeHeitiStd-Regular" w:hAnsi="AdobeHeitiStd-Regular" w:eastAsia="AdobeHeitiStd-Regular"/>
          <w:b/>
          <w:bCs/>
          <w:sz w:val="36"/>
          <w:lang w:val="en-US" w:eastAsia="zh-CN"/>
        </w:rPr>
        <w:t>管理</w:t>
      </w:r>
      <w:r>
        <w:rPr>
          <w:rFonts w:hint="eastAsia" w:ascii="AdobeHeitiStd-Regular" w:hAnsi="AdobeHeitiStd-Regular" w:eastAsia="AdobeHeitiStd-Regular"/>
          <w:b/>
          <w:bCs/>
          <w:sz w:val="36"/>
        </w:rPr>
        <w:t>协议</w:t>
      </w:r>
    </w:p>
    <w:p>
      <w:pPr>
        <w:rPr>
          <w:rFonts w:hint="eastAsia"/>
          <w:lang w:eastAsia="zh-CN"/>
        </w:rPr>
      </w:pP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甲方：</w:t>
      </w:r>
    </w:p>
    <w:p>
      <w:pPr>
        <w:pStyle w:val="12"/>
        <w:ind w:left="0" w:leftChars="0" w:firstLine="0" w:firstLineChars="0"/>
        <w:rPr>
          <w:rFonts w:hint="eastAsia" w:ascii="仿宋_GB2312" w:hAnsi="仿宋_GB2312" w:eastAsia="仿宋_GB2312"/>
          <w:sz w:val="28"/>
        </w:rPr>
      </w:pPr>
    </w:p>
    <w:p>
      <w:pPr>
        <w:pStyle w:val="12"/>
        <w:ind w:left="0" w:leftChars="0" w:firstLine="0" w:firstLineChars="0"/>
        <w:rPr>
          <w:rFonts w:hint="eastAsia" w:ascii="仿宋_GB2312" w:hAnsi="仿宋_GB2312" w:eastAsia="仿宋_GB2312"/>
          <w:sz w:val="28"/>
        </w:rPr>
      </w:pPr>
      <w:r>
        <w:rPr>
          <w:rFonts w:hint="eastAsia" w:ascii="仿宋_GB2312" w:hAnsi="仿宋_GB2312" w:eastAsia="仿宋_GB2312"/>
          <w:sz w:val="28"/>
        </w:rPr>
        <w:t>乙方：</w:t>
      </w:r>
    </w:p>
    <w:p>
      <w:pPr>
        <w:rPr>
          <w:rFonts w:hint="eastAsia" w:ascii="仿宋_GB2312" w:hAnsi="仿宋_GB2312" w:eastAsia="仿宋_GB2312"/>
          <w:sz w:val="28"/>
        </w:rPr>
      </w:pPr>
    </w:p>
    <w:p>
      <w:pPr>
        <w:rPr>
          <w:rFonts w:hint="default" w:ascii="仿宋_GB2312" w:hAnsi="仿宋_GB2312" w:eastAsia="仿宋_GB2312"/>
          <w:sz w:val="28"/>
          <w:lang w:val="en-US" w:eastAsia="zh-CN"/>
        </w:rPr>
      </w:pPr>
      <w:r>
        <w:rPr>
          <w:rFonts w:hint="eastAsia" w:ascii="仿宋_GB2312" w:hAnsi="仿宋_GB2312"/>
          <w:sz w:val="28"/>
          <w:lang w:eastAsia="zh-CN"/>
        </w:rPr>
        <w:t>项目名称</w:t>
      </w:r>
      <w:r>
        <w:rPr>
          <w:rFonts w:hint="eastAsia" w:ascii="仿宋_GB2312" w:hAnsi="仿宋_GB2312"/>
          <w:sz w:val="28"/>
          <w:lang w:val="en-US" w:eastAsia="zh-CN"/>
        </w:rPr>
        <w:t xml:space="preserve">                          项目地址</w:t>
      </w:r>
    </w:p>
    <w:p>
      <w:pPr>
        <w:rPr>
          <w:rFonts w:hint="eastAsia"/>
          <w:lang w:eastAsia="zh-CN"/>
        </w:rPr>
      </w:pPr>
    </w:p>
    <w:p>
      <w:pPr>
        <w:spacing w:beforeLines="0" w:afterLines="0"/>
        <w:ind w:firstLine="560" w:firstLineChars="200"/>
        <w:jc w:val="left"/>
        <w:rPr>
          <w:rFonts w:hint="eastAsia"/>
          <w:lang w:eastAsia="zh-CN"/>
        </w:rPr>
      </w:pPr>
      <w:r>
        <w:rPr>
          <w:rFonts w:hint="eastAsia" w:ascii="仿宋_GB2312" w:hAnsi="仿宋_GB2312" w:eastAsia="仿宋_GB2312"/>
          <w:sz w:val="28"/>
        </w:rPr>
        <w:t>为确保安全、可靠供用电，切实保障人身、电网、设备安全，根据《中华人民共和国电力法》、《电力设施保护条例》等法律法规，经供用电双方协商一致，就公共电力设施保护相关事宜达成如下协议：</w:t>
      </w:r>
    </w:p>
    <w:p>
      <w:pPr>
        <w:numPr>
          <w:ilvl w:val="0"/>
          <w:numId w:val="1"/>
        </w:numPr>
        <w:rPr>
          <w:rFonts w:hint="eastAsia" w:ascii="仿宋_GB2312" w:hAnsi="仿宋_GB2312" w:eastAsia="仿宋_GB2312"/>
          <w:sz w:val="28"/>
        </w:rPr>
      </w:pPr>
      <w:r>
        <w:rPr>
          <w:rFonts w:hint="eastAsia" w:ascii="仿宋_GB2312" w:hAnsi="仿宋_GB2312" w:eastAsia="仿宋_GB2312"/>
          <w:sz w:val="28"/>
        </w:rPr>
        <w:t>电力设施及其保护区范围</w:t>
      </w:r>
    </w:p>
    <w:p>
      <w:pPr>
        <w:numPr>
          <w:ilvl w:val="0"/>
          <w:numId w:val="2"/>
        </w:numPr>
        <w:rPr>
          <w:rFonts w:hint="default" w:ascii="仿宋_GB2312" w:hAnsi="仿宋_GB2312" w:eastAsia="仿宋_GB2312"/>
          <w:sz w:val="28"/>
          <w:u w:val="single"/>
          <w:lang w:val="en-US" w:eastAsia="zh-CN"/>
        </w:rPr>
      </w:pPr>
      <w:r>
        <w:rPr>
          <w:rFonts w:hint="eastAsia" w:ascii="仿宋_GB2312" w:hAnsi="仿宋_GB2312"/>
          <w:sz w:val="28"/>
          <w:u w:val="single"/>
          <w:lang w:val="en-US" w:eastAsia="zh-CN"/>
        </w:rPr>
        <w:t xml:space="preserve">                                                      </w:t>
      </w:r>
      <w:r>
        <w:rPr>
          <w:rFonts w:hint="eastAsia" w:ascii="仿宋_GB2312" w:hAnsi="仿宋_GB2312"/>
          <w:sz w:val="28"/>
          <w:u w:val="none"/>
          <w:lang w:val="en-US" w:eastAsia="zh-CN"/>
        </w:rPr>
        <w:t xml:space="preserve">；  </w:t>
      </w:r>
    </w:p>
    <w:p>
      <w:pPr>
        <w:numPr>
          <w:ilvl w:val="0"/>
          <w:numId w:val="2"/>
        </w:numPr>
        <w:rPr>
          <w:rFonts w:hint="default" w:ascii="仿宋_GB2312" w:hAnsi="仿宋_GB2312" w:eastAsia="仿宋_GB2312"/>
          <w:sz w:val="28"/>
          <w:u w:val="single"/>
          <w:lang w:val="en-US" w:eastAsia="zh-CN"/>
        </w:rPr>
      </w:pPr>
      <w:r>
        <w:rPr>
          <w:rFonts w:hint="eastAsia" w:ascii="仿宋_GB2312" w:hAnsi="仿宋_GB2312"/>
          <w:sz w:val="28"/>
          <w:u w:val="single"/>
          <w:lang w:val="en-US" w:eastAsia="zh-CN"/>
        </w:rPr>
        <w:t xml:space="preserve">                                                      </w:t>
      </w:r>
      <w:r>
        <w:rPr>
          <w:rFonts w:hint="eastAsia" w:ascii="仿宋_GB2312" w:hAnsi="仿宋_GB2312"/>
          <w:sz w:val="28"/>
          <w:u w:val="none"/>
          <w:lang w:val="en-US" w:eastAsia="zh-CN"/>
        </w:rPr>
        <w:t>；</w:t>
      </w:r>
    </w:p>
    <w:p>
      <w:pPr>
        <w:numPr>
          <w:ilvl w:val="0"/>
          <w:numId w:val="2"/>
        </w:numPr>
        <w:rPr>
          <w:rFonts w:hint="default" w:ascii="仿宋_GB2312" w:hAnsi="仿宋_GB2312" w:eastAsia="仿宋_GB2312"/>
          <w:sz w:val="28"/>
          <w:u w:val="single"/>
          <w:lang w:val="en-US" w:eastAsia="zh-CN"/>
        </w:rPr>
      </w:pPr>
      <w:r>
        <w:rPr>
          <w:rFonts w:hint="eastAsia" w:ascii="仿宋_GB2312" w:hAnsi="仿宋_GB2312"/>
          <w:sz w:val="28"/>
          <w:u w:val="single"/>
          <w:lang w:val="en-US" w:eastAsia="zh-CN"/>
        </w:rPr>
        <w:t xml:space="preserve">                                                           </w:t>
      </w:r>
    </w:p>
    <w:p>
      <w:pPr>
        <w:spacing w:beforeLines="0" w:afterLines="0"/>
        <w:ind w:firstLine="560" w:firstLineChars="200"/>
        <w:jc w:val="left"/>
        <w:rPr>
          <w:rFonts w:hint="eastAsia" w:ascii="仿宋_GB2312" w:hAnsi="仿宋_GB2312"/>
          <w:sz w:val="28"/>
          <w:lang w:eastAsia="zh-CN"/>
        </w:rPr>
      </w:pPr>
      <w:r>
        <w:rPr>
          <w:rFonts w:hint="eastAsia" w:ascii="仿宋_GB2312" w:hAnsi="仿宋_GB2312" w:eastAsia="仿宋_GB2312"/>
          <w:sz w:val="28"/>
        </w:rPr>
        <w:t>乙方</w:t>
      </w:r>
      <w:r>
        <w:rPr>
          <w:rFonts w:hint="eastAsia" w:ascii="仿宋_GB2312" w:hAnsi="仿宋_GB2312" w:eastAsia="仿宋_GB2312" w:cs="Times New Roman"/>
          <w:sz w:val="28"/>
          <w:lang w:eastAsia="zh-CN"/>
        </w:rPr>
        <w:t>项目</w:t>
      </w:r>
      <w:r>
        <w:rPr>
          <w:rFonts w:hint="eastAsia" w:ascii="仿宋_GB2312" w:hAnsi="仿宋_GB2312" w:eastAsia="仿宋_GB2312" w:cs="Times New Roman"/>
          <w:sz w:val="28"/>
        </w:rPr>
        <w:t>地址毗邻甲</w:t>
      </w:r>
      <w:r>
        <w:rPr>
          <w:rFonts w:hint="eastAsia" w:ascii="仿宋_GB2312" w:hAnsi="仿宋_GB2312" w:eastAsia="仿宋_GB2312"/>
          <w:sz w:val="28"/>
        </w:rPr>
        <w:t>方上述电力设施保护区或在甲方上述电力设施保护区内</w:t>
      </w:r>
      <w:r>
        <w:rPr>
          <w:rFonts w:hint="eastAsia" w:ascii="仿宋_GB2312" w:hAnsi="仿宋_GB2312"/>
          <w:sz w:val="28"/>
          <w:lang w:eastAsia="zh-CN"/>
        </w:rPr>
        <w:t>。</w:t>
      </w:r>
    </w:p>
    <w:p>
      <w:pPr>
        <w:numPr>
          <w:ilvl w:val="0"/>
          <w:numId w:val="1"/>
        </w:numPr>
        <w:spacing w:beforeLines="0" w:afterLines="0"/>
        <w:ind w:left="0" w:leftChars="0" w:firstLine="0" w:firstLineChars="0"/>
        <w:jc w:val="left"/>
        <w:rPr>
          <w:rFonts w:hint="eastAsia" w:ascii="仿宋_GB2312" w:hAnsi="仿宋_GB2312" w:eastAsia="仿宋_GB2312"/>
          <w:sz w:val="28"/>
        </w:rPr>
      </w:pPr>
      <w:r>
        <w:rPr>
          <w:rFonts w:hint="eastAsia" w:ascii="仿宋_GB2312" w:hAnsi="仿宋_GB2312" w:eastAsia="仿宋_GB2312"/>
          <w:sz w:val="28"/>
        </w:rPr>
        <w:t>约定事项</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1、甲方有向乙方宣传有关保护电力设施法律、法规的义务。</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2、乙方不得</w:t>
      </w:r>
      <w:r>
        <w:rPr>
          <w:rFonts w:hint="eastAsia" w:ascii="仿宋_GB2312" w:hAnsi="仿宋_GB2312" w:eastAsia="仿宋_GB2312" w:cs="Times New Roman"/>
          <w:sz w:val="28"/>
        </w:rPr>
        <w:t>在上述</w:t>
      </w:r>
      <w:r>
        <w:rPr>
          <w:rFonts w:hint="eastAsia" w:ascii="仿宋_GB2312" w:hAnsi="仿宋_GB2312" w:eastAsia="仿宋_GB2312" w:cs="Times New Roman"/>
          <w:sz w:val="28"/>
          <w:lang w:eastAsia="zh-CN"/>
        </w:rPr>
        <w:t>电力设施</w:t>
      </w:r>
      <w:r>
        <w:rPr>
          <w:rFonts w:hint="eastAsia" w:ascii="仿宋_GB2312" w:hAnsi="仿宋_GB2312" w:eastAsia="仿宋_GB2312" w:cs="Times New Roman"/>
          <w:sz w:val="28"/>
        </w:rPr>
        <w:t>保护区范围内从事以</w:t>
      </w:r>
      <w:r>
        <w:rPr>
          <w:rFonts w:hint="eastAsia" w:ascii="仿宋_GB2312" w:hAnsi="仿宋_GB2312" w:eastAsia="仿宋_GB2312"/>
          <w:sz w:val="28"/>
        </w:rPr>
        <w:t>下任何施工、经营、生产等行为：</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a、堆放谷物、草料、垃圾、矿渣、易燃物、易爆物及其他影</w:t>
      </w:r>
      <w:r>
        <w:rPr>
          <w:rFonts w:hint="eastAsia" w:ascii="仿宋_GB2312" w:hAnsi="仿宋_GB2312"/>
          <w:sz w:val="28"/>
          <w:lang w:eastAsia="zh-CN"/>
        </w:rPr>
        <w:t>响</w:t>
      </w:r>
      <w:r>
        <w:rPr>
          <w:rFonts w:hint="eastAsia" w:ascii="仿宋_GB2312" w:hAnsi="仿宋_GB2312" w:eastAsia="仿宋_GB2312"/>
          <w:sz w:val="28"/>
        </w:rPr>
        <w:t>安全供电的物品；</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b、烧窑、烧荒；</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c、兴建建筑物、构筑物；</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d、种植可能危及电力设施安全的植物；</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e、增加被架空电力线路跨越的建筑物、构筑物高度，或者在架</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空电力线路下堆砌物体，导致安全距离不足的；</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f、攀爬电力杆、塔设施，擅自在架空电力杆、塔上搭挂各类缆线、广告牌等外挂装置；</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g、垂钓活动；</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h、其他危害电力线路设施的行为。</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3、乙方不得在上述电缆线路保护区范围内从事以下任何施工、经营、生产等行为：</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a、堆放垃圾、矿渣、易燃物、易爆物，倾倒酸、碱、盐及其他有害化学物品；</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b、兴建建筑物、构筑物；</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c、打桩、钻探、开挖、爆破作业；</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d、种植树木、竹子；</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e、在江河电缆保护区内抛锚、拖锚、炸鱼、挖沙；</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f、擅自在电缆沟道中施放各类缆线的；</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g、其他危害电力设施的行为。</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4、乙方在上述电力设施保护区内进行下列作业或活动，必须经甲方现场勘察确认并经县级以上地方电力管理部门批准：</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a、在架空电力线路保护区内进行农田水利基本建设工程及打桩、钻探、开挖等作业；</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b、</w:t>
      </w:r>
      <w:r>
        <w:rPr>
          <w:rFonts w:hint="eastAsia" w:ascii="仿宋_GB2312" w:hAnsi="仿宋_GB2312" w:eastAsia="仿宋_GB2312" w:cs="Times New Roman"/>
          <w:sz w:val="28"/>
          <w:lang w:eastAsia="zh-CN"/>
        </w:rPr>
        <w:t>高处作业车、</w:t>
      </w:r>
      <w:r>
        <w:rPr>
          <w:rFonts w:hint="eastAsia" w:ascii="仿宋_GB2312" w:hAnsi="仿宋_GB2312" w:eastAsia="仿宋_GB2312" w:cs="Times New Roman"/>
          <w:sz w:val="28"/>
        </w:rPr>
        <w:t>起重</w:t>
      </w:r>
      <w:r>
        <w:rPr>
          <w:rFonts w:hint="eastAsia" w:ascii="仿宋_GB2312" w:hAnsi="仿宋_GB2312" w:eastAsia="仿宋_GB2312"/>
          <w:sz w:val="28"/>
        </w:rPr>
        <w:t>机械的任何部位进入架空电力线路保护区进行施工；</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c、小于导线距穿越物体之间的安全距离，通过架空电力线路保护区；</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d、在电力电缆线路保护区内进行作业。</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5、乙方如需在电力设施周围进行爆破作业，必须按照国家有关规定，确保电力设施的安全。</w:t>
      </w:r>
    </w:p>
    <w:p>
      <w:pPr>
        <w:numPr>
          <w:ilvl w:val="0"/>
          <w:numId w:val="3"/>
        </w:numPr>
        <w:spacing w:beforeLines="0" w:afterLines="0"/>
        <w:jc w:val="left"/>
        <w:rPr>
          <w:rFonts w:hint="eastAsia" w:ascii="仿宋_GB2312" w:hAnsi="仿宋_GB2312" w:eastAsia="仿宋_GB2312"/>
          <w:sz w:val="28"/>
        </w:rPr>
      </w:pPr>
      <w:r>
        <w:rPr>
          <w:rFonts w:hint="eastAsia" w:ascii="仿宋_GB2312" w:hAnsi="仿宋_GB2312" w:eastAsia="仿宋_GB2312"/>
          <w:sz w:val="28"/>
        </w:rPr>
        <w:t>乙方如需在上述电力设施保护范围内从事本协议第二条第4、5 款列举的作业或活动，应提</w:t>
      </w:r>
      <w:r>
        <w:rPr>
          <w:rFonts w:hint="eastAsia" w:ascii="仿宋_GB2312" w:hAnsi="仿宋_GB2312" w:eastAsia="仿宋_GB2312" w:cs="Times New Roman"/>
          <w:sz w:val="28"/>
        </w:rPr>
        <w:t>出书面</w:t>
      </w:r>
      <w:r>
        <w:rPr>
          <w:rFonts w:hint="eastAsia" w:ascii="仿宋_GB2312" w:hAnsi="仿宋_GB2312" w:eastAsia="仿宋_GB2312" w:cs="Times New Roman"/>
          <w:sz w:val="28"/>
          <w:lang w:eastAsia="zh-CN"/>
        </w:rPr>
        <w:t>申请及</w:t>
      </w:r>
      <w:r>
        <w:rPr>
          <w:rFonts w:hint="eastAsia" w:ascii="仿宋_GB2312" w:hAnsi="仿宋_GB2312" w:eastAsia="仿宋_GB2312" w:cs="Times New Roman"/>
          <w:sz w:val="28"/>
        </w:rPr>
        <w:t>安全技术</w:t>
      </w:r>
      <w:r>
        <w:rPr>
          <w:rFonts w:hint="eastAsia" w:ascii="仿宋_GB2312" w:hAnsi="仿宋_GB2312" w:eastAsia="仿宋_GB2312" w:cs="Times New Roman"/>
          <w:sz w:val="28"/>
          <w:lang w:eastAsia="zh-CN"/>
        </w:rPr>
        <w:t>保障</w:t>
      </w:r>
      <w:r>
        <w:rPr>
          <w:rFonts w:hint="eastAsia" w:ascii="仿宋_GB2312" w:hAnsi="仿宋_GB2312" w:eastAsia="仿宋_GB2312" w:cs="Times New Roman"/>
          <w:sz w:val="28"/>
        </w:rPr>
        <w:t>措施并经甲方确认。同时，乙方应接受甲方对电力设施保护的监督，对甲方提出的有关危及电力设施安全的整改要求应及时予以落实。如乙方未按甲方要求及时进行整改，甲方有权按相关规定</w:t>
      </w:r>
      <w:r>
        <w:rPr>
          <w:rFonts w:hint="eastAsia" w:ascii="仿宋_GB2312" w:hAnsi="仿宋_GB2312" w:eastAsia="仿宋_GB2312" w:cs="Times New Roman"/>
          <w:sz w:val="28"/>
          <w:lang w:eastAsia="zh-CN"/>
        </w:rPr>
        <w:t>制止施工作业或</w:t>
      </w:r>
      <w:r>
        <w:rPr>
          <w:rFonts w:hint="eastAsia" w:ascii="仿宋_GB2312" w:hAnsi="仿宋_GB2312" w:eastAsia="仿宋_GB2312" w:cs="Times New Roman"/>
          <w:sz w:val="28"/>
        </w:rPr>
        <w:t>实施中断供电</w:t>
      </w:r>
      <w:r>
        <w:rPr>
          <w:rFonts w:hint="eastAsia" w:ascii="仿宋_GB2312" w:hAnsi="仿宋_GB2312" w:eastAsia="仿宋_GB2312"/>
          <w:sz w:val="28"/>
        </w:rPr>
        <w:t>。</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三、违约责任</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1、乙方违反本协议第二条约定导致电力设施发生破坏、损坏事件的，甲方有权依法要求乙方进行经济赔偿。乙方应承担有关法律、法规规定的责任，并依法承担相应的连带经济赔偿责任。</w:t>
      </w:r>
    </w:p>
    <w:p>
      <w:pPr>
        <w:spacing w:beforeLines="0" w:afterLines="0"/>
        <w:jc w:val="left"/>
        <w:rPr>
          <w:rFonts w:hint="eastAsia" w:ascii="仿宋_GB2312" w:hAnsi="仿宋_GB2312" w:eastAsia="仿宋_GB2312" w:cs="Times New Roman"/>
          <w:sz w:val="28"/>
        </w:rPr>
      </w:pPr>
      <w:r>
        <w:rPr>
          <w:rFonts w:hint="eastAsia" w:ascii="仿宋_GB2312" w:hAnsi="仿宋_GB2312" w:eastAsia="仿宋_GB2312"/>
          <w:sz w:val="28"/>
        </w:rPr>
        <w:t>2、经</w:t>
      </w:r>
      <w:r>
        <w:rPr>
          <w:rFonts w:hint="eastAsia" w:ascii="仿宋_GB2312" w:hAnsi="仿宋_GB2312" w:eastAsia="仿宋_GB2312" w:cs="Times New Roman"/>
          <w:sz w:val="28"/>
        </w:rPr>
        <w:t>济赔偿标准参照《最高人民法院关于审理破坏电力设备刑事案件具体应用法律若干问题的解释》(法释〔2007〕15 号)，包括电量损失金额、修复费用，以及因停电给第三方用户造成的直接经济损失。</w:t>
      </w:r>
    </w:p>
    <w:p>
      <w:pPr>
        <w:spacing w:beforeLines="0" w:afterLines="0"/>
        <w:jc w:val="left"/>
        <w:rPr>
          <w:rFonts w:hint="eastAsia" w:ascii="仿宋_GB2312" w:hAnsi="仿宋_GB2312" w:eastAsia="仿宋_GB2312" w:cs="Times New Roman"/>
          <w:sz w:val="28"/>
          <w:lang w:eastAsia="zh-CN"/>
        </w:rPr>
      </w:pPr>
      <w:r>
        <w:rPr>
          <w:rFonts w:hint="eastAsia" w:ascii="仿宋_GB2312" w:hAnsi="仿宋_GB2312" w:eastAsia="仿宋_GB2312" w:cs="Times New Roman"/>
          <w:sz w:val="28"/>
        </w:rPr>
        <w:t>3、乙方违反本协议第二条约定导致停电故障</w:t>
      </w:r>
      <w:r>
        <w:rPr>
          <w:rFonts w:hint="eastAsia" w:ascii="仿宋_GB2312" w:hAnsi="仿宋_GB2312" w:eastAsia="仿宋_GB2312" w:cs="Times New Roman"/>
          <w:sz w:val="28"/>
          <w:lang w:eastAsia="zh-CN"/>
        </w:rPr>
        <w:t>或其他事故的</w:t>
      </w:r>
      <w:r>
        <w:rPr>
          <w:rFonts w:hint="eastAsia" w:ascii="仿宋_GB2312" w:hAnsi="仿宋_GB2312" w:eastAsia="仿宋_GB2312" w:cs="Times New Roman"/>
          <w:sz w:val="28"/>
        </w:rPr>
        <w:t>，造成的自身损失由乙方自行承担，甲方免</w:t>
      </w:r>
      <w:r>
        <w:rPr>
          <w:rFonts w:hint="eastAsia" w:ascii="仿宋_GB2312" w:hAnsi="仿宋_GB2312" w:eastAsia="仿宋_GB2312" w:cs="Times New Roman"/>
          <w:sz w:val="28"/>
          <w:lang w:eastAsia="zh-CN"/>
        </w:rPr>
        <w:t>责。</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四、附则</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1、甲乙双方自本协议签订后都应严格履行协议，在协议执行过程中如有矛盾双方协调解决，协商不成的双方一致同意提请仲裁委员会申请仲裁。</w:t>
      </w:r>
    </w:p>
    <w:p>
      <w:pPr>
        <w:spacing w:beforeLines="0" w:afterLines="0"/>
        <w:jc w:val="left"/>
        <w:rPr>
          <w:rFonts w:hint="eastAsia" w:ascii="仿宋_GB2312" w:hAnsi="仿宋_GB2312" w:eastAsia="仿宋_GB2312"/>
          <w:sz w:val="28"/>
        </w:rPr>
      </w:pPr>
      <w:r>
        <w:rPr>
          <w:rFonts w:hint="eastAsia" w:ascii="仿宋_GB2312" w:hAnsi="仿宋_GB2312"/>
          <w:sz w:val="28"/>
          <w:lang w:val="en-US" w:eastAsia="zh-CN"/>
        </w:rPr>
        <w:t>2</w:t>
      </w:r>
      <w:r>
        <w:rPr>
          <w:rFonts w:hint="eastAsia" w:ascii="仿宋_GB2312" w:hAnsi="仿宋_GB2312" w:eastAsia="仿宋_GB2312"/>
          <w:sz w:val="28"/>
        </w:rPr>
        <w:t>、本协议一式两份，甲、乙双方各执一份。</w:t>
      </w:r>
    </w:p>
    <w:p>
      <w:pPr>
        <w:spacing w:beforeLines="0" w:afterLines="0"/>
        <w:jc w:val="left"/>
        <w:rPr>
          <w:rFonts w:hint="eastAsia" w:ascii="仿宋_GB2312" w:hAnsi="仿宋_GB2312" w:eastAsia="仿宋_GB2312"/>
          <w:sz w:val="28"/>
        </w:rPr>
      </w:pPr>
    </w:p>
    <w:p>
      <w:pPr>
        <w:spacing w:beforeLines="0" w:afterLines="0"/>
        <w:jc w:val="left"/>
        <w:rPr>
          <w:rFonts w:hint="eastAsia" w:ascii="仿宋_GB2312" w:hAnsi="仿宋_GB2312" w:eastAsia="仿宋_GB2312"/>
          <w:sz w:val="28"/>
        </w:rPr>
      </w:pP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 xml:space="preserve">甲方（章）： </w:t>
      </w:r>
      <w:r>
        <w:rPr>
          <w:rFonts w:hint="eastAsia" w:ascii="仿宋_GB2312" w:hAnsi="仿宋_GB2312"/>
          <w:sz w:val="28"/>
          <w:lang w:val="en-US" w:eastAsia="zh-CN"/>
        </w:rPr>
        <w:t xml:space="preserve">                      </w:t>
      </w:r>
      <w:r>
        <w:rPr>
          <w:rFonts w:hint="eastAsia" w:ascii="仿宋_GB2312" w:hAnsi="仿宋_GB2312" w:eastAsia="仿宋_GB2312"/>
          <w:sz w:val="28"/>
        </w:rPr>
        <w:t>乙方（章）：</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 xml:space="preserve">联系人： </w:t>
      </w:r>
      <w:r>
        <w:rPr>
          <w:rFonts w:hint="eastAsia" w:ascii="仿宋_GB2312" w:hAnsi="仿宋_GB2312"/>
          <w:sz w:val="28"/>
          <w:lang w:val="en-US" w:eastAsia="zh-CN"/>
        </w:rPr>
        <w:t xml:space="preserve">                          </w:t>
      </w:r>
      <w:r>
        <w:rPr>
          <w:rFonts w:hint="eastAsia" w:ascii="仿宋_GB2312" w:hAnsi="仿宋_GB2312" w:eastAsia="仿宋_GB2312"/>
          <w:sz w:val="28"/>
        </w:rPr>
        <w:t>法人代表或代理人：</w:t>
      </w:r>
    </w:p>
    <w:p>
      <w:pPr>
        <w:spacing w:beforeLines="0" w:afterLines="0"/>
        <w:jc w:val="left"/>
        <w:rPr>
          <w:rFonts w:hint="eastAsia" w:ascii="仿宋_GB2312" w:hAnsi="仿宋_GB2312" w:eastAsia="仿宋_GB2312"/>
          <w:sz w:val="28"/>
        </w:rPr>
      </w:pPr>
      <w:r>
        <w:rPr>
          <w:rFonts w:hint="eastAsia" w:ascii="仿宋_GB2312" w:hAnsi="仿宋_GB2312" w:eastAsia="仿宋_GB2312"/>
          <w:sz w:val="28"/>
        </w:rPr>
        <w:t xml:space="preserve">联系电话： </w:t>
      </w:r>
      <w:r>
        <w:rPr>
          <w:rFonts w:hint="eastAsia" w:ascii="仿宋_GB2312" w:hAnsi="仿宋_GB2312"/>
          <w:sz w:val="28"/>
          <w:lang w:val="en-US" w:eastAsia="zh-CN"/>
        </w:rPr>
        <w:t xml:space="preserve">                        </w:t>
      </w:r>
      <w:r>
        <w:rPr>
          <w:rFonts w:hint="eastAsia" w:ascii="仿宋_GB2312" w:hAnsi="仿宋_GB2312" w:eastAsia="仿宋_GB2312"/>
          <w:sz w:val="28"/>
        </w:rPr>
        <w:t>联系电话：</w:t>
      </w:r>
    </w:p>
    <w:p>
      <w:pPr>
        <w:spacing w:beforeLines="0" w:afterLines="0"/>
        <w:ind w:firstLine="5040" w:firstLineChars="1800"/>
        <w:jc w:val="left"/>
        <w:rPr>
          <w:rFonts w:hint="eastAsia" w:ascii="仿宋_GB2312" w:hAnsi="仿宋_GB2312" w:eastAsia="仿宋_GB2312"/>
          <w:sz w:val="28"/>
        </w:rPr>
      </w:pPr>
    </w:p>
    <w:p>
      <w:pPr>
        <w:spacing w:beforeLines="0" w:afterLines="0"/>
        <w:ind w:firstLine="5040" w:firstLineChars="1800"/>
        <w:jc w:val="left"/>
        <w:rPr>
          <w:rFonts w:hint="eastAsia" w:ascii="仿宋_GB2312" w:hAnsi="仿宋_GB2312" w:eastAsia="仿宋_GB2312"/>
          <w:sz w:val="28"/>
        </w:rPr>
      </w:pPr>
      <w:r>
        <w:rPr>
          <w:rFonts w:hint="eastAsia" w:ascii="仿宋_GB2312" w:hAnsi="仿宋_GB2312" w:eastAsia="仿宋_GB2312"/>
          <w:sz w:val="28"/>
        </w:rPr>
        <w:t>年</w:t>
      </w:r>
      <w:r>
        <w:rPr>
          <w:rFonts w:hint="eastAsia" w:ascii="仿宋_GB2312" w:hAnsi="仿宋_GB2312"/>
          <w:sz w:val="28"/>
          <w:lang w:val="en-US" w:eastAsia="zh-CN"/>
        </w:rPr>
        <w:t xml:space="preserve">   </w:t>
      </w:r>
      <w:r>
        <w:rPr>
          <w:rFonts w:hint="eastAsia" w:ascii="仿宋_GB2312" w:hAnsi="仿宋_GB2312" w:eastAsia="仿宋_GB2312"/>
          <w:sz w:val="28"/>
        </w:rPr>
        <w:t>月</w:t>
      </w:r>
      <w:r>
        <w:rPr>
          <w:rFonts w:hint="eastAsia" w:ascii="仿宋_GB2312" w:hAnsi="仿宋_GB2312"/>
          <w:sz w:val="28"/>
          <w:lang w:val="en-US" w:eastAsia="zh-CN"/>
        </w:rPr>
        <w:t xml:space="preserve">   </w:t>
      </w:r>
      <w:r>
        <w:rPr>
          <w:rFonts w:hint="eastAsia" w:ascii="仿宋_GB2312" w:hAnsi="仿宋_GB2312" w:eastAsia="仿宋_GB2312"/>
          <w:sz w:val="28"/>
        </w:rPr>
        <w:t>日</w:t>
      </w:r>
    </w:p>
    <w:p>
      <w:pPr>
        <w:spacing w:beforeLines="0" w:afterLines="0"/>
        <w:ind w:firstLine="5040" w:firstLineChars="1800"/>
        <w:jc w:val="left"/>
        <w:rPr>
          <w:rFonts w:hint="eastAsia" w:ascii="仿宋_GB2312" w:hAnsi="仿宋_GB2312" w:eastAsia="仿宋_GB2312"/>
          <w:sz w:val="28"/>
        </w:rPr>
      </w:pPr>
    </w:p>
    <w:p>
      <w:pPr>
        <w:spacing w:beforeLines="0" w:afterLines="0"/>
        <w:ind w:firstLine="5040" w:firstLineChars="1800"/>
        <w:jc w:val="left"/>
        <w:rPr>
          <w:rFonts w:hint="eastAsia" w:ascii="仿宋_GB2312" w:hAnsi="仿宋_GB2312" w:eastAsia="仿宋_GB2312"/>
          <w:sz w:val="28"/>
        </w:rPr>
      </w:pP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32"/>
          <w:szCs w:val="32"/>
          <w:lang w:val="en-US" w:eastAsia="zh-CN"/>
        </w:rPr>
      </w:pPr>
    </w:p>
    <w:p>
      <w:pPr>
        <w:pStyle w:val="12"/>
        <w:rPr>
          <w:rFonts w:hint="eastAsia"/>
          <w:lang w:val="en-US" w:eastAsia="zh-CN"/>
        </w:rPr>
      </w:pPr>
    </w:p>
    <w:p>
      <w:pPr>
        <w:pStyle w:val="7"/>
      </w:pPr>
    </w:p>
    <w:p>
      <w:pPr>
        <w:pStyle w:val="7"/>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dobeHeitiStd-Regular">
    <w:altName w:val="宋体"/>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54F301"/>
    <w:multiLevelType w:val="singleLevel"/>
    <w:tmpl w:val="A754F301"/>
    <w:lvl w:ilvl="0" w:tentative="0">
      <w:start w:val="6"/>
      <w:numFmt w:val="decimal"/>
      <w:suff w:val="nothing"/>
      <w:lvlText w:val="%1、"/>
      <w:lvlJc w:val="left"/>
    </w:lvl>
  </w:abstractNum>
  <w:abstractNum w:abstractNumId="1">
    <w:nsid w:val="C3C68AF0"/>
    <w:multiLevelType w:val="singleLevel"/>
    <w:tmpl w:val="C3C68AF0"/>
    <w:lvl w:ilvl="0" w:tentative="0">
      <w:start w:val="1"/>
      <w:numFmt w:val="decimal"/>
      <w:suff w:val="space"/>
      <w:lvlText w:val="%1、"/>
      <w:lvlJc w:val="left"/>
    </w:lvl>
  </w:abstractNum>
  <w:abstractNum w:abstractNumId="2">
    <w:nsid w:val="719069B1"/>
    <w:multiLevelType w:val="singleLevel"/>
    <w:tmpl w:val="719069B1"/>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iN2NjZjhlNmM0NWI0ZWM1ODI5NGY3NGFkZGU1Y2YifQ=="/>
  </w:docVars>
  <w:rsids>
    <w:rsidRoot w:val="7D3A4592"/>
    <w:rsid w:val="04574039"/>
    <w:rsid w:val="0F7D6A6F"/>
    <w:rsid w:val="14623E46"/>
    <w:rsid w:val="2419690F"/>
    <w:rsid w:val="24F6081E"/>
    <w:rsid w:val="2D8D36D2"/>
    <w:rsid w:val="2F9C0FD2"/>
    <w:rsid w:val="2FB2273B"/>
    <w:rsid w:val="32E77BD8"/>
    <w:rsid w:val="341449FD"/>
    <w:rsid w:val="3B8406BA"/>
    <w:rsid w:val="3DA60DBB"/>
    <w:rsid w:val="434D1CD9"/>
    <w:rsid w:val="48691363"/>
    <w:rsid w:val="4BF74ED8"/>
    <w:rsid w:val="58450D79"/>
    <w:rsid w:val="715C11B6"/>
    <w:rsid w:val="734D525A"/>
    <w:rsid w:val="790410B3"/>
    <w:rsid w:val="7D3A4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toa heading"/>
    <w:basedOn w:val="1"/>
    <w:next w:val="1"/>
    <w:qFormat/>
    <w:uiPriority w:val="0"/>
    <w:pPr>
      <w:spacing w:before="120" w:beforeLines="0" w:beforeAutospacing="0"/>
    </w:pPr>
    <w:rPr>
      <w:rFonts w:ascii="Arial" w:hAnsi="Arial"/>
      <w:sz w:val="24"/>
    </w:rPr>
  </w:style>
  <w:style w:type="paragraph" w:styleId="4">
    <w:name w:val="Body Text Indent"/>
    <w:basedOn w:val="1"/>
    <w:qFormat/>
    <w:uiPriority w:val="0"/>
    <w:pPr>
      <w:spacing w:after="120"/>
      <w:ind w:left="420" w:leftChars="200"/>
    </w:pPr>
  </w:style>
  <w:style w:type="paragraph" w:styleId="5">
    <w:name w:val="footer"/>
    <w:basedOn w:val="1"/>
    <w:qFormat/>
    <w:uiPriority w:val="0"/>
    <w:pPr>
      <w:tabs>
        <w:tab w:val="center" w:pos="4153"/>
        <w:tab w:val="right" w:pos="8306"/>
      </w:tabs>
      <w:snapToGrid w:val="0"/>
      <w:jc w:val="left"/>
    </w:pPr>
    <w:rPr>
      <w:rFonts w:ascii="Times New Roman" w:hAnsi="Times New Roman" w:eastAsia="宋体"/>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99"/>
    <w:pPr>
      <w:spacing w:before="100" w:beforeAutospacing="1" w:after="0"/>
      <w:ind w:left="0" w:leftChars="0" w:firstLine="420" w:firstLineChars="200"/>
    </w:pPr>
    <w:rPr>
      <w:rFonts w:ascii="新宋体" w:hAnsi="Calibri" w:eastAsia="新宋体"/>
      <w:sz w:val="24"/>
      <w:szCs w:val="2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paragraph" w:customStyle="1" w:styleId="12">
    <w:name w:val="正文-公1"/>
    <w:basedOn w:val="1"/>
    <w:next w:val="1"/>
    <w:qFormat/>
    <w:uiPriority w:val="0"/>
    <w:pPr>
      <w:ind w:firstLine="200" w:firstLineChars="200"/>
      <w:jc w:val="left"/>
    </w:pPr>
    <w:rPr>
      <w:rFonts w:eastAsia="仿宋_GB2312"/>
    </w:rPr>
  </w:style>
  <w:style w:type="paragraph" w:styleId="13">
    <w:name w:val="List Paragraph"/>
    <w:basedOn w:val="1"/>
    <w:qFormat/>
    <w:uiPriority w:val="34"/>
    <w:pPr>
      <w:ind w:firstLine="420" w:firstLineChars="200"/>
    </w:pPr>
  </w:style>
  <w:style w:type="character" w:customStyle="1" w:styleId="14">
    <w:name w:val="NormalCharacter"/>
    <w:semiHidden/>
    <w:qFormat/>
    <w:uiPriority w:val="0"/>
    <w:rPr>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327</Words>
  <Characters>331</Characters>
  <Lines>0</Lines>
  <Paragraphs>0</Paragraphs>
  <TotalTime>268</TotalTime>
  <ScaleCrop>false</ScaleCrop>
  <LinksUpToDate>false</LinksUpToDate>
  <CharactersWithSpaces>401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2023-01-09T01:54:00Z</dcterms:created>
  <dc:creator>臭美的老鼠</dc:creator>
  <cp:lastModifiedBy>荒</cp:lastModifiedBy>
  <cp:lastPrinted>2023-03-01T03:01:35Z</cp:lastPrinted>
  <dcterms:modified xsi:type="dcterms:W3CDTF">2023-03-01T06:55:41Z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0355CB9DCE224AAD852F26B297ACA058</vt:lpwstr>
  </property>
</Properties>
</file>